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FF" w:rsidRPr="003B1CFF" w:rsidRDefault="003B1CFF" w:rsidP="00211DDE">
      <w:pPr>
        <w:pStyle w:val="PlainText"/>
        <w:tabs>
          <w:tab w:val="left" w:pos="3160"/>
        </w:tabs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B1CF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3B1CF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DCC97A4" wp14:editId="7CE21517">
            <wp:extent cx="1755645" cy="731139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5" cy="7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CFF" w:rsidRPr="003B1CFF" w:rsidRDefault="003B1CFF" w:rsidP="00211DDE">
      <w:pPr>
        <w:pStyle w:val="PlainTex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3B1CFF" w:rsidRPr="003B1CFF" w:rsidRDefault="00244616" w:rsidP="00211DDE">
      <w:pPr>
        <w:pStyle w:val="PlainTex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B1CF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Call for </w:t>
      </w:r>
      <w:r w:rsidR="00F415DF" w:rsidRPr="003B1CF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contributions</w:t>
      </w:r>
    </w:p>
    <w:p w:rsidR="003B1CFF" w:rsidRPr="003B1CFF" w:rsidRDefault="003B1CFF" w:rsidP="00211DDE">
      <w:pPr>
        <w:pStyle w:val="PlainTex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3B1CFF" w:rsidRPr="003B1CFF" w:rsidRDefault="003B1CFF" w:rsidP="00211DDE">
      <w:pPr>
        <w:pStyle w:val="PlainTex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B1CF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Independent Expert on the situation of human rights in Somalia</w:t>
      </w:r>
    </w:p>
    <w:p w:rsidR="003B1CFF" w:rsidRPr="003B1CFF" w:rsidRDefault="003B1CFF" w:rsidP="00211DDE">
      <w:pPr>
        <w:pStyle w:val="PlainTex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3B1CFF" w:rsidRPr="003B1CFF" w:rsidRDefault="003B1CFF" w:rsidP="00211DDE">
      <w:pPr>
        <w:pStyle w:val="PlainTex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B1CF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Purpose</w:t>
      </w:r>
    </w:p>
    <w:p w:rsidR="00244616" w:rsidRPr="003B1CFF" w:rsidRDefault="003B1CFF" w:rsidP="00211DDE">
      <w:pPr>
        <w:pStyle w:val="PlainTex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inform the Independent Expert on the situation of human rights in Somalia`s report </w:t>
      </w:r>
      <w:r w:rsidR="00F415DF"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the human rights situation in Somalia to </w:t>
      </w:r>
      <w:r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 presented to </w:t>
      </w:r>
      <w:r w:rsidR="00F415DF"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5D52FC"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>54</w:t>
      </w:r>
      <w:r w:rsidR="00244616"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 session of the Human Rights Council and </w:t>
      </w:r>
      <w:r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>78</w:t>
      </w:r>
      <w:r w:rsidR="00244616"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 </w:t>
      </w:r>
      <w:r w:rsidR="00DD338E"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244616"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>ession of the General Assembly</w:t>
      </w:r>
      <w:r w:rsidRPr="003B1C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2023.</w:t>
      </w:r>
    </w:p>
    <w:p w:rsidR="002B058D" w:rsidRPr="003B1CFF" w:rsidRDefault="002B058D" w:rsidP="00211D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44616" w:rsidRPr="003B1CFF" w:rsidRDefault="004D5E9C" w:rsidP="00211D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3B1CFF">
        <w:rPr>
          <w:rFonts w:ascii="Times New Roman" w:hAnsi="Times New Roman" w:cs="Times New Roman"/>
          <w:b/>
          <w:sz w:val="24"/>
          <w:szCs w:val="24"/>
        </w:rPr>
        <w:t>Submission d</w:t>
      </w:r>
      <w:r w:rsidR="00ED64DF" w:rsidRPr="003B1CFF">
        <w:rPr>
          <w:rFonts w:ascii="Times New Roman" w:hAnsi="Times New Roman" w:cs="Times New Roman"/>
          <w:b/>
          <w:sz w:val="24"/>
          <w:szCs w:val="24"/>
        </w:rPr>
        <w:t xml:space="preserve">eadline: </w:t>
      </w:r>
      <w:r w:rsidR="003B5961">
        <w:rPr>
          <w:rFonts w:ascii="Times New Roman" w:hAnsi="Times New Roman" w:cs="Times New Roman"/>
          <w:b/>
          <w:sz w:val="24"/>
          <w:szCs w:val="24"/>
        </w:rPr>
        <w:t>24</w:t>
      </w:r>
      <w:r w:rsidR="004546A0" w:rsidRPr="003B1CFF">
        <w:rPr>
          <w:rFonts w:ascii="Times New Roman" w:hAnsi="Times New Roman" w:cs="Times New Roman"/>
          <w:b/>
          <w:sz w:val="24"/>
          <w:szCs w:val="24"/>
        </w:rPr>
        <w:t xml:space="preserve"> April</w:t>
      </w:r>
      <w:r w:rsidR="005D52FC" w:rsidRPr="003B1CFF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4500DE" w:rsidRPr="003B1CFF" w:rsidRDefault="004500DE" w:rsidP="00211DDE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5D11" w:rsidRPr="003B1CFF" w:rsidRDefault="00F415DF" w:rsidP="00211DDE"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1CF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500DE" w:rsidRPr="003B1CFF">
        <w:rPr>
          <w:rFonts w:ascii="Times New Roman" w:hAnsi="Times New Roman" w:cs="Times New Roman"/>
          <w:color w:val="000000"/>
          <w:sz w:val="24"/>
          <w:szCs w:val="24"/>
        </w:rPr>
        <w:t>he Independent Expert on the situa</w:t>
      </w:r>
      <w:r w:rsidRPr="003B1CFF">
        <w:rPr>
          <w:rFonts w:ascii="Times New Roman" w:hAnsi="Times New Roman" w:cs="Times New Roman"/>
          <w:color w:val="000000"/>
          <w:sz w:val="24"/>
          <w:szCs w:val="24"/>
        </w:rPr>
        <w:t xml:space="preserve">tion of human rights in Somalia, pursuant to Human Rights Council resolution </w:t>
      </w:r>
      <w:r w:rsidR="005D52FC" w:rsidRPr="003B1CFF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4500DE" w:rsidRPr="003B1CF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D52FC" w:rsidRPr="003B1CFF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4500DE" w:rsidRPr="003B1CFF">
        <w:rPr>
          <w:rFonts w:ascii="Times New Roman" w:hAnsi="Times New Roman" w:cs="Times New Roman"/>
          <w:color w:val="000000"/>
          <w:sz w:val="24"/>
          <w:szCs w:val="24"/>
        </w:rPr>
        <w:t> adopted on </w:t>
      </w:r>
      <w:r w:rsidR="005D52FC" w:rsidRPr="003B1CF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500DE" w:rsidRPr="003B1CFF">
        <w:rPr>
          <w:rFonts w:ascii="Times New Roman" w:hAnsi="Times New Roman" w:cs="Times New Roman"/>
          <w:color w:val="000000"/>
          <w:sz w:val="24"/>
          <w:szCs w:val="24"/>
        </w:rPr>
        <w:t> October 202</w:t>
      </w:r>
      <w:r w:rsidR="005D52FC" w:rsidRPr="003B1CF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B1CFF">
        <w:rPr>
          <w:rFonts w:ascii="Times New Roman" w:hAnsi="Times New Roman" w:cs="Times New Roman"/>
          <w:color w:val="000000"/>
          <w:sz w:val="24"/>
          <w:szCs w:val="24"/>
        </w:rPr>
        <w:t xml:space="preserve">, invites </w:t>
      </w:r>
      <w:r w:rsidRPr="003B1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contributions for her forthcoming report </w:t>
      </w:r>
      <w:r w:rsidR="00E8105C" w:rsidRPr="003B1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 States, United Nations entities, specialized agencies and related organizations, intergovernmental and non-governmental organizations</w:t>
      </w:r>
      <w:r w:rsidR="00655CD2" w:rsidRPr="003B1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academic institutions</w:t>
      </w:r>
      <w:r w:rsidR="00E8105C" w:rsidRPr="003B1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national h</w:t>
      </w:r>
      <w:r w:rsidR="00975BFA" w:rsidRPr="003B1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uman rights institutions on </w:t>
      </w:r>
      <w:r w:rsidR="00E8105C" w:rsidRPr="003B1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positive developments and remaining challenges since </w:t>
      </w:r>
      <w:r w:rsidR="00E8105C" w:rsidRPr="003B1C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July of 202</w:t>
      </w:r>
      <w:r w:rsidR="005D52FC" w:rsidRPr="003B1C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E8105C" w:rsidRPr="003B1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55D11" w:rsidRPr="003B1CFF" w:rsidRDefault="00B55D11" w:rsidP="00211DDE"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15DF" w:rsidRPr="003B1CFF" w:rsidRDefault="00F415DF" w:rsidP="00211DDE"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1CFF">
        <w:rPr>
          <w:rFonts w:ascii="Times New Roman" w:hAnsi="Times New Roman" w:cs="Times New Roman"/>
          <w:sz w:val="24"/>
          <w:szCs w:val="24"/>
        </w:rPr>
        <w:t xml:space="preserve">While the Independent Expert welcomes any information, </w:t>
      </w:r>
      <w:r w:rsidR="00975BFA" w:rsidRPr="003B1CFF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3B1CFF">
        <w:rPr>
          <w:rFonts w:ascii="Times New Roman" w:hAnsi="Times New Roman" w:cs="Times New Roman"/>
          <w:sz w:val="24"/>
          <w:szCs w:val="24"/>
        </w:rPr>
        <w:t xml:space="preserve">reports, legislation or other materials deemed pertinent to the protection </w:t>
      </w:r>
      <w:r w:rsidR="00961946" w:rsidRPr="003B1CFF">
        <w:rPr>
          <w:rFonts w:ascii="Times New Roman" w:hAnsi="Times New Roman" w:cs="Times New Roman"/>
          <w:sz w:val="24"/>
          <w:szCs w:val="24"/>
        </w:rPr>
        <w:t>and promotion of human rights in</w:t>
      </w:r>
      <w:r w:rsidRPr="003B1CFF">
        <w:rPr>
          <w:rFonts w:ascii="Times New Roman" w:hAnsi="Times New Roman" w:cs="Times New Roman"/>
          <w:sz w:val="24"/>
          <w:szCs w:val="24"/>
        </w:rPr>
        <w:t xml:space="preserve"> Somalia, she is particularly interested in the areas highlighted below</w:t>
      </w:r>
      <w:r w:rsidR="00893461" w:rsidRPr="003B1CFF">
        <w:rPr>
          <w:rFonts w:ascii="Times New Roman" w:hAnsi="Times New Roman" w:cs="Times New Roman"/>
          <w:sz w:val="24"/>
          <w:szCs w:val="24"/>
        </w:rPr>
        <w:t xml:space="preserve">: </w:t>
      </w:r>
      <w:r w:rsidRPr="003B1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6F2" w:rsidRPr="003B1CFF" w:rsidRDefault="008156F2" w:rsidP="00211DDE">
      <w:pPr>
        <w:pStyle w:val="Default"/>
        <w:rPr>
          <w:b/>
        </w:rPr>
      </w:pPr>
    </w:p>
    <w:p w:rsidR="005D52FC" w:rsidRPr="003B1CFF" w:rsidRDefault="00893461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Political developments</w:t>
      </w:r>
    </w:p>
    <w:p w:rsidR="002B058D" w:rsidRPr="003B1CFF" w:rsidRDefault="002B058D" w:rsidP="00211DDE">
      <w:pPr>
        <w:pStyle w:val="Default"/>
        <w:ind w:left="720"/>
        <w:rPr>
          <w:b/>
          <w:bCs/>
          <w:color w:val="auto"/>
        </w:rPr>
      </w:pPr>
    </w:p>
    <w:p w:rsidR="005D52FC" w:rsidRPr="003B1CFF" w:rsidRDefault="005D52FC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The security situation</w:t>
      </w:r>
    </w:p>
    <w:p w:rsidR="00A70437" w:rsidRPr="003B1CFF" w:rsidRDefault="00A70437" w:rsidP="00211DDE">
      <w:pPr>
        <w:pStyle w:val="Default"/>
        <w:ind w:left="720"/>
        <w:rPr>
          <w:b/>
          <w:bCs/>
          <w:color w:val="auto"/>
        </w:rPr>
      </w:pPr>
    </w:p>
    <w:p w:rsidR="00893461" w:rsidRPr="003B1CFF" w:rsidRDefault="00893461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The humanitarian situation</w:t>
      </w:r>
    </w:p>
    <w:p w:rsidR="003745B4" w:rsidRPr="003B1CFF" w:rsidRDefault="003745B4" w:rsidP="00211DDE">
      <w:pPr>
        <w:pStyle w:val="Default"/>
        <w:numPr>
          <w:ilvl w:val="0"/>
          <w:numId w:val="11"/>
        </w:numPr>
        <w:rPr>
          <w:bCs/>
          <w:color w:val="auto"/>
        </w:rPr>
      </w:pPr>
      <w:r w:rsidRPr="003B1CFF">
        <w:t xml:space="preserve">Humanitarian </w:t>
      </w:r>
      <w:r w:rsidR="004546A0" w:rsidRPr="003B1CFF">
        <w:t xml:space="preserve">crisis and </w:t>
      </w:r>
      <w:r w:rsidRPr="003B1CFF">
        <w:t>response</w:t>
      </w:r>
      <w:r w:rsidR="002C7044" w:rsidRPr="003B1CFF">
        <w:t xml:space="preserve"> plan;</w:t>
      </w:r>
    </w:p>
    <w:p w:rsidR="00D754BF" w:rsidRPr="003B1CFF" w:rsidRDefault="00AA62AC" w:rsidP="00211D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Denial of </w:t>
      </w:r>
      <w:r w:rsidR="00D754BF" w:rsidRPr="003B1CFF">
        <w:rPr>
          <w:rFonts w:ascii="Times New Roman" w:hAnsi="Times New Roman" w:cs="Times New Roman"/>
          <w:bCs/>
          <w:sz w:val="24"/>
          <w:szCs w:val="24"/>
        </w:rPr>
        <w:t>humanitarian access</w:t>
      </w:r>
      <w:r w:rsidR="00D754BF" w:rsidRPr="003B1CFF">
        <w:rPr>
          <w:rFonts w:ascii="Times New Roman" w:hAnsi="Times New Roman" w:cs="Times New Roman"/>
          <w:bCs/>
          <w:sz w:val="24"/>
          <w:szCs w:val="24"/>
          <w:lang w:val="en-GB"/>
        </w:rPr>
        <w:t>;</w:t>
      </w:r>
    </w:p>
    <w:p w:rsidR="00D754BF" w:rsidRPr="003B1CFF" w:rsidRDefault="002C7044" w:rsidP="00211D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1CFF">
        <w:rPr>
          <w:rFonts w:ascii="Times New Roman" w:hAnsi="Times New Roman" w:cs="Times New Roman"/>
          <w:sz w:val="24"/>
          <w:szCs w:val="24"/>
        </w:rPr>
        <w:t>I</w:t>
      </w:r>
      <w:r w:rsidR="0070376B" w:rsidRPr="003B1CFF">
        <w:rPr>
          <w:rFonts w:ascii="Times New Roman" w:hAnsi="Times New Roman" w:cs="Times New Roman"/>
          <w:sz w:val="24"/>
          <w:szCs w:val="24"/>
        </w:rPr>
        <w:t xml:space="preserve">ncidents affecting </w:t>
      </w:r>
      <w:r w:rsidR="00902901">
        <w:rPr>
          <w:rFonts w:ascii="Times New Roman" w:hAnsi="Times New Roman" w:cs="Times New Roman"/>
          <w:sz w:val="24"/>
          <w:szCs w:val="24"/>
        </w:rPr>
        <w:t xml:space="preserve">staff </w:t>
      </w:r>
      <w:r w:rsidR="00775C76">
        <w:rPr>
          <w:rFonts w:ascii="Times New Roman" w:hAnsi="Times New Roman" w:cs="Times New Roman"/>
          <w:sz w:val="24"/>
          <w:szCs w:val="24"/>
        </w:rPr>
        <w:t xml:space="preserve">of </w:t>
      </w:r>
      <w:r w:rsidR="00902901">
        <w:rPr>
          <w:rFonts w:ascii="Times New Roman" w:hAnsi="Times New Roman" w:cs="Times New Roman"/>
          <w:sz w:val="24"/>
          <w:szCs w:val="24"/>
        </w:rPr>
        <w:t>the United Nations funds, programmes and s</w:t>
      </w:r>
      <w:r w:rsidR="0070376B" w:rsidRPr="003B1CFF">
        <w:rPr>
          <w:rFonts w:ascii="Times New Roman" w:hAnsi="Times New Roman" w:cs="Times New Roman"/>
          <w:sz w:val="24"/>
          <w:szCs w:val="24"/>
        </w:rPr>
        <w:t>pecialized agencies</w:t>
      </w:r>
      <w:r w:rsidR="00D0436D" w:rsidRPr="003B1CFF">
        <w:rPr>
          <w:rFonts w:ascii="Times New Roman" w:hAnsi="Times New Roman" w:cs="Times New Roman"/>
          <w:sz w:val="24"/>
          <w:szCs w:val="24"/>
        </w:rPr>
        <w:t>;</w:t>
      </w:r>
    </w:p>
    <w:p w:rsidR="00D754BF" w:rsidRPr="003B1CFF" w:rsidRDefault="002C7044" w:rsidP="00211D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1CFF">
        <w:rPr>
          <w:rFonts w:ascii="Times New Roman" w:hAnsi="Times New Roman" w:cs="Times New Roman"/>
          <w:bCs/>
          <w:sz w:val="24"/>
          <w:szCs w:val="24"/>
        </w:rPr>
        <w:t>I</w:t>
      </w:r>
      <w:r w:rsidR="0070376B" w:rsidRPr="003B1CFF">
        <w:rPr>
          <w:rFonts w:ascii="Times New Roman" w:hAnsi="Times New Roman" w:cs="Times New Roman"/>
          <w:bCs/>
          <w:sz w:val="24"/>
          <w:szCs w:val="24"/>
        </w:rPr>
        <w:t xml:space="preserve">ncidents affecting humanitarian personnel of non-governmental </w:t>
      </w:r>
      <w:r w:rsidR="00D754BF" w:rsidRPr="003B1CFF">
        <w:rPr>
          <w:rFonts w:ascii="Times New Roman" w:hAnsi="Times New Roman" w:cs="Times New Roman"/>
          <w:bCs/>
          <w:sz w:val="24"/>
          <w:szCs w:val="24"/>
        </w:rPr>
        <w:t>organizations</w:t>
      </w:r>
      <w:r w:rsidR="0070376B" w:rsidRPr="003B1CFF">
        <w:rPr>
          <w:rFonts w:ascii="Times New Roman" w:hAnsi="Times New Roman" w:cs="Times New Roman"/>
          <w:bCs/>
          <w:sz w:val="24"/>
          <w:szCs w:val="24"/>
        </w:rPr>
        <w:t xml:space="preserve"> and other personnel</w:t>
      </w:r>
      <w:r w:rsidR="00775C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D50C2" w:rsidRPr="003B1CFF" w:rsidRDefault="00FD50C2" w:rsidP="00211D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1CFF">
        <w:rPr>
          <w:rFonts w:ascii="Times New Roman" w:hAnsi="Times New Roman" w:cs="Times New Roman"/>
          <w:bCs/>
          <w:sz w:val="24"/>
          <w:szCs w:val="24"/>
          <w:lang w:val="en-GB"/>
        </w:rPr>
        <w:t>Measures taken to ensure rapid and unimpeded access by humanitarian actors to all those in need of protection;</w:t>
      </w:r>
    </w:p>
    <w:p w:rsidR="002B058D" w:rsidRPr="003B1CFF" w:rsidRDefault="00791E49" w:rsidP="00211D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B1CFF">
        <w:rPr>
          <w:rFonts w:ascii="Times New Roman" w:hAnsi="Times New Roman" w:cs="Times New Roman"/>
          <w:bCs/>
          <w:sz w:val="24"/>
          <w:szCs w:val="24"/>
        </w:rPr>
        <w:t>Protection of and a</w:t>
      </w:r>
      <w:r w:rsidR="008747F4" w:rsidRPr="003B1CFF">
        <w:rPr>
          <w:rFonts w:ascii="Times New Roman" w:hAnsi="Times New Roman" w:cs="Times New Roman"/>
          <w:bCs/>
          <w:sz w:val="24"/>
          <w:szCs w:val="24"/>
        </w:rPr>
        <w:t xml:space="preserve">ssistance </w:t>
      </w:r>
      <w:r w:rsidRPr="003B1CFF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775E13" w:rsidRPr="003B1CFF">
        <w:rPr>
          <w:rFonts w:ascii="Times New Roman" w:hAnsi="Times New Roman" w:cs="Times New Roman"/>
          <w:bCs/>
          <w:sz w:val="24"/>
          <w:szCs w:val="24"/>
        </w:rPr>
        <w:t>internally displaced persons and refugees</w:t>
      </w:r>
      <w:r w:rsidR="00FD50C2" w:rsidRPr="003B1CFF">
        <w:rPr>
          <w:rFonts w:ascii="Times New Roman" w:hAnsi="Times New Roman" w:cs="Times New Roman"/>
          <w:bCs/>
          <w:sz w:val="24"/>
          <w:szCs w:val="24"/>
        </w:rPr>
        <w:t>.</w:t>
      </w:r>
    </w:p>
    <w:p w:rsidR="008747F4" w:rsidRPr="003B1CFF" w:rsidRDefault="00893461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 xml:space="preserve">The </w:t>
      </w:r>
      <w:r w:rsidR="00A82C19" w:rsidRPr="003B1CFF">
        <w:rPr>
          <w:b/>
          <w:bCs/>
          <w:color w:val="auto"/>
        </w:rPr>
        <w:t>e</w:t>
      </w:r>
      <w:r w:rsidR="002C04A9" w:rsidRPr="003B1CFF">
        <w:rPr>
          <w:b/>
          <w:bCs/>
          <w:color w:val="auto"/>
        </w:rPr>
        <w:t xml:space="preserve">ffective </w:t>
      </w:r>
      <w:r w:rsidR="00B55D11" w:rsidRPr="003B1CFF">
        <w:rPr>
          <w:b/>
          <w:bCs/>
          <w:color w:val="auto"/>
        </w:rPr>
        <w:t>enjoyment of</w:t>
      </w:r>
      <w:r w:rsidR="008747F4" w:rsidRPr="003B1CFF">
        <w:rPr>
          <w:b/>
          <w:bCs/>
          <w:color w:val="auto"/>
        </w:rPr>
        <w:t xml:space="preserve"> </w:t>
      </w:r>
      <w:r w:rsidR="00B55D11" w:rsidRPr="003B1CFF">
        <w:rPr>
          <w:b/>
          <w:bCs/>
          <w:color w:val="auto"/>
        </w:rPr>
        <w:t>human rights</w:t>
      </w:r>
      <w:r w:rsidR="00A82C19" w:rsidRPr="003B1CFF">
        <w:rPr>
          <w:b/>
          <w:bCs/>
          <w:color w:val="auto"/>
        </w:rPr>
        <w:t xml:space="preserve"> and climate change</w:t>
      </w:r>
      <w:r w:rsidR="00B55D11" w:rsidRPr="003B1CFF">
        <w:rPr>
          <w:b/>
          <w:bCs/>
          <w:color w:val="auto"/>
        </w:rPr>
        <w:t xml:space="preserve"> </w:t>
      </w:r>
    </w:p>
    <w:p w:rsidR="00675F30" w:rsidRDefault="00675F30" w:rsidP="00211DDE">
      <w:pPr>
        <w:pStyle w:val="Default"/>
        <w:numPr>
          <w:ilvl w:val="0"/>
          <w:numId w:val="14"/>
        </w:numPr>
        <w:rPr>
          <w:bCs/>
          <w:color w:val="auto"/>
        </w:rPr>
      </w:pPr>
      <w:r>
        <w:rPr>
          <w:bCs/>
          <w:color w:val="auto"/>
        </w:rPr>
        <w:t>Which human rights are most affected by climate change?;</w:t>
      </w:r>
    </w:p>
    <w:p w:rsidR="00675F30" w:rsidRDefault="00675F30" w:rsidP="00211DDE">
      <w:pPr>
        <w:pStyle w:val="Default"/>
        <w:numPr>
          <w:ilvl w:val="0"/>
          <w:numId w:val="14"/>
        </w:numPr>
        <w:rPr>
          <w:bCs/>
          <w:color w:val="auto"/>
        </w:rPr>
      </w:pPr>
      <w:r>
        <w:rPr>
          <w:bCs/>
          <w:color w:val="auto"/>
        </w:rPr>
        <w:t>Groups and individuals mostly affected by climate change;</w:t>
      </w:r>
    </w:p>
    <w:p w:rsidR="00F17969" w:rsidRPr="003B1CFF" w:rsidRDefault="00636BCB" w:rsidP="00211DDE">
      <w:pPr>
        <w:pStyle w:val="Default"/>
        <w:numPr>
          <w:ilvl w:val="0"/>
          <w:numId w:val="14"/>
        </w:numPr>
        <w:rPr>
          <w:bCs/>
          <w:color w:val="auto"/>
        </w:rPr>
      </w:pPr>
      <w:r w:rsidRPr="003B1CFF">
        <w:rPr>
          <w:bCs/>
          <w:color w:val="auto"/>
        </w:rPr>
        <w:t xml:space="preserve">Measures taken by the government to </w:t>
      </w:r>
      <w:r w:rsidR="005535F5" w:rsidRPr="003B1CFF">
        <w:rPr>
          <w:bCs/>
          <w:color w:val="auto"/>
        </w:rPr>
        <w:t xml:space="preserve">mitigate </w:t>
      </w:r>
      <w:r w:rsidR="00675F30">
        <w:rPr>
          <w:bCs/>
          <w:color w:val="auto"/>
        </w:rPr>
        <w:t xml:space="preserve">climate change </w:t>
      </w:r>
      <w:r w:rsidR="00F17969" w:rsidRPr="003B1CFF">
        <w:rPr>
          <w:bCs/>
          <w:color w:val="auto"/>
        </w:rPr>
        <w:t xml:space="preserve">and </w:t>
      </w:r>
      <w:r w:rsidR="00675F30">
        <w:rPr>
          <w:bCs/>
          <w:color w:val="auto"/>
        </w:rPr>
        <w:t>prevent its negative</w:t>
      </w:r>
      <w:r w:rsidR="000B2FCE" w:rsidRPr="003B1CFF">
        <w:rPr>
          <w:bCs/>
          <w:color w:val="auto"/>
        </w:rPr>
        <w:t xml:space="preserve"> </w:t>
      </w:r>
      <w:r w:rsidR="00675F30">
        <w:rPr>
          <w:bCs/>
          <w:color w:val="auto"/>
        </w:rPr>
        <w:t xml:space="preserve">human rights </w:t>
      </w:r>
      <w:r w:rsidR="00640495">
        <w:rPr>
          <w:bCs/>
          <w:color w:val="auto"/>
        </w:rPr>
        <w:t>impacts</w:t>
      </w:r>
      <w:r w:rsidR="00F17969" w:rsidRPr="003B1CFF">
        <w:rPr>
          <w:bCs/>
          <w:color w:val="auto"/>
        </w:rPr>
        <w:t>;</w:t>
      </w:r>
    </w:p>
    <w:p w:rsidR="002B058D" w:rsidRPr="00C81C16" w:rsidRDefault="00F17969" w:rsidP="00211DDE">
      <w:pPr>
        <w:pStyle w:val="Default"/>
        <w:numPr>
          <w:ilvl w:val="0"/>
          <w:numId w:val="14"/>
        </w:numPr>
        <w:rPr>
          <w:b/>
          <w:bCs/>
          <w:color w:val="auto"/>
        </w:rPr>
      </w:pPr>
      <w:r w:rsidRPr="003B1CFF">
        <w:rPr>
          <w:bCs/>
          <w:color w:val="auto"/>
        </w:rPr>
        <w:t>Measures taken by other stakeholder</w:t>
      </w:r>
      <w:r w:rsidR="009F55C0" w:rsidRPr="003B1CFF">
        <w:rPr>
          <w:bCs/>
          <w:color w:val="auto"/>
        </w:rPr>
        <w:t>s</w:t>
      </w:r>
      <w:r w:rsidRPr="003B1CFF">
        <w:rPr>
          <w:bCs/>
          <w:color w:val="auto"/>
        </w:rPr>
        <w:t xml:space="preserve"> </w:t>
      </w:r>
      <w:r w:rsidR="00675F30" w:rsidRPr="00675F30">
        <w:rPr>
          <w:bCs/>
          <w:color w:val="auto"/>
          <w:lang w:val="en-US"/>
        </w:rPr>
        <w:t>to mitigate climate change and prevent its negative human rights impacts</w:t>
      </w:r>
      <w:r w:rsidRPr="003B1CFF">
        <w:rPr>
          <w:bCs/>
          <w:color w:val="auto"/>
        </w:rPr>
        <w:t>;</w:t>
      </w:r>
    </w:p>
    <w:p w:rsidR="00C81C16" w:rsidRPr="003B1CFF" w:rsidRDefault="00C81C16" w:rsidP="00211DDE">
      <w:pPr>
        <w:pStyle w:val="Default"/>
        <w:numPr>
          <w:ilvl w:val="0"/>
          <w:numId w:val="14"/>
        </w:numPr>
        <w:rPr>
          <w:b/>
          <w:bCs/>
          <w:color w:val="auto"/>
        </w:rPr>
      </w:pPr>
      <w:r>
        <w:rPr>
          <w:bCs/>
          <w:color w:val="auto"/>
        </w:rPr>
        <w:t>What steps should be taken going forward?</w:t>
      </w:r>
    </w:p>
    <w:p w:rsidR="00F17969" w:rsidRPr="003B1CFF" w:rsidRDefault="00F17969" w:rsidP="00211DDE">
      <w:pPr>
        <w:pStyle w:val="Default"/>
        <w:ind w:left="1440"/>
        <w:rPr>
          <w:b/>
          <w:bCs/>
          <w:color w:val="auto"/>
        </w:rPr>
      </w:pPr>
    </w:p>
    <w:p w:rsidR="005F216F" w:rsidRPr="003B1CFF" w:rsidRDefault="005F216F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T</w:t>
      </w:r>
      <w:r w:rsidR="00893461" w:rsidRPr="003B1CFF">
        <w:rPr>
          <w:b/>
          <w:bCs/>
          <w:color w:val="auto"/>
        </w:rPr>
        <w:t>he protec</w:t>
      </w:r>
      <w:r w:rsidRPr="003B1CFF">
        <w:rPr>
          <w:b/>
          <w:bCs/>
          <w:color w:val="auto"/>
        </w:rPr>
        <w:t xml:space="preserve">tion of civilians in </w:t>
      </w:r>
      <w:r w:rsidR="00640495">
        <w:rPr>
          <w:b/>
          <w:bCs/>
          <w:color w:val="auto"/>
        </w:rPr>
        <w:t xml:space="preserve">armed </w:t>
      </w:r>
      <w:r w:rsidRPr="003B1CFF">
        <w:rPr>
          <w:b/>
          <w:bCs/>
          <w:color w:val="auto"/>
        </w:rPr>
        <w:t xml:space="preserve">conflict and </w:t>
      </w:r>
      <w:r w:rsidR="005749B3">
        <w:rPr>
          <w:b/>
          <w:bCs/>
          <w:color w:val="auto"/>
        </w:rPr>
        <w:t xml:space="preserve">reconciliation and peace </w:t>
      </w:r>
      <w:r w:rsidR="004A23C1" w:rsidRPr="003B1CFF">
        <w:rPr>
          <w:b/>
          <w:bCs/>
          <w:color w:val="auto"/>
        </w:rPr>
        <w:t>processes</w:t>
      </w:r>
    </w:p>
    <w:p w:rsidR="00C00D48" w:rsidRPr="003B1CFF" w:rsidRDefault="00C00D48" w:rsidP="00211DDE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3B1CFF">
        <w:rPr>
          <w:bCs/>
          <w:color w:val="auto"/>
        </w:rPr>
        <w:lastRenderedPageBreak/>
        <w:t>V</w:t>
      </w:r>
      <w:r w:rsidR="00E8105C" w:rsidRPr="003B1CFF">
        <w:rPr>
          <w:bCs/>
          <w:color w:val="auto"/>
        </w:rPr>
        <w:t>iolations perpetrated by State actors</w:t>
      </w:r>
      <w:r w:rsidRPr="003B1CFF">
        <w:rPr>
          <w:bCs/>
          <w:color w:val="auto"/>
        </w:rPr>
        <w:t>, international forces</w:t>
      </w:r>
      <w:r w:rsidR="00E8105C" w:rsidRPr="003B1CFF">
        <w:rPr>
          <w:bCs/>
          <w:color w:val="auto"/>
        </w:rPr>
        <w:t xml:space="preserve"> and non-state actors</w:t>
      </w:r>
      <w:r w:rsidR="00351B85" w:rsidRPr="003B1CFF">
        <w:rPr>
          <w:bCs/>
          <w:color w:val="auto"/>
        </w:rPr>
        <w:t xml:space="preserve">; </w:t>
      </w:r>
    </w:p>
    <w:p w:rsidR="00775C76" w:rsidRPr="003B1CFF" w:rsidRDefault="00775C76" w:rsidP="00775C76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3B1CFF">
        <w:rPr>
          <w:bCs/>
          <w:color w:val="auto"/>
        </w:rPr>
        <w:t xml:space="preserve">Violations occurring in the context of inter- and intra-clan conflicts; </w:t>
      </w:r>
    </w:p>
    <w:p w:rsidR="008D2384" w:rsidRPr="003C674C" w:rsidRDefault="005749B3" w:rsidP="00211DDE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Measures </w:t>
      </w:r>
      <w:r w:rsidR="00C00D48" w:rsidRPr="003B1CFF">
        <w:t>to</w:t>
      </w:r>
      <w:r>
        <w:t xml:space="preserve"> </w:t>
      </w:r>
      <w:r w:rsidR="008D2384">
        <w:t xml:space="preserve">address root causes of conflict and to </w:t>
      </w:r>
      <w:r>
        <w:t>prevent the recurrence of new violations, including constitutional, legal and in</w:t>
      </w:r>
      <w:r w:rsidR="008D2384">
        <w:t>stitutional reform;</w:t>
      </w:r>
    </w:p>
    <w:p w:rsidR="00775E13" w:rsidRPr="003B1CFF" w:rsidRDefault="008D2384" w:rsidP="00211DDE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>
        <w:t xml:space="preserve">Measures </w:t>
      </w:r>
      <w:r w:rsidR="005749B3">
        <w:t>to</w:t>
      </w:r>
      <w:r w:rsidR="00C00D48" w:rsidRPr="003B1CFF">
        <w:t xml:space="preserve"> enhance respect </w:t>
      </w:r>
      <w:r w:rsidR="005749B3">
        <w:t xml:space="preserve">of </w:t>
      </w:r>
      <w:r w:rsidR="00C00D48" w:rsidRPr="003B1CFF">
        <w:t xml:space="preserve">international human rights law and international humanitarian law </w:t>
      </w:r>
      <w:r w:rsidR="00FD50C2" w:rsidRPr="003B1CFF">
        <w:t xml:space="preserve">and </w:t>
      </w:r>
      <w:r w:rsidR="00473792" w:rsidRPr="003B1CFF">
        <w:t>protection of</w:t>
      </w:r>
      <w:r w:rsidR="00C00D48" w:rsidRPr="003B1CFF">
        <w:t xml:space="preserve"> civilians;</w:t>
      </w:r>
    </w:p>
    <w:p w:rsidR="005F216F" w:rsidRPr="003B1CFF" w:rsidRDefault="00775E13" w:rsidP="00211DDE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3B1CFF">
        <w:rPr>
          <w:bCs/>
          <w:color w:val="auto"/>
        </w:rPr>
        <w:t>Reconciliation initiatives and efforts undertaken by state authorities, civil society, and other actors to prevent or end inter-</w:t>
      </w:r>
      <w:r w:rsidR="004A23C1" w:rsidRPr="003B1CFF">
        <w:rPr>
          <w:bCs/>
          <w:color w:val="auto"/>
        </w:rPr>
        <w:t>and</w:t>
      </w:r>
      <w:r w:rsidRPr="003B1CFF">
        <w:rPr>
          <w:bCs/>
          <w:color w:val="auto"/>
        </w:rPr>
        <w:t xml:space="preserve"> intra-c</w:t>
      </w:r>
      <w:r w:rsidR="004A23C1" w:rsidRPr="003B1CFF">
        <w:rPr>
          <w:bCs/>
          <w:color w:val="auto"/>
        </w:rPr>
        <w:t>lan</w:t>
      </w:r>
      <w:r w:rsidRPr="003B1CFF">
        <w:rPr>
          <w:bCs/>
          <w:color w:val="auto"/>
        </w:rPr>
        <w:t xml:space="preserve"> conflicts and the impact of these measures.</w:t>
      </w:r>
    </w:p>
    <w:p w:rsidR="002B058D" w:rsidRPr="003B1CFF" w:rsidRDefault="002B058D" w:rsidP="00211DDE">
      <w:pPr>
        <w:pStyle w:val="Default"/>
        <w:ind w:left="1440"/>
        <w:jc w:val="both"/>
        <w:rPr>
          <w:bCs/>
          <w:color w:val="auto"/>
        </w:rPr>
      </w:pPr>
    </w:p>
    <w:p w:rsidR="00B55D11" w:rsidRPr="003B1CFF" w:rsidRDefault="00D754BF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R</w:t>
      </w:r>
      <w:r w:rsidR="008156F2" w:rsidRPr="003B1CFF">
        <w:rPr>
          <w:b/>
          <w:bCs/>
          <w:color w:val="auto"/>
        </w:rPr>
        <w:t>ule of law, accounta</w:t>
      </w:r>
      <w:r w:rsidR="00B55D11" w:rsidRPr="003B1CFF">
        <w:rPr>
          <w:b/>
          <w:bCs/>
          <w:color w:val="auto"/>
        </w:rPr>
        <w:t>bility and transitional justice</w:t>
      </w:r>
    </w:p>
    <w:p w:rsidR="004A23C1" w:rsidRPr="003B1CFF" w:rsidRDefault="00D0436D" w:rsidP="00211DDE">
      <w:pPr>
        <w:pStyle w:val="Default"/>
        <w:numPr>
          <w:ilvl w:val="0"/>
          <w:numId w:val="12"/>
        </w:numPr>
        <w:rPr>
          <w:bCs/>
          <w:color w:val="auto"/>
        </w:rPr>
      </w:pPr>
      <w:r w:rsidRPr="003B1CFF">
        <w:rPr>
          <w:bCs/>
          <w:color w:val="auto"/>
        </w:rPr>
        <w:t>The e</w:t>
      </w:r>
      <w:r w:rsidR="004A23C1" w:rsidRPr="003B1CFF">
        <w:rPr>
          <w:bCs/>
          <w:color w:val="auto"/>
        </w:rPr>
        <w:t>stablishment of the National Human Rights Commission</w:t>
      </w:r>
      <w:r w:rsidR="000F4E68" w:rsidRPr="003B1CFF">
        <w:rPr>
          <w:bCs/>
          <w:color w:val="auto"/>
        </w:rPr>
        <w:t>;</w:t>
      </w:r>
      <w:r w:rsidR="004A23C1" w:rsidRPr="003B1CFF">
        <w:rPr>
          <w:bCs/>
          <w:color w:val="auto"/>
        </w:rPr>
        <w:t xml:space="preserve"> </w:t>
      </w:r>
    </w:p>
    <w:p w:rsidR="000F4E68" w:rsidRDefault="000F4E68" w:rsidP="00211DDE">
      <w:pPr>
        <w:pStyle w:val="Default"/>
        <w:numPr>
          <w:ilvl w:val="0"/>
          <w:numId w:val="12"/>
        </w:numPr>
        <w:rPr>
          <w:bCs/>
          <w:color w:val="auto"/>
        </w:rPr>
      </w:pPr>
      <w:r w:rsidRPr="003B1CFF">
        <w:rPr>
          <w:bCs/>
          <w:color w:val="auto"/>
        </w:rPr>
        <w:t>The constitutional review process;</w:t>
      </w:r>
    </w:p>
    <w:p w:rsidR="008D2384" w:rsidRPr="003B1CFF" w:rsidRDefault="00D25271" w:rsidP="00211DDE">
      <w:pPr>
        <w:pStyle w:val="Default"/>
        <w:numPr>
          <w:ilvl w:val="0"/>
          <w:numId w:val="12"/>
        </w:numPr>
        <w:rPr>
          <w:bCs/>
          <w:color w:val="auto"/>
        </w:rPr>
      </w:pPr>
      <w:r>
        <w:rPr>
          <w:bCs/>
          <w:color w:val="auto"/>
        </w:rPr>
        <w:t>Examples and results of p</w:t>
      </w:r>
      <w:r w:rsidR="008D2384">
        <w:rPr>
          <w:bCs/>
          <w:color w:val="auto"/>
        </w:rPr>
        <w:t xml:space="preserve">articipatory and people centred </w:t>
      </w:r>
      <w:r w:rsidR="00894AB9">
        <w:rPr>
          <w:bCs/>
          <w:color w:val="auto"/>
        </w:rPr>
        <w:t xml:space="preserve">transitional justice </w:t>
      </w:r>
      <w:r w:rsidR="008D2384">
        <w:rPr>
          <w:bCs/>
          <w:color w:val="auto"/>
        </w:rPr>
        <w:t>processes</w:t>
      </w:r>
      <w:r w:rsidR="00894AB9">
        <w:rPr>
          <w:bCs/>
          <w:color w:val="auto"/>
        </w:rPr>
        <w:t xml:space="preserve">, </w:t>
      </w:r>
      <w:r w:rsidR="00894AB9" w:rsidRPr="003C674C">
        <w:rPr>
          <w:bCs/>
          <w:color w:val="auto"/>
          <w:lang w:val="en-US"/>
        </w:rPr>
        <w:t>including specific measures to ensure full, effective and equal participation of women and girls, increase their role in decision-making, and contribute to their empowerment</w:t>
      </w:r>
      <w:r w:rsidR="008D2384">
        <w:rPr>
          <w:bCs/>
          <w:color w:val="auto"/>
        </w:rPr>
        <w:t>;</w:t>
      </w:r>
    </w:p>
    <w:p w:rsidR="000F4E68" w:rsidRPr="003B1CFF" w:rsidRDefault="00EF2D51" w:rsidP="00211DDE">
      <w:pPr>
        <w:pStyle w:val="Default"/>
        <w:numPr>
          <w:ilvl w:val="0"/>
          <w:numId w:val="12"/>
        </w:numPr>
        <w:rPr>
          <w:bCs/>
          <w:color w:val="auto"/>
        </w:rPr>
      </w:pPr>
      <w:r w:rsidRPr="003B1CFF">
        <w:rPr>
          <w:bCs/>
          <w:color w:val="auto"/>
        </w:rPr>
        <w:t>R</w:t>
      </w:r>
      <w:r w:rsidR="000F4E68" w:rsidRPr="003B1CFF">
        <w:rPr>
          <w:bCs/>
          <w:color w:val="auto"/>
        </w:rPr>
        <w:t>ights of persons in detention, including juvenile justice;</w:t>
      </w:r>
    </w:p>
    <w:p w:rsidR="00EC4DB4" w:rsidRPr="003B1CFF" w:rsidRDefault="00EC4DB4" w:rsidP="00EC4DB4">
      <w:pPr>
        <w:pStyle w:val="Default"/>
        <w:numPr>
          <w:ilvl w:val="0"/>
          <w:numId w:val="12"/>
        </w:numPr>
        <w:rPr>
          <w:bCs/>
          <w:color w:val="auto"/>
        </w:rPr>
      </w:pPr>
      <w:r w:rsidRPr="003B1CFF">
        <w:rPr>
          <w:bCs/>
          <w:color w:val="auto"/>
        </w:rPr>
        <w:t>Access to justice and reparations for victims, including victims of sexual and gender-based violence;</w:t>
      </w:r>
    </w:p>
    <w:p w:rsidR="00520CB4" w:rsidRDefault="00520CB4" w:rsidP="00211DDE">
      <w:pPr>
        <w:pStyle w:val="Default"/>
        <w:numPr>
          <w:ilvl w:val="0"/>
          <w:numId w:val="12"/>
        </w:numPr>
        <w:rPr>
          <w:bCs/>
          <w:color w:val="auto"/>
        </w:rPr>
      </w:pPr>
      <w:r>
        <w:rPr>
          <w:bCs/>
          <w:color w:val="auto"/>
        </w:rPr>
        <w:t>Mechanisms established to hold alleged perpetrators accountable for violations of human rights;</w:t>
      </w:r>
    </w:p>
    <w:p w:rsidR="008F67C8" w:rsidRPr="008F67C8" w:rsidRDefault="008F67C8" w:rsidP="00211DDE">
      <w:pPr>
        <w:pStyle w:val="Default"/>
        <w:numPr>
          <w:ilvl w:val="0"/>
          <w:numId w:val="12"/>
        </w:numPr>
        <w:rPr>
          <w:bCs/>
          <w:color w:val="auto"/>
        </w:rPr>
      </w:pPr>
      <w:r>
        <w:rPr>
          <w:bCs/>
          <w:color w:val="auto"/>
          <w:lang w:val="en-US"/>
        </w:rPr>
        <w:t>C</w:t>
      </w:r>
      <w:r w:rsidR="00EC4DB4">
        <w:rPr>
          <w:bCs/>
          <w:color w:val="auto"/>
          <w:lang w:val="en-US"/>
        </w:rPr>
        <w:t xml:space="preserve">hallenges </w:t>
      </w:r>
      <w:r>
        <w:rPr>
          <w:bCs/>
          <w:color w:val="auto"/>
          <w:lang w:val="en-US"/>
        </w:rPr>
        <w:t>presented by</w:t>
      </w:r>
      <w:r w:rsidR="00EC4DB4">
        <w:rPr>
          <w:bCs/>
          <w:color w:val="auto"/>
          <w:lang w:val="en-US"/>
        </w:rPr>
        <w:t xml:space="preserve"> </w:t>
      </w:r>
      <w:r w:rsidR="007D1AF3" w:rsidRPr="003B1CFF">
        <w:rPr>
          <w:bCs/>
          <w:color w:val="auto"/>
          <w:lang w:val="en-US"/>
        </w:rPr>
        <w:t>each of the items listed above</w:t>
      </w:r>
      <w:r>
        <w:rPr>
          <w:bCs/>
          <w:color w:val="auto"/>
          <w:lang w:val="en-US"/>
        </w:rPr>
        <w:t>;</w:t>
      </w:r>
    </w:p>
    <w:p w:rsidR="00D754BF" w:rsidRPr="003B1CFF" w:rsidRDefault="008F67C8" w:rsidP="00211DDE">
      <w:pPr>
        <w:pStyle w:val="Default"/>
        <w:numPr>
          <w:ilvl w:val="0"/>
          <w:numId w:val="12"/>
        </w:numPr>
        <w:rPr>
          <w:bCs/>
          <w:color w:val="auto"/>
        </w:rPr>
      </w:pPr>
      <w:r>
        <w:rPr>
          <w:bCs/>
          <w:color w:val="auto"/>
          <w:lang w:val="en-US"/>
        </w:rPr>
        <w:t>Measures to address the challenges above</w:t>
      </w:r>
      <w:r w:rsidR="00D754BF" w:rsidRPr="003B1CFF">
        <w:rPr>
          <w:bCs/>
          <w:color w:val="auto"/>
          <w:lang w:val="en-US"/>
        </w:rPr>
        <w:t>.</w:t>
      </w:r>
    </w:p>
    <w:p w:rsidR="008156F2" w:rsidRPr="003B1CFF" w:rsidRDefault="008156F2" w:rsidP="00211DDE">
      <w:pPr>
        <w:pStyle w:val="Default"/>
        <w:ind w:left="1503"/>
        <w:rPr>
          <w:bCs/>
          <w:color w:val="auto"/>
        </w:rPr>
      </w:pPr>
    </w:p>
    <w:p w:rsidR="008156F2" w:rsidRPr="003B1CFF" w:rsidRDefault="00893461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F</w:t>
      </w:r>
      <w:r w:rsidR="008156F2" w:rsidRPr="003B1CFF">
        <w:rPr>
          <w:b/>
          <w:bCs/>
          <w:color w:val="auto"/>
        </w:rPr>
        <w:t>reedom of opinion and expre</w:t>
      </w:r>
      <w:r w:rsidR="00D0436D" w:rsidRPr="003B1CFF">
        <w:rPr>
          <w:b/>
          <w:bCs/>
          <w:color w:val="auto"/>
        </w:rPr>
        <w:t>ssion, assembly and association</w:t>
      </w:r>
    </w:p>
    <w:p w:rsidR="005F216F" w:rsidRPr="003B1CFF" w:rsidRDefault="00D247B4" w:rsidP="00211DDE">
      <w:pPr>
        <w:pStyle w:val="Default"/>
        <w:numPr>
          <w:ilvl w:val="0"/>
          <w:numId w:val="9"/>
        </w:numPr>
        <w:rPr>
          <w:bCs/>
          <w:color w:val="auto"/>
        </w:rPr>
      </w:pPr>
      <w:r w:rsidRPr="003B1CFF">
        <w:rPr>
          <w:bCs/>
          <w:color w:val="auto"/>
        </w:rPr>
        <w:t>Cases of p</w:t>
      </w:r>
      <w:r w:rsidR="003745B4" w:rsidRPr="003B1CFF">
        <w:rPr>
          <w:bCs/>
          <w:color w:val="auto"/>
        </w:rPr>
        <w:t xml:space="preserve">hysical attacks, </w:t>
      </w:r>
      <w:r w:rsidRPr="003B1CFF">
        <w:rPr>
          <w:bCs/>
          <w:color w:val="auto"/>
        </w:rPr>
        <w:t xml:space="preserve">including killings, </w:t>
      </w:r>
      <w:r w:rsidR="005F216F" w:rsidRPr="003B1CFF">
        <w:rPr>
          <w:bCs/>
          <w:color w:val="auto"/>
        </w:rPr>
        <w:t>harassment and intimidatio</w:t>
      </w:r>
      <w:r w:rsidR="003745B4" w:rsidRPr="003B1CFF">
        <w:rPr>
          <w:bCs/>
          <w:color w:val="auto"/>
        </w:rPr>
        <w:t>n of</w:t>
      </w:r>
      <w:r w:rsidR="005F216F" w:rsidRPr="003B1CFF">
        <w:rPr>
          <w:bCs/>
          <w:color w:val="auto"/>
        </w:rPr>
        <w:t xml:space="preserve"> journalists</w:t>
      </w:r>
      <w:r w:rsidR="00D0436D" w:rsidRPr="003B1CFF">
        <w:rPr>
          <w:bCs/>
          <w:color w:val="auto"/>
        </w:rPr>
        <w:t>, media professionals</w:t>
      </w:r>
      <w:r w:rsidR="005F216F" w:rsidRPr="003B1CFF">
        <w:rPr>
          <w:bCs/>
          <w:color w:val="auto"/>
        </w:rPr>
        <w:t xml:space="preserve"> and human rights defenders</w:t>
      </w:r>
      <w:r w:rsidR="00D0436D" w:rsidRPr="003B1CFF">
        <w:rPr>
          <w:bCs/>
          <w:color w:val="auto"/>
        </w:rPr>
        <w:t xml:space="preserve">; </w:t>
      </w:r>
    </w:p>
    <w:p w:rsidR="005F216F" w:rsidRPr="003B1CFF" w:rsidRDefault="005F216F" w:rsidP="00211DDE">
      <w:pPr>
        <w:pStyle w:val="Default"/>
        <w:numPr>
          <w:ilvl w:val="0"/>
          <w:numId w:val="9"/>
        </w:numPr>
        <w:rPr>
          <w:bCs/>
          <w:color w:val="auto"/>
        </w:rPr>
      </w:pPr>
      <w:r w:rsidRPr="003B1CFF">
        <w:rPr>
          <w:bCs/>
          <w:color w:val="auto"/>
        </w:rPr>
        <w:t>Arrests and detention</w:t>
      </w:r>
      <w:r w:rsidR="0077380F">
        <w:rPr>
          <w:bCs/>
          <w:color w:val="auto"/>
        </w:rPr>
        <w:t>s</w:t>
      </w:r>
      <w:bookmarkStart w:id="0" w:name="_GoBack"/>
      <w:bookmarkEnd w:id="0"/>
      <w:r w:rsidRPr="003B1CFF">
        <w:rPr>
          <w:bCs/>
          <w:color w:val="auto"/>
        </w:rPr>
        <w:t xml:space="preserve"> of journalists</w:t>
      </w:r>
      <w:r w:rsidR="00D0436D" w:rsidRPr="003B1CFF">
        <w:rPr>
          <w:bCs/>
          <w:color w:val="auto"/>
        </w:rPr>
        <w:t>, media professionals</w:t>
      </w:r>
      <w:r w:rsidRPr="003B1CFF">
        <w:rPr>
          <w:bCs/>
          <w:color w:val="auto"/>
        </w:rPr>
        <w:t xml:space="preserve"> and human rights defenders</w:t>
      </w:r>
      <w:r w:rsidR="00D0436D" w:rsidRPr="003B1CFF">
        <w:rPr>
          <w:bCs/>
          <w:color w:val="auto"/>
        </w:rPr>
        <w:t>;</w:t>
      </w:r>
    </w:p>
    <w:p w:rsidR="00775C76" w:rsidRPr="003B1CFF" w:rsidRDefault="000D0610" w:rsidP="00775C76">
      <w:pPr>
        <w:pStyle w:val="Default"/>
        <w:numPr>
          <w:ilvl w:val="0"/>
          <w:numId w:val="9"/>
        </w:numPr>
        <w:rPr>
          <w:bCs/>
          <w:color w:val="auto"/>
        </w:rPr>
      </w:pPr>
      <w:r w:rsidRPr="003B1CFF">
        <w:rPr>
          <w:bCs/>
          <w:color w:val="auto"/>
        </w:rPr>
        <w:t xml:space="preserve">Measures taken by the government to </w:t>
      </w:r>
      <w:r w:rsidR="00775C76">
        <w:rPr>
          <w:bCs/>
          <w:color w:val="auto"/>
        </w:rPr>
        <w:t>protect journalists, media professionals and human rights defenders from such acts and bring perpetrators to justice;</w:t>
      </w:r>
    </w:p>
    <w:p w:rsidR="00C00D48" w:rsidRPr="003B1CFF" w:rsidRDefault="00C00D48" w:rsidP="00211DDE">
      <w:pPr>
        <w:pStyle w:val="Default"/>
        <w:numPr>
          <w:ilvl w:val="0"/>
          <w:numId w:val="9"/>
        </w:numPr>
        <w:rPr>
          <w:bCs/>
          <w:color w:val="auto"/>
        </w:rPr>
      </w:pPr>
      <w:r w:rsidRPr="003B1CFF">
        <w:rPr>
          <w:bCs/>
          <w:color w:val="auto"/>
        </w:rPr>
        <w:t>Measures</w:t>
      </w:r>
      <w:r w:rsidR="000F02A4" w:rsidRPr="003B1CFF">
        <w:rPr>
          <w:bCs/>
          <w:color w:val="auto"/>
        </w:rPr>
        <w:t xml:space="preserve"> taken by </w:t>
      </w:r>
      <w:r w:rsidR="000D0610" w:rsidRPr="003B1CFF">
        <w:rPr>
          <w:bCs/>
          <w:color w:val="auto"/>
        </w:rPr>
        <w:t xml:space="preserve">the government </w:t>
      </w:r>
      <w:r w:rsidRPr="003B1CFF">
        <w:rPr>
          <w:bCs/>
          <w:color w:val="auto"/>
        </w:rPr>
        <w:t xml:space="preserve">to enhance </w:t>
      </w:r>
      <w:r w:rsidR="00D0436D" w:rsidRPr="003B1CFF">
        <w:rPr>
          <w:bCs/>
          <w:color w:val="auto"/>
        </w:rPr>
        <w:t>civic space and promote the participation of civil society</w:t>
      </w:r>
      <w:r w:rsidR="000F02A4" w:rsidRPr="003B1CFF">
        <w:rPr>
          <w:bCs/>
          <w:color w:val="auto"/>
        </w:rPr>
        <w:t>.</w:t>
      </w:r>
    </w:p>
    <w:p w:rsidR="005F216F" w:rsidRPr="003B1CFF" w:rsidRDefault="005F216F" w:rsidP="00211DDE">
      <w:pPr>
        <w:pStyle w:val="Default"/>
        <w:ind w:left="1440"/>
        <w:rPr>
          <w:bCs/>
          <w:color w:val="auto"/>
        </w:rPr>
      </w:pPr>
    </w:p>
    <w:p w:rsidR="00E8105C" w:rsidRPr="003B1CFF" w:rsidRDefault="00E8105C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 xml:space="preserve">Access to economic, social and cultural rights, in particular: </w:t>
      </w:r>
    </w:p>
    <w:p w:rsidR="008F47E2" w:rsidRPr="003B1CFF" w:rsidRDefault="008F47E2" w:rsidP="00211DDE">
      <w:pPr>
        <w:pStyle w:val="Default"/>
        <w:numPr>
          <w:ilvl w:val="0"/>
          <w:numId w:val="7"/>
        </w:numPr>
        <w:rPr>
          <w:bCs/>
          <w:color w:val="auto"/>
        </w:rPr>
      </w:pPr>
      <w:r w:rsidRPr="003B1CFF">
        <w:rPr>
          <w:bCs/>
          <w:color w:val="auto"/>
        </w:rPr>
        <w:t xml:space="preserve">Measures taken by the government to ensure access to </w:t>
      </w:r>
      <w:r w:rsidR="00EC4DB4">
        <w:rPr>
          <w:bCs/>
          <w:color w:val="auto"/>
        </w:rPr>
        <w:t xml:space="preserve">ESCRs, including </w:t>
      </w:r>
      <w:r w:rsidR="00E8105C" w:rsidRPr="003B1CFF">
        <w:rPr>
          <w:bCs/>
          <w:color w:val="auto"/>
        </w:rPr>
        <w:t>the</w:t>
      </w:r>
      <w:r w:rsidRPr="003B1CFF">
        <w:rPr>
          <w:bCs/>
          <w:color w:val="auto"/>
        </w:rPr>
        <w:t>:</w:t>
      </w:r>
      <w:r w:rsidR="00E8105C" w:rsidRPr="003B1CFF">
        <w:rPr>
          <w:bCs/>
          <w:color w:val="auto"/>
        </w:rPr>
        <w:t xml:space="preserve"> </w:t>
      </w:r>
    </w:p>
    <w:p w:rsidR="00204964" w:rsidRPr="003B1CFF" w:rsidRDefault="00204964" w:rsidP="00211DDE">
      <w:pPr>
        <w:pStyle w:val="Default"/>
        <w:numPr>
          <w:ilvl w:val="2"/>
          <w:numId w:val="16"/>
        </w:numPr>
        <w:ind w:left="1843" w:hanging="142"/>
        <w:rPr>
          <w:bCs/>
          <w:color w:val="auto"/>
        </w:rPr>
      </w:pPr>
      <w:r w:rsidRPr="003B1CFF">
        <w:rPr>
          <w:bCs/>
          <w:color w:val="auto"/>
        </w:rPr>
        <w:t>right to education;</w:t>
      </w:r>
    </w:p>
    <w:p w:rsidR="00204964" w:rsidRPr="003B1CFF" w:rsidRDefault="00204964" w:rsidP="00211DDE">
      <w:pPr>
        <w:pStyle w:val="Default"/>
        <w:numPr>
          <w:ilvl w:val="2"/>
          <w:numId w:val="16"/>
        </w:numPr>
        <w:ind w:left="1843" w:hanging="142"/>
        <w:rPr>
          <w:bCs/>
          <w:color w:val="auto"/>
        </w:rPr>
      </w:pPr>
      <w:r w:rsidRPr="003B1CFF">
        <w:rPr>
          <w:bCs/>
          <w:color w:val="auto"/>
        </w:rPr>
        <w:t>right to health;</w:t>
      </w:r>
    </w:p>
    <w:p w:rsidR="00204964" w:rsidRPr="003B1CFF" w:rsidRDefault="00204964" w:rsidP="00211DDE">
      <w:pPr>
        <w:pStyle w:val="Default"/>
        <w:numPr>
          <w:ilvl w:val="2"/>
          <w:numId w:val="16"/>
        </w:numPr>
        <w:ind w:left="1843" w:hanging="142"/>
        <w:rPr>
          <w:bCs/>
          <w:color w:val="auto"/>
        </w:rPr>
      </w:pPr>
      <w:r w:rsidRPr="003B1CFF">
        <w:rPr>
          <w:bCs/>
          <w:color w:val="auto"/>
        </w:rPr>
        <w:t xml:space="preserve">right to water and sanitation; </w:t>
      </w:r>
    </w:p>
    <w:p w:rsidR="00204964" w:rsidRPr="003B1CFF" w:rsidRDefault="00204964" w:rsidP="00211DDE">
      <w:pPr>
        <w:pStyle w:val="Default"/>
        <w:numPr>
          <w:ilvl w:val="2"/>
          <w:numId w:val="16"/>
        </w:numPr>
        <w:ind w:left="1843" w:hanging="142"/>
        <w:rPr>
          <w:bCs/>
          <w:color w:val="auto"/>
        </w:rPr>
      </w:pPr>
      <w:r w:rsidRPr="003B1CFF">
        <w:rPr>
          <w:bCs/>
          <w:color w:val="auto"/>
        </w:rPr>
        <w:t>right to adequate housing;</w:t>
      </w:r>
    </w:p>
    <w:p w:rsidR="00204964" w:rsidRPr="003B1CFF" w:rsidRDefault="00204964" w:rsidP="00211DDE">
      <w:pPr>
        <w:pStyle w:val="Default"/>
        <w:numPr>
          <w:ilvl w:val="2"/>
          <w:numId w:val="16"/>
        </w:numPr>
        <w:ind w:left="1843" w:hanging="142"/>
        <w:rPr>
          <w:bCs/>
          <w:color w:val="auto"/>
        </w:rPr>
      </w:pPr>
      <w:r w:rsidRPr="003B1CFF">
        <w:rPr>
          <w:bCs/>
          <w:color w:val="auto"/>
        </w:rPr>
        <w:t>right to adequate food;</w:t>
      </w:r>
    </w:p>
    <w:p w:rsidR="00204964" w:rsidRPr="003B1CFF" w:rsidRDefault="00204964" w:rsidP="00211DDE">
      <w:pPr>
        <w:pStyle w:val="Default"/>
        <w:numPr>
          <w:ilvl w:val="2"/>
          <w:numId w:val="16"/>
        </w:numPr>
        <w:ind w:left="1843" w:hanging="142"/>
        <w:rPr>
          <w:bCs/>
          <w:color w:val="auto"/>
        </w:rPr>
      </w:pPr>
      <w:r w:rsidRPr="003B1CFF">
        <w:rPr>
          <w:bCs/>
          <w:color w:val="auto"/>
        </w:rPr>
        <w:t>right to work</w:t>
      </w:r>
    </w:p>
    <w:p w:rsidR="00204964" w:rsidRPr="003B1CFF" w:rsidRDefault="007D14CC" w:rsidP="00211DDE">
      <w:pPr>
        <w:pStyle w:val="Default"/>
        <w:numPr>
          <w:ilvl w:val="0"/>
          <w:numId w:val="7"/>
        </w:numPr>
        <w:rPr>
          <w:bCs/>
          <w:color w:val="auto"/>
        </w:rPr>
      </w:pPr>
      <w:r w:rsidRPr="003B1CFF">
        <w:rPr>
          <w:bCs/>
          <w:color w:val="auto"/>
        </w:rPr>
        <w:t>Main c</w:t>
      </w:r>
      <w:r w:rsidR="00204964" w:rsidRPr="003B1CFF">
        <w:rPr>
          <w:bCs/>
          <w:color w:val="auto"/>
        </w:rPr>
        <w:t>hallenges faced in the provision of these rights</w:t>
      </w:r>
    </w:p>
    <w:p w:rsidR="002B058D" w:rsidRPr="003B1CFF" w:rsidRDefault="002B058D" w:rsidP="00211DDE">
      <w:pPr>
        <w:pStyle w:val="Default"/>
        <w:ind w:left="1440"/>
        <w:rPr>
          <w:bCs/>
          <w:color w:val="auto"/>
        </w:rPr>
      </w:pPr>
    </w:p>
    <w:p w:rsidR="00351B85" w:rsidRPr="003B1CFF" w:rsidRDefault="00B55D11" w:rsidP="00211DDE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Groups in focus</w:t>
      </w:r>
      <w:r w:rsidR="005F216F" w:rsidRPr="003B1CFF">
        <w:rPr>
          <w:b/>
          <w:bCs/>
          <w:color w:val="auto"/>
        </w:rPr>
        <w:t>:</w:t>
      </w:r>
    </w:p>
    <w:p w:rsidR="002B058D" w:rsidRPr="003B1CFF" w:rsidRDefault="002B058D" w:rsidP="00211DDE">
      <w:pPr>
        <w:pStyle w:val="Default"/>
        <w:ind w:left="720"/>
        <w:rPr>
          <w:b/>
          <w:bCs/>
          <w:color w:val="auto"/>
        </w:rPr>
      </w:pPr>
    </w:p>
    <w:p w:rsidR="00AA62AC" w:rsidRPr="003C674C" w:rsidRDefault="00351B85" w:rsidP="003C674C">
      <w:pPr>
        <w:pStyle w:val="Default"/>
        <w:numPr>
          <w:ilvl w:val="0"/>
          <w:numId w:val="8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Women</w:t>
      </w:r>
      <w:r w:rsidR="005F216F" w:rsidRPr="003B1CFF">
        <w:rPr>
          <w:b/>
          <w:bCs/>
          <w:color w:val="auto"/>
        </w:rPr>
        <w:t xml:space="preserve"> </w:t>
      </w:r>
    </w:p>
    <w:p w:rsidR="00AA62AC" w:rsidRPr="003C674C" w:rsidRDefault="00775E13" w:rsidP="003C674C">
      <w:pPr>
        <w:pStyle w:val="Default"/>
        <w:numPr>
          <w:ilvl w:val="0"/>
          <w:numId w:val="13"/>
        </w:numPr>
        <w:rPr>
          <w:bCs/>
          <w:color w:val="auto"/>
        </w:rPr>
      </w:pPr>
      <w:r w:rsidRPr="003C674C">
        <w:rPr>
          <w:bCs/>
          <w:color w:val="auto"/>
        </w:rPr>
        <w:t>Women’s participation in political, peace and national reconciliation processes and in all decision-making structures;</w:t>
      </w:r>
    </w:p>
    <w:p w:rsidR="00AA62AC" w:rsidRPr="003C674C" w:rsidRDefault="00775E13" w:rsidP="003C674C">
      <w:pPr>
        <w:pStyle w:val="Default"/>
        <w:numPr>
          <w:ilvl w:val="0"/>
          <w:numId w:val="13"/>
        </w:numPr>
        <w:rPr>
          <w:bCs/>
          <w:color w:val="auto"/>
        </w:rPr>
      </w:pPr>
      <w:r w:rsidRPr="003C674C">
        <w:rPr>
          <w:bCs/>
          <w:color w:val="auto"/>
        </w:rPr>
        <w:t>Violations and abuses of women's rights, in particular se</w:t>
      </w:r>
      <w:r w:rsidR="002B058D" w:rsidRPr="003C674C">
        <w:rPr>
          <w:bCs/>
          <w:color w:val="auto"/>
        </w:rPr>
        <w:t>xual and gender-based violence and female genital mutilation</w:t>
      </w:r>
      <w:r w:rsidR="002D1077" w:rsidRPr="003C674C">
        <w:rPr>
          <w:bCs/>
          <w:color w:val="auto"/>
        </w:rPr>
        <w:t>;</w:t>
      </w:r>
    </w:p>
    <w:p w:rsidR="00AA62AC" w:rsidRPr="003C674C" w:rsidRDefault="00775E13" w:rsidP="003C674C">
      <w:pPr>
        <w:pStyle w:val="Default"/>
        <w:numPr>
          <w:ilvl w:val="0"/>
          <w:numId w:val="13"/>
        </w:numPr>
        <w:rPr>
          <w:bCs/>
          <w:color w:val="auto"/>
        </w:rPr>
      </w:pPr>
      <w:r w:rsidRPr="003C674C">
        <w:rPr>
          <w:bCs/>
          <w:color w:val="auto"/>
        </w:rPr>
        <w:lastRenderedPageBreak/>
        <w:t>Women's access to justice, including survivors of sexual and gender-based violence;</w:t>
      </w:r>
    </w:p>
    <w:p w:rsidR="00775E13" w:rsidRPr="003C674C" w:rsidRDefault="002B058D" w:rsidP="003C674C">
      <w:pPr>
        <w:pStyle w:val="Default"/>
        <w:numPr>
          <w:ilvl w:val="0"/>
          <w:numId w:val="13"/>
        </w:numPr>
        <w:rPr>
          <w:bCs/>
          <w:color w:val="auto"/>
        </w:rPr>
      </w:pPr>
      <w:r w:rsidRPr="003C674C">
        <w:rPr>
          <w:bCs/>
          <w:color w:val="auto"/>
        </w:rPr>
        <w:t>M</w:t>
      </w:r>
      <w:r w:rsidR="00775E13" w:rsidRPr="003C674C">
        <w:rPr>
          <w:bCs/>
          <w:color w:val="auto"/>
        </w:rPr>
        <w:t xml:space="preserve">easures taken by the </w:t>
      </w:r>
      <w:r w:rsidRPr="003C674C">
        <w:rPr>
          <w:bCs/>
          <w:color w:val="auto"/>
        </w:rPr>
        <w:t>relevant</w:t>
      </w:r>
      <w:r w:rsidR="00775E13" w:rsidRPr="003C674C">
        <w:rPr>
          <w:bCs/>
          <w:color w:val="auto"/>
        </w:rPr>
        <w:t xml:space="preserve"> authorities to prevent or respond to violations and abuses of women's rights and the impact of these measures</w:t>
      </w:r>
      <w:r w:rsidR="002D1077" w:rsidRPr="003C674C">
        <w:rPr>
          <w:bCs/>
          <w:color w:val="auto"/>
        </w:rPr>
        <w:t>.</w:t>
      </w:r>
    </w:p>
    <w:p w:rsidR="002B058D" w:rsidRPr="003B1CFF" w:rsidRDefault="002B058D" w:rsidP="00211DDE">
      <w:pPr>
        <w:pStyle w:val="Default"/>
        <w:ind w:left="1701"/>
        <w:rPr>
          <w:bCs/>
          <w:color w:val="auto"/>
        </w:rPr>
      </w:pPr>
    </w:p>
    <w:p w:rsidR="00AA62AC" w:rsidRDefault="00351B85" w:rsidP="003C674C">
      <w:pPr>
        <w:pStyle w:val="Default"/>
        <w:numPr>
          <w:ilvl w:val="0"/>
          <w:numId w:val="8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 xml:space="preserve">Children </w:t>
      </w:r>
    </w:p>
    <w:p w:rsidR="00AA62AC" w:rsidRPr="003C674C" w:rsidRDefault="00215FBE" w:rsidP="003C674C">
      <w:pPr>
        <w:pStyle w:val="Default"/>
        <w:numPr>
          <w:ilvl w:val="0"/>
          <w:numId w:val="17"/>
        </w:numPr>
        <w:ind w:left="1418" w:hanging="284"/>
        <w:rPr>
          <w:b/>
          <w:bCs/>
          <w:color w:val="auto"/>
        </w:rPr>
      </w:pPr>
      <w:r w:rsidRPr="003C674C">
        <w:rPr>
          <w:bCs/>
          <w:color w:val="auto"/>
        </w:rPr>
        <w:t xml:space="preserve">The killing and </w:t>
      </w:r>
      <w:r w:rsidR="00B55D11" w:rsidRPr="003C674C">
        <w:rPr>
          <w:bCs/>
          <w:color w:val="auto"/>
        </w:rPr>
        <w:t>maiming of children;</w:t>
      </w:r>
    </w:p>
    <w:p w:rsidR="00AA62AC" w:rsidRPr="003C674C" w:rsidRDefault="00A25D11" w:rsidP="003C674C">
      <w:pPr>
        <w:pStyle w:val="Default"/>
        <w:numPr>
          <w:ilvl w:val="0"/>
          <w:numId w:val="17"/>
        </w:numPr>
        <w:ind w:left="1418" w:hanging="284"/>
        <w:rPr>
          <w:bCs/>
          <w:color w:val="auto"/>
        </w:rPr>
      </w:pPr>
      <w:r w:rsidRPr="003C674C">
        <w:rPr>
          <w:bCs/>
          <w:color w:val="auto"/>
        </w:rPr>
        <w:t>Abduction, r</w:t>
      </w:r>
      <w:r w:rsidR="00B55D11" w:rsidRPr="003C674C">
        <w:rPr>
          <w:bCs/>
          <w:color w:val="auto"/>
        </w:rPr>
        <w:t>ecruitment or use of children by armed forces or groups;</w:t>
      </w:r>
    </w:p>
    <w:p w:rsidR="00AA62AC" w:rsidRPr="003C674C" w:rsidRDefault="00215FBE" w:rsidP="003C674C">
      <w:pPr>
        <w:pStyle w:val="Default"/>
        <w:numPr>
          <w:ilvl w:val="0"/>
          <w:numId w:val="17"/>
        </w:numPr>
        <w:ind w:left="1418" w:hanging="284"/>
        <w:rPr>
          <w:bCs/>
          <w:color w:val="auto"/>
        </w:rPr>
      </w:pPr>
      <w:r w:rsidRPr="003C674C">
        <w:rPr>
          <w:bCs/>
          <w:color w:val="auto"/>
        </w:rPr>
        <w:t>Child, e</w:t>
      </w:r>
      <w:r w:rsidR="00A25D11" w:rsidRPr="003C674C">
        <w:rPr>
          <w:bCs/>
          <w:color w:val="auto"/>
        </w:rPr>
        <w:t>arly</w:t>
      </w:r>
      <w:r w:rsidRPr="003C674C">
        <w:rPr>
          <w:bCs/>
          <w:color w:val="auto"/>
        </w:rPr>
        <w:t xml:space="preserve"> and forced</w:t>
      </w:r>
      <w:r w:rsidR="00A25D11" w:rsidRPr="003C674C">
        <w:rPr>
          <w:bCs/>
          <w:color w:val="auto"/>
        </w:rPr>
        <w:t xml:space="preserve"> marriages, gender and s</w:t>
      </w:r>
      <w:r w:rsidR="00B55D11" w:rsidRPr="003C674C">
        <w:rPr>
          <w:bCs/>
          <w:color w:val="auto"/>
        </w:rPr>
        <w:t xml:space="preserve">exual </w:t>
      </w:r>
      <w:r w:rsidR="00A25D11" w:rsidRPr="003C674C">
        <w:rPr>
          <w:bCs/>
          <w:color w:val="auto"/>
        </w:rPr>
        <w:t xml:space="preserve">based </w:t>
      </w:r>
      <w:r w:rsidR="00B55D11" w:rsidRPr="003C674C">
        <w:rPr>
          <w:bCs/>
          <w:color w:val="auto"/>
        </w:rPr>
        <w:t xml:space="preserve">violence </w:t>
      </w:r>
      <w:r w:rsidR="00A25D11" w:rsidRPr="003C674C">
        <w:rPr>
          <w:bCs/>
          <w:color w:val="auto"/>
        </w:rPr>
        <w:t>and child labour;</w:t>
      </w:r>
    </w:p>
    <w:p w:rsidR="00AA62AC" w:rsidRPr="003C674C" w:rsidRDefault="00B55D11" w:rsidP="003C674C">
      <w:pPr>
        <w:pStyle w:val="Default"/>
        <w:numPr>
          <w:ilvl w:val="0"/>
          <w:numId w:val="17"/>
        </w:numPr>
        <w:ind w:left="1418" w:hanging="284"/>
        <w:rPr>
          <w:bCs/>
          <w:color w:val="auto"/>
        </w:rPr>
      </w:pPr>
      <w:r w:rsidRPr="003C674C">
        <w:rPr>
          <w:bCs/>
          <w:color w:val="auto"/>
        </w:rPr>
        <w:t xml:space="preserve">Attacks on schools </w:t>
      </w:r>
      <w:r w:rsidR="00AA62AC">
        <w:rPr>
          <w:bCs/>
          <w:color w:val="auto"/>
        </w:rPr>
        <w:t>and</w:t>
      </w:r>
      <w:r w:rsidRPr="003C674C">
        <w:rPr>
          <w:bCs/>
          <w:color w:val="auto"/>
        </w:rPr>
        <w:t xml:space="preserve"> hospitals;</w:t>
      </w:r>
    </w:p>
    <w:p w:rsidR="00AA62AC" w:rsidRPr="003C674C" w:rsidRDefault="00B55D11" w:rsidP="003C674C">
      <w:pPr>
        <w:pStyle w:val="Default"/>
        <w:numPr>
          <w:ilvl w:val="0"/>
          <w:numId w:val="17"/>
        </w:numPr>
        <w:ind w:left="1418" w:hanging="284"/>
        <w:rPr>
          <w:bCs/>
          <w:color w:val="auto"/>
        </w:rPr>
      </w:pPr>
      <w:r w:rsidRPr="003C674C">
        <w:rPr>
          <w:bCs/>
          <w:color w:val="auto"/>
        </w:rPr>
        <w:t xml:space="preserve">Denial of humanitarian access </w:t>
      </w:r>
      <w:r w:rsidR="00AA62AC">
        <w:rPr>
          <w:bCs/>
          <w:color w:val="auto"/>
        </w:rPr>
        <w:t>for</w:t>
      </w:r>
      <w:r w:rsidRPr="003C674C">
        <w:rPr>
          <w:bCs/>
          <w:color w:val="auto"/>
        </w:rPr>
        <w:t xml:space="preserve"> children;</w:t>
      </w:r>
    </w:p>
    <w:p w:rsidR="002B058D" w:rsidRPr="003C674C" w:rsidRDefault="002B058D" w:rsidP="003C674C">
      <w:pPr>
        <w:pStyle w:val="Default"/>
        <w:numPr>
          <w:ilvl w:val="0"/>
          <w:numId w:val="17"/>
        </w:numPr>
        <w:ind w:left="1418" w:hanging="284"/>
        <w:rPr>
          <w:bCs/>
          <w:color w:val="auto"/>
        </w:rPr>
      </w:pPr>
      <w:r w:rsidRPr="003C674C">
        <w:rPr>
          <w:bCs/>
          <w:color w:val="auto"/>
        </w:rPr>
        <w:t>M</w:t>
      </w:r>
      <w:r w:rsidR="00B55D11" w:rsidRPr="003C674C">
        <w:rPr>
          <w:bCs/>
          <w:color w:val="auto"/>
        </w:rPr>
        <w:t xml:space="preserve">easures taken by the </w:t>
      </w:r>
      <w:r w:rsidRPr="003C674C">
        <w:rPr>
          <w:bCs/>
          <w:color w:val="auto"/>
        </w:rPr>
        <w:t>relevant</w:t>
      </w:r>
      <w:r w:rsidR="00B55D11" w:rsidRPr="003C674C">
        <w:rPr>
          <w:bCs/>
          <w:color w:val="auto"/>
        </w:rPr>
        <w:t xml:space="preserve"> authorities to prevent or respond to violations and abuses of children's rights</w:t>
      </w:r>
      <w:r w:rsidR="000F4E68" w:rsidRPr="003C674C">
        <w:rPr>
          <w:bCs/>
          <w:color w:val="auto"/>
        </w:rPr>
        <w:t xml:space="preserve">; including the existence of rehabilitation and reintegration programmes. </w:t>
      </w:r>
    </w:p>
    <w:p w:rsidR="000F4E68" w:rsidRPr="003B1CFF" w:rsidRDefault="000F4E68" w:rsidP="00211DDE">
      <w:pPr>
        <w:pStyle w:val="Default"/>
        <w:ind w:left="1701"/>
        <w:rPr>
          <w:bCs/>
          <w:color w:val="auto"/>
        </w:rPr>
      </w:pPr>
    </w:p>
    <w:p w:rsidR="00351B85" w:rsidRPr="003B1CFF" w:rsidRDefault="00351B85" w:rsidP="00211DDE">
      <w:pPr>
        <w:pStyle w:val="Default"/>
        <w:numPr>
          <w:ilvl w:val="0"/>
          <w:numId w:val="8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 xml:space="preserve">Youth  </w:t>
      </w:r>
    </w:p>
    <w:p w:rsidR="004A23C1" w:rsidRPr="003B1CFF" w:rsidRDefault="00AA62AC" w:rsidP="00211DDE">
      <w:pPr>
        <w:pStyle w:val="Default"/>
        <w:numPr>
          <w:ilvl w:val="0"/>
          <w:numId w:val="13"/>
        </w:numPr>
        <w:rPr>
          <w:bCs/>
          <w:color w:val="auto"/>
        </w:rPr>
      </w:pPr>
      <w:r>
        <w:rPr>
          <w:bCs/>
          <w:color w:val="auto"/>
        </w:rPr>
        <w:t xml:space="preserve">Obstacles to </w:t>
      </w:r>
      <w:r w:rsidR="004A23C1" w:rsidRPr="003B1CFF">
        <w:rPr>
          <w:bCs/>
          <w:color w:val="auto"/>
        </w:rPr>
        <w:t>the enjoyment of human rights by youth;</w:t>
      </w:r>
    </w:p>
    <w:p w:rsidR="004A23C1" w:rsidRPr="003B1CFF" w:rsidRDefault="004A23C1" w:rsidP="00211DDE">
      <w:pPr>
        <w:pStyle w:val="Default"/>
        <w:numPr>
          <w:ilvl w:val="0"/>
          <w:numId w:val="13"/>
        </w:numPr>
        <w:rPr>
          <w:bCs/>
          <w:color w:val="auto"/>
        </w:rPr>
      </w:pPr>
      <w:r w:rsidRPr="003B1CFF">
        <w:rPr>
          <w:bCs/>
          <w:color w:val="auto"/>
        </w:rPr>
        <w:t xml:space="preserve">Youth participation in </w:t>
      </w:r>
      <w:r w:rsidR="0066333E">
        <w:rPr>
          <w:bCs/>
          <w:color w:val="auto"/>
        </w:rPr>
        <w:t xml:space="preserve">decision making, including </w:t>
      </w:r>
      <w:r w:rsidR="0066333E" w:rsidRPr="003B1CFF">
        <w:rPr>
          <w:bCs/>
          <w:color w:val="auto"/>
        </w:rPr>
        <w:t>political, peace and</w:t>
      </w:r>
      <w:r w:rsidR="0066333E">
        <w:rPr>
          <w:bCs/>
          <w:color w:val="auto"/>
        </w:rPr>
        <w:t xml:space="preserve"> </w:t>
      </w:r>
      <w:r w:rsidRPr="003B1CFF">
        <w:rPr>
          <w:bCs/>
          <w:color w:val="auto"/>
        </w:rPr>
        <w:t>national reconciliation processes;</w:t>
      </w:r>
    </w:p>
    <w:p w:rsidR="004A23C1" w:rsidRPr="003B1CFF" w:rsidRDefault="004A23C1" w:rsidP="00211DDE">
      <w:pPr>
        <w:pStyle w:val="Default"/>
        <w:numPr>
          <w:ilvl w:val="0"/>
          <w:numId w:val="13"/>
        </w:numPr>
        <w:rPr>
          <w:bCs/>
          <w:color w:val="auto"/>
        </w:rPr>
      </w:pPr>
      <w:r w:rsidRPr="003B1CFF">
        <w:rPr>
          <w:bCs/>
          <w:color w:val="auto"/>
        </w:rPr>
        <w:t>Measures taken by the relevant authorities to promote youth empowerment</w:t>
      </w:r>
      <w:r w:rsidR="0066333E">
        <w:rPr>
          <w:bCs/>
          <w:color w:val="auto"/>
        </w:rPr>
        <w:t xml:space="preserve"> and development</w:t>
      </w:r>
      <w:r w:rsidRPr="003B1CFF">
        <w:rPr>
          <w:bCs/>
          <w:color w:val="auto"/>
        </w:rPr>
        <w:t xml:space="preserve">.  </w:t>
      </w:r>
    </w:p>
    <w:p w:rsidR="004A23C1" w:rsidRPr="003B1CFF" w:rsidRDefault="004A23C1" w:rsidP="00211DDE">
      <w:pPr>
        <w:pStyle w:val="Default"/>
        <w:ind w:left="1440"/>
        <w:rPr>
          <w:b/>
          <w:bCs/>
          <w:color w:val="auto"/>
        </w:rPr>
      </w:pPr>
    </w:p>
    <w:p w:rsidR="00AA62AC" w:rsidRPr="003B1CFF" w:rsidRDefault="00351B85" w:rsidP="00211DDE">
      <w:pPr>
        <w:pStyle w:val="Default"/>
        <w:numPr>
          <w:ilvl w:val="0"/>
          <w:numId w:val="8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P</w:t>
      </w:r>
      <w:r w:rsidR="00E8105C" w:rsidRPr="003B1CFF">
        <w:rPr>
          <w:b/>
          <w:bCs/>
          <w:color w:val="auto"/>
        </w:rPr>
        <w:t xml:space="preserve">ersons with disabilities </w:t>
      </w:r>
    </w:p>
    <w:p w:rsidR="00AA62AC" w:rsidRPr="003C674C" w:rsidRDefault="004A23C1" w:rsidP="003C674C">
      <w:pPr>
        <w:pStyle w:val="Default"/>
        <w:numPr>
          <w:ilvl w:val="0"/>
          <w:numId w:val="18"/>
        </w:numPr>
        <w:ind w:left="1418"/>
        <w:rPr>
          <w:bCs/>
          <w:color w:val="auto"/>
        </w:rPr>
      </w:pPr>
      <w:r w:rsidRPr="003C674C">
        <w:rPr>
          <w:bCs/>
          <w:color w:val="auto"/>
        </w:rPr>
        <w:t>Main challenges impacting the rights of persons with disabilities in Somalia</w:t>
      </w:r>
      <w:r w:rsidR="00D0436D" w:rsidRPr="003C674C">
        <w:rPr>
          <w:bCs/>
          <w:color w:val="auto"/>
        </w:rPr>
        <w:t>;</w:t>
      </w:r>
    </w:p>
    <w:p w:rsidR="004A23C1" w:rsidRPr="003C674C" w:rsidRDefault="004A23C1" w:rsidP="003C674C">
      <w:pPr>
        <w:pStyle w:val="Default"/>
        <w:numPr>
          <w:ilvl w:val="0"/>
          <w:numId w:val="18"/>
        </w:numPr>
        <w:ind w:left="1418"/>
        <w:rPr>
          <w:bCs/>
          <w:color w:val="auto"/>
        </w:rPr>
      </w:pPr>
      <w:r w:rsidRPr="003C674C">
        <w:rPr>
          <w:bCs/>
          <w:color w:val="auto"/>
        </w:rPr>
        <w:t>Measures taken by the relevant authorities to prevent or respond to violations and abuses against the rights of persons with disabilities in Somalia</w:t>
      </w:r>
      <w:r w:rsidR="00D0436D" w:rsidRPr="003C674C">
        <w:rPr>
          <w:bCs/>
          <w:color w:val="auto"/>
        </w:rPr>
        <w:t>.</w:t>
      </w:r>
    </w:p>
    <w:p w:rsidR="004A23C1" w:rsidRPr="003B1CFF" w:rsidRDefault="004A23C1" w:rsidP="00211DDE">
      <w:pPr>
        <w:pStyle w:val="Default"/>
        <w:ind w:left="1440"/>
        <w:rPr>
          <w:b/>
          <w:bCs/>
          <w:color w:val="auto"/>
        </w:rPr>
      </w:pPr>
    </w:p>
    <w:p w:rsidR="00E8105C" w:rsidRPr="003B1CFF" w:rsidRDefault="005F216F" w:rsidP="00211DDE">
      <w:pPr>
        <w:pStyle w:val="Default"/>
        <w:numPr>
          <w:ilvl w:val="0"/>
          <w:numId w:val="8"/>
        </w:numPr>
        <w:rPr>
          <w:b/>
          <w:bCs/>
          <w:color w:val="auto"/>
        </w:rPr>
      </w:pPr>
      <w:r w:rsidRPr="003B1CFF">
        <w:rPr>
          <w:b/>
          <w:bCs/>
          <w:color w:val="auto"/>
        </w:rPr>
        <w:t>M</w:t>
      </w:r>
      <w:r w:rsidR="00E8105C" w:rsidRPr="003B1CFF">
        <w:rPr>
          <w:b/>
          <w:bCs/>
          <w:color w:val="auto"/>
        </w:rPr>
        <w:t>inorities and marginalized communities</w:t>
      </w:r>
    </w:p>
    <w:p w:rsidR="00AA62AC" w:rsidRPr="003B1CFF" w:rsidRDefault="0066333E" w:rsidP="00AA62AC">
      <w:pPr>
        <w:pStyle w:val="Default"/>
        <w:numPr>
          <w:ilvl w:val="0"/>
          <w:numId w:val="13"/>
        </w:numPr>
        <w:ind w:left="1418" w:hanging="283"/>
        <w:rPr>
          <w:bCs/>
          <w:color w:val="auto"/>
        </w:rPr>
      </w:pPr>
      <w:r>
        <w:rPr>
          <w:bCs/>
          <w:color w:val="auto"/>
        </w:rPr>
        <w:t xml:space="preserve">Issues facing </w:t>
      </w:r>
      <w:r w:rsidR="004A23C1" w:rsidRPr="003B1CFF">
        <w:rPr>
          <w:bCs/>
          <w:color w:val="auto"/>
        </w:rPr>
        <w:t>minorit</w:t>
      </w:r>
      <w:r>
        <w:rPr>
          <w:bCs/>
          <w:color w:val="auto"/>
        </w:rPr>
        <w:t>y</w:t>
      </w:r>
      <w:r w:rsidR="004A23C1" w:rsidRPr="003B1CFF">
        <w:rPr>
          <w:bCs/>
          <w:color w:val="auto"/>
        </w:rPr>
        <w:t xml:space="preserve"> and marginalized communities in Somalia</w:t>
      </w:r>
      <w:r w:rsidR="00D0436D" w:rsidRPr="003B1CFF">
        <w:rPr>
          <w:bCs/>
          <w:color w:val="auto"/>
        </w:rPr>
        <w:t>;</w:t>
      </w:r>
    </w:p>
    <w:p w:rsidR="002B058D" w:rsidRPr="003C674C" w:rsidRDefault="002B058D" w:rsidP="003C674C">
      <w:pPr>
        <w:pStyle w:val="Default"/>
        <w:numPr>
          <w:ilvl w:val="0"/>
          <w:numId w:val="13"/>
        </w:numPr>
        <w:ind w:left="1418" w:hanging="283"/>
        <w:rPr>
          <w:bCs/>
          <w:color w:val="auto"/>
        </w:rPr>
      </w:pPr>
      <w:r w:rsidRPr="003C674C">
        <w:rPr>
          <w:bCs/>
          <w:color w:val="auto"/>
        </w:rPr>
        <w:t>Measures taken by the authorities to prevent or resp</w:t>
      </w:r>
      <w:r w:rsidR="004A23C1" w:rsidRPr="003C674C">
        <w:rPr>
          <w:bCs/>
          <w:color w:val="auto"/>
        </w:rPr>
        <w:t xml:space="preserve">ond to violations and abuses against the rights of minorities and marginalized communities. </w:t>
      </w:r>
    </w:p>
    <w:p w:rsidR="00244616" w:rsidRPr="003B1CFF" w:rsidRDefault="00244616" w:rsidP="00211DD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44616" w:rsidRPr="00211DDE" w:rsidRDefault="00244616" w:rsidP="00211D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3B1CFF">
        <w:rPr>
          <w:rFonts w:ascii="Times New Roman" w:hAnsi="Times New Roman" w:cs="Times New Roman"/>
          <w:b/>
          <w:sz w:val="24"/>
          <w:szCs w:val="24"/>
        </w:rPr>
        <w:t>How to submit inputs</w:t>
      </w:r>
    </w:p>
    <w:p w:rsidR="00D07D45" w:rsidRPr="003B1CFF" w:rsidRDefault="00211DDE" w:rsidP="00211DDE">
      <w:pPr>
        <w:pStyle w:val="Default"/>
      </w:pPr>
      <w:r>
        <w:t>Please send your submissions</w:t>
      </w:r>
      <w:r w:rsidR="00E501B8" w:rsidRPr="003B1CFF">
        <w:t xml:space="preserve"> </w:t>
      </w:r>
      <w:r w:rsidR="004500DE" w:rsidRPr="003B1CFF">
        <w:t xml:space="preserve">in </w:t>
      </w:r>
      <w:r w:rsidR="005A4ABD">
        <w:t xml:space="preserve">Word format </w:t>
      </w:r>
      <w:r>
        <w:t xml:space="preserve">by </w:t>
      </w:r>
      <w:r w:rsidRPr="003B1CFF">
        <w:t xml:space="preserve">email </w:t>
      </w:r>
      <w:r w:rsidR="00244616" w:rsidRPr="003B1CFF">
        <w:t>to</w:t>
      </w:r>
      <w:r w:rsidR="004500DE" w:rsidRPr="003B1CFF">
        <w:t xml:space="preserve"> </w:t>
      </w:r>
      <w:hyperlink r:id="rId8" w:history="1">
        <w:r w:rsidR="00473792" w:rsidRPr="003B1CFF">
          <w:rPr>
            <w:rStyle w:val="Hyperlink"/>
          </w:rPr>
          <w:t>sandra.oyella@un.org</w:t>
        </w:r>
      </w:hyperlink>
      <w:r w:rsidR="00975BFA" w:rsidRPr="003B1CFF">
        <w:t>; copying</w:t>
      </w:r>
      <w:r w:rsidR="004500DE" w:rsidRPr="003B1CFF">
        <w:t xml:space="preserve"> </w:t>
      </w:r>
      <w:hyperlink r:id="rId9" w:history="1">
        <w:r w:rsidR="00473792" w:rsidRPr="003B1CFF">
          <w:rPr>
            <w:rStyle w:val="Hyperlink"/>
          </w:rPr>
          <w:t>hrc-ie-somalia@un.org</w:t>
        </w:r>
      </w:hyperlink>
      <w:r w:rsidR="004A23C1" w:rsidRPr="003B1CFF">
        <w:t xml:space="preserve"> by </w:t>
      </w:r>
      <w:r w:rsidR="003B5961">
        <w:rPr>
          <w:b/>
        </w:rPr>
        <w:t>24</w:t>
      </w:r>
      <w:r w:rsidR="009A09DC" w:rsidRPr="003B1CFF">
        <w:rPr>
          <w:b/>
        </w:rPr>
        <w:t xml:space="preserve"> April</w:t>
      </w:r>
      <w:r w:rsidR="00473792" w:rsidRPr="003B1CFF">
        <w:rPr>
          <w:b/>
        </w:rPr>
        <w:t xml:space="preserve"> 2023</w:t>
      </w:r>
      <w:r w:rsidR="004A23C1" w:rsidRPr="003B1CFF">
        <w:rPr>
          <w:b/>
        </w:rPr>
        <w:t>,</w:t>
      </w:r>
      <w:r w:rsidR="00244616" w:rsidRPr="003B1CFF">
        <w:t xml:space="preserve"> indicating in the</w:t>
      </w:r>
      <w:r w:rsidR="004500DE" w:rsidRPr="003B1CFF">
        <w:t xml:space="preserve"> subject</w:t>
      </w:r>
      <w:r w:rsidR="00C96D8E" w:rsidRPr="003B1CFF">
        <w:t xml:space="preserve"> line</w:t>
      </w:r>
      <w:r w:rsidR="00244616" w:rsidRPr="003B1CFF">
        <w:t xml:space="preserve"> “</w:t>
      </w:r>
      <w:r w:rsidR="00244616" w:rsidRPr="003B1CFF">
        <w:rPr>
          <w:b/>
        </w:rPr>
        <w:t>Submission to the call for contributions on the situation of human rights in Somalia – 202</w:t>
      </w:r>
      <w:r w:rsidR="00473792" w:rsidRPr="003B1CFF">
        <w:rPr>
          <w:b/>
        </w:rPr>
        <w:t>2</w:t>
      </w:r>
      <w:r w:rsidR="00244616" w:rsidRPr="003B1CFF">
        <w:t xml:space="preserve">”. </w:t>
      </w:r>
      <w:r w:rsidR="00B55D11" w:rsidRPr="003B1CFF">
        <w:t xml:space="preserve"> </w:t>
      </w:r>
    </w:p>
    <w:p w:rsidR="00D07D45" w:rsidRPr="003B1CFF" w:rsidRDefault="00D07D45" w:rsidP="00211DDE">
      <w:pPr>
        <w:pStyle w:val="Default"/>
      </w:pPr>
    </w:p>
    <w:p w:rsidR="00244616" w:rsidRPr="003B1CFF" w:rsidRDefault="005A4ABD" w:rsidP="00211DDE">
      <w:pPr>
        <w:pStyle w:val="Default"/>
      </w:pPr>
      <w:r>
        <w:t>Kindly submit your r</w:t>
      </w:r>
      <w:r w:rsidR="00D07D45" w:rsidRPr="003B1CFF">
        <w:t>esponses and s</w:t>
      </w:r>
      <w:r w:rsidR="00B55D11" w:rsidRPr="003B1CFF">
        <w:t xml:space="preserve">ubmissions </w:t>
      </w:r>
      <w:r>
        <w:t xml:space="preserve">in English </w:t>
      </w:r>
      <w:r w:rsidR="00B55D11" w:rsidRPr="003B1CFF">
        <w:t>not exceed</w:t>
      </w:r>
      <w:r>
        <w:t>ing</w:t>
      </w:r>
      <w:r w:rsidR="00B55D11" w:rsidRPr="003B1CFF">
        <w:t xml:space="preserve"> </w:t>
      </w:r>
      <w:r w:rsidR="00AB6A28" w:rsidRPr="003B1CFF">
        <w:t>five (</w:t>
      </w:r>
      <w:r w:rsidR="00B55D11" w:rsidRPr="003B1CFF">
        <w:t>5</w:t>
      </w:r>
      <w:r w:rsidR="00AB6A28" w:rsidRPr="003B1CFF">
        <w:t>)</w:t>
      </w:r>
      <w:r w:rsidR="00B55D11" w:rsidRPr="003B1CFF">
        <w:t xml:space="preserve"> pages</w:t>
      </w:r>
      <w:r>
        <w:t xml:space="preserve"> and </w:t>
      </w:r>
      <w:r w:rsidR="00D07D45" w:rsidRPr="003B1CFF">
        <w:rPr>
          <w:lang w:val="en-US"/>
        </w:rPr>
        <w:t>include hyperlinks to relevant documents, statistical data, public regulations and legislation</w:t>
      </w:r>
      <w:r w:rsidR="005749B3">
        <w:rPr>
          <w:lang w:val="en-US"/>
        </w:rPr>
        <w:t xml:space="preserve">, </w:t>
      </w:r>
      <w:r w:rsidR="00AA62AC">
        <w:rPr>
          <w:lang w:val="en-US"/>
        </w:rPr>
        <w:t>which provide</w:t>
      </w:r>
      <w:r w:rsidR="00D07D45" w:rsidRPr="003B1CFF">
        <w:rPr>
          <w:lang w:val="en-US"/>
        </w:rPr>
        <w:t xml:space="preserve"> more detailed information.</w:t>
      </w:r>
      <w:r w:rsidR="00D07D45" w:rsidRPr="003B1CFF">
        <w:t xml:space="preserve"> </w:t>
      </w:r>
    </w:p>
    <w:p w:rsidR="004A23C1" w:rsidRPr="003B1CFF" w:rsidRDefault="004A23C1" w:rsidP="00211DDE">
      <w:pPr>
        <w:pStyle w:val="Default"/>
      </w:pPr>
    </w:p>
    <w:p w:rsidR="000F4E68" w:rsidRPr="003B1CFF" w:rsidRDefault="00AB6A28" w:rsidP="00211DDE">
      <w:pPr>
        <w:pStyle w:val="Default"/>
        <w:rPr>
          <w:lang w:val="en-US"/>
        </w:rPr>
      </w:pPr>
      <w:r w:rsidRPr="003B1CFF">
        <w:rPr>
          <w:lang w:val="en-US"/>
        </w:rPr>
        <w:t>All submissions received will</w:t>
      </w:r>
      <w:r w:rsidR="000F4E68" w:rsidRPr="003B1CFF">
        <w:rPr>
          <w:lang w:val="en-US"/>
        </w:rPr>
        <w:t xml:space="preserve"> be </w:t>
      </w:r>
      <w:r w:rsidR="005A4ABD">
        <w:rPr>
          <w:lang w:val="en-US"/>
        </w:rPr>
        <w:t xml:space="preserve">made publicly available and posted </w:t>
      </w:r>
      <w:r w:rsidR="000F4E68" w:rsidRPr="003B1CFF">
        <w:rPr>
          <w:lang w:val="en-US"/>
        </w:rPr>
        <w:t xml:space="preserve">on the </w:t>
      </w:r>
      <w:r w:rsidR="005A4ABD">
        <w:rPr>
          <w:lang w:val="en-US"/>
        </w:rPr>
        <w:t>Independent Expert`s homepage at</w:t>
      </w:r>
      <w:r w:rsidR="000F4E68" w:rsidRPr="003B1CFF">
        <w:rPr>
          <w:lang w:val="en-US"/>
        </w:rPr>
        <w:t xml:space="preserve"> the Office of the High Commissioner for Human Rights</w:t>
      </w:r>
      <w:r w:rsidR="005A4ABD">
        <w:rPr>
          <w:lang w:val="en-US"/>
        </w:rPr>
        <w:t xml:space="preserve"> website</w:t>
      </w:r>
      <w:r w:rsidR="000F4E68" w:rsidRPr="003B1CFF">
        <w:rPr>
          <w:lang w:val="en-US"/>
        </w:rPr>
        <w:t>. Should you not wish to have your response published on the website, please indicate so in your response.</w:t>
      </w:r>
    </w:p>
    <w:p w:rsidR="000F4E68" w:rsidRPr="003B1CFF" w:rsidRDefault="000F4E68" w:rsidP="00211DDE">
      <w:pPr>
        <w:pStyle w:val="Default"/>
        <w:rPr>
          <w:lang w:val="en-US"/>
        </w:rPr>
      </w:pPr>
    </w:p>
    <w:p w:rsidR="004A23C1" w:rsidRDefault="004A23C1" w:rsidP="00211DDE">
      <w:pPr>
        <w:pStyle w:val="Default"/>
      </w:pPr>
      <w:r w:rsidRPr="003B1CFF">
        <w:t xml:space="preserve">The Independent Expert thanks you in advance for your contributions. </w:t>
      </w:r>
    </w:p>
    <w:p w:rsidR="005A4ABD" w:rsidRDefault="005A4ABD" w:rsidP="005A4ABD">
      <w:pPr>
        <w:pStyle w:val="Default"/>
        <w:jc w:val="center"/>
      </w:pPr>
    </w:p>
    <w:p w:rsidR="005A4ABD" w:rsidRPr="005A4ABD" w:rsidRDefault="005A4ABD" w:rsidP="005A4ABD">
      <w:pPr>
        <w:pStyle w:val="Default"/>
        <w:jc w:val="center"/>
        <w:rPr>
          <w:lang w:val="en-US"/>
        </w:rPr>
      </w:pPr>
      <w:r w:rsidRPr="005A4ABD">
        <w:rPr>
          <w:lang w:val="en-US"/>
        </w:rPr>
        <w:t>***</w:t>
      </w:r>
    </w:p>
    <w:p w:rsidR="005A4ABD" w:rsidRPr="003B1CFF" w:rsidRDefault="005A4ABD" w:rsidP="00211DDE">
      <w:pPr>
        <w:pStyle w:val="Default"/>
      </w:pPr>
    </w:p>
    <w:p w:rsidR="00B55D11" w:rsidRPr="003B1CFF" w:rsidRDefault="00B55D11" w:rsidP="00211DDE">
      <w:pPr>
        <w:pStyle w:val="Default"/>
      </w:pPr>
    </w:p>
    <w:sectPr w:rsidR="00B55D11" w:rsidRPr="003B1CFF" w:rsidSect="00211DDE">
      <w:foot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37" w:rsidRDefault="00A70437" w:rsidP="00A70437">
      <w:pPr>
        <w:spacing w:after="0" w:line="240" w:lineRule="auto"/>
      </w:pPr>
      <w:r>
        <w:separator/>
      </w:r>
    </w:p>
  </w:endnote>
  <w:endnote w:type="continuationSeparator" w:id="0">
    <w:p w:rsidR="00A70437" w:rsidRDefault="00A70437" w:rsidP="00A7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757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437" w:rsidRDefault="00A704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0437" w:rsidRDefault="00A70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37" w:rsidRDefault="00A70437" w:rsidP="00A70437">
      <w:pPr>
        <w:spacing w:after="0" w:line="240" w:lineRule="auto"/>
      </w:pPr>
      <w:r>
        <w:separator/>
      </w:r>
    </w:p>
  </w:footnote>
  <w:footnote w:type="continuationSeparator" w:id="0">
    <w:p w:rsidR="00A70437" w:rsidRDefault="00A70437" w:rsidP="00A7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9D2"/>
    <w:multiLevelType w:val="hybridMultilevel"/>
    <w:tmpl w:val="4470CC7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C2A5F"/>
    <w:multiLevelType w:val="hybridMultilevel"/>
    <w:tmpl w:val="672A2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A831D5"/>
    <w:multiLevelType w:val="hybridMultilevel"/>
    <w:tmpl w:val="1738392A"/>
    <w:lvl w:ilvl="0" w:tplc="08090013">
      <w:start w:val="1"/>
      <w:numFmt w:val="upperRoman"/>
      <w:lvlText w:val="%1."/>
      <w:lvlJc w:val="right"/>
      <w:pPr>
        <w:ind w:left="720" w:hanging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6921"/>
    <w:multiLevelType w:val="hybridMultilevel"/>
    <w:tmpl w:val="B2D882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12DA"/>
    <w:multiLevelType w:val="hybridMultilevel"/>
    <w:tmpl w:val="D504B4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03F4"/>
    <w:multiLevelType w:val="hybridMultilevel"/>
    <w:tmpl w:val="744036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5D7AFA"/>
    <w:multiLevelType w:val="hybridMultilevel"/>
    <w:tmpl w:val="B31CBAA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234C5D"/>
    <w:multiLevelType w:val="hybridMultilevel"/>
    <w:tmpl w:val="A53215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103EE9"/>
    <w:multiLevelType w:val="hybridMultilevel"/>
    <w:tmpl w:val="7456627C"/>
    <w:lvl w:ilvl="0" w:tplc="D13A5916">
      <w:start w:val="1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DDA1558"/>
    <w:multiLevelType w:val="hybridMultilevel"/>
    <w:tmpl w:val="1AA0BE1E"/>
    <w:lvl w:ilvl="0" w:tplc="31EA44C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34203F"/>
    <w:multiLevelType w:val="hybridMultilevel"/>
    <w:tmpl w:val="6F489D6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6867D3"/>
    <w:multiLevelType w:val="hybridMultilevel"/>
    <w:tmpl w:val="B31CBAA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444A6F"/>
    <w:multiLevelType w:val="multilevel"/>
    <w:tmpl w:val="77D4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C70CC"/>
    <w:multiLevelType w:val="hybridMultilevel"/>
    <w:tmpl w:val="39CCC1AC"/>
    <w:lvl w:ilvl="0" w:tplc="08090017">
      <w:start w:val="1"/>
      <w:numFmt w:val="lowerLetter"/>
      <w:lvlText w:val="%1)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61CD4B4E"/>
    <w:multiLevelType w:val="hybridMultilevel"/>
    <w:tmpl w:val="49D87ABA"/>
    <w:lvl w:ilvl="0" w:tplc="D13A5916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2046545"/>
    <w:multiLevelType w:val="hybridMultilevel"/>
    <w:tmpl w:val="13006C42"/>
    <w:lvl w:ilvl="0" w:tplc="D13A59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491726"/>
    <w:multiLevelType w:val="hybridMultilevel"/>
    <w:tmpl w:val="635AFDF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8D1CB0"/>
    <w:multiLevelType w:val="hybridMultilevel"/>
    <w:tmpl w:val="4CCA5FEE"/>
    <w:lvl w:ilvl="0" w:tplc="D13A591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  <w:lvlOverride w:ilvl="0">
      <w:lvl w:ilvl="0">
        <w:numFmt w:val="lowerLetter"/>
        <w:lvlText w:val="%1."/>
        <w:lvlJc w:val="left"/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7"/>
  </w:num>
  <w:num w:numId="10">
    <w:abstractNumId w:val="16"/>
  </w:num>
  <w:num w:numId="11">
    <w:abstractNumId w:val="0"/>
  </w:num>
  <w:num w:numId="12">
    <w:abstractNumId w:val="13"/>
  </w:num>
  <w:num w:numId="13">
    <w:abstractNumId w:val="17"/>
  </w:num>
  <w:num w:numId="14">
    <w:abstractNumId w:val="9"/>
  </w:num>
  <w:num w:numId="15">
    <w:abstractNumId w:val="1"/>
  </w:num>
  <w:num w:numId="16">
    <w:abstractNumId w:val="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16"/>
    <w:rsid w:val="00007DAE"/>
    <w:rsid w:val="000B2FCE"/>
    <w:rsid w:val="000C472A"/>
    <w:rsid w:val="000D0610"/>
    <w:rsid w:val="000F02A4"/>
    <w:rsid w:val="000F4E68"/>
    <w:rsid w:val="00204964"/>
    <w:rsid w:val="00211DDE"/>
    <w:rsid w:val="00215FBE"/>
    <w:rsid w:val="00244616"/>
    <w:rsid w:val="002B058D"/>
    <w:rsid w:val="002C04A9"/>
    <w:rsid w:val="002C7044"/>
    <w:rsid w:val="002D1077"/>
    <w:rsid w:val="00324479"/>
    <w:rsid w:val="00351B85"/>
    <w:rsid w:val="003745B4"/>
    <w:rsid w:val="003B1CFF"/>
    <w:rsid w:val="003B1FFC"/>
    <w:rsid w:val="003B5961"/>
    <w:rsid w:val="003C674C"/>
    <w:rsid w:val="004500DE"/>
    <w:rsid w:val="004546A0"/>
    <w:rsid w:val="00473792"/>
    <w:rsid w:val="004A23C1"/>
    <w:rsid w:val="004D5E9C"/>
    <w:rsid w:val="0051110A"/>
    <w:rsid w:val="00514A64"/>
    <w:rsid w:val="00520CB4"/>
    <w:rsid w:val="005535F5"/>
    <w:rsid w:val="005749B3"/>
    <w:rsid w:val="005753F4"/>
    <w:rsid w:val="005A4ABD"/>
    <w:rsid w:val="005D52FC"/>
    <w:rsid w:val="005F216F"/>
    <w:rsid w:val="00636BCB"/>
    <w:rsid w:val="00640495"/>
    <w:rsid w:val="00655CD2"/>
    <w:rsid w:val="0066333E"/>
    <w:rsid w:val="00675F30"/>
    <w:rsid w:val="00684B50"/>
    <w:rsid w:val="006C4251"/>
    <w:rsid w:val="0070376B"/>
    <w:rsid w:val="0077380F"/>
    <w:rsid w:val="00775C76"/>
    <w:rsid w:val="00775E13"/>
    <w:rsid w:val="00791E49"/>
    <w:rsid w:val="007B7B8F"/>
    <w:rsid w:val="007D14CC"/>
    <w:rsid w:val="007D1AF3"/>
    <w:rsid w:val="008156F2"/>
    <w:rsid w:val="008747F4"/>
    <w:rsid w:val="00893461"/>
    <w:rsid w:val="00894AB9"/>
    <w:rsid w:val="008D2384"/>
    <w:rsid w:val="008D6F24"/>
    <w:rsid w:val="008F47E2"/>
    <w:rsid w:val="008F67C8"/>
    <w:rsid w:val="00902901"/>
    <w:rsid w:val="00961946"/>
    <w:rsid w:val="00975BFA"/>
    <w:rsid w:val="009A09DC"/>
    <w:rsid w:val="009B1DFA"/>
    <w:rsid w:val="009F55C0"/>
    <w:rsid w:val="00A25D11"/>
    <w:rsid w:val="00A70437"/>
    <w:rsid w:val="00A82C19"/>
    <w:rsid w:val="00AA62AC"/>
    <w:rsid w:val="00AB6A28"/>
    <w:rsid w:val="00B06B29"/>
    <w:rsid w:val="00B55D11"/>
    <w:rsid w:val="00B677FB"/>
    <w:rsid w:val="00BB0BE6"/>
    <w:rsid w:val="00C00D48"/>
    <w:rsid w:val="00C81C16"/>
    <w:rsid w:val="00C96D8E"/>
    <w:rsid w:val="00D0436D"/>
    <w:rsid w:val="00D07D45"/>
    <w:rsid w:val="00D247B4"/>
    <w:rsid w:val="00D25271"/>
    <w:rsid w:val="00D40A3E"/>
    <w:rsid w:val="00D754BF"/>
    <w:rsid w:val="00DD338E"/>
    <w:rsid w:val="00E21EF9"/>
    <w:rsid w:val="00E501B8"/>
    <w:rsid w:val="00E507C8"/>
    <w:rsid w:val="00E7719B"/>
    <w:rsid w:val="00E8105C"/>
    <w:rsid w:val="00EC4DB4"/>
    <w:rsid w:val="00ED64DF"/>
    <w:rsid w:val="00EE2EA5"/>
    <w:rsid w:val="00EF2D51"/>
    <w:rsid w:val="00F17969"/>
    <w:rsid w:val="00F415DF"/>
    <w:rsid w:val="00F925DD"/>
    <w:rsid w:val="00FB156D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E10"/>
  <w15:chartTrackingRefBased/>
  <w15:docId w15:val="{32D9B34A-F14E-4952-92A4-BD0792EE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F41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44616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461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446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4500DE"/>
    <w:rPr>
      <w:i/>
      <w:iCs/>
    </w:rPr>
  </w:style>
  <w:style w:type="paragraph" w:customStyle="1" w:styleId="Default">
    <w:name w:val="Default"/>
    <w:link w:val="DefaultChar"/>
    <w:rsid w:val="00450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4500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15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7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3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3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479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D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oyella@u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c-ie-somalia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AB</dc:creator>
  <cp:keywords/>
  <dc:description/>
  <cp:lastModifiedBy>Sandra Oyella</cp:lastModifiedBy>
  <cp:revision>2</cp:revision>
  <dcterms:created xsi:type="dcterms:W3CDTF">2023-03-23T10:00:00Z</dcterms:created>
  <dcterms:modified xsi:type="dcterms:W3CDTF">2023-03-23T10:00:00Z</dcterms:modified>
</cp:coreProperties>
</file>