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AF6BD" w14:textId="77777777" w:rsidR="00AC6918" w:rsidRPr="00AC6918" w:rsidRDefault="00AC6918" w:rsidP="00AC6918">
      <w:pPr>
        <w:spacing w:before="120" w:after="0" w:line="360" w:lineRule="auto"/>
        <w:ind w:hanging="357"/>
        <w:jc w:val="center"/>
        <w:rPr>
          <w:rFonts w:ascii="Times New Roman" w:eastAsia="Calibri" w:hAnsi="Times New Roman" w:cs="Times New Roman"/>
          <w:smallCaps/>
          <w:sz w:val="24"/>
          <w:szCs w:val="24"/>
          <w:lang w:eastAsia="en-US"/>
        </w:rPr>
      </w:pPr>
      <w:r w:rsidRPr="00AC6918">
        <w:rPr>
          <w:rFonts w:ascii="Times New Roman" w:eastAsia="Calibri" w:hAnsi="Times New Roman" w:cs="Times New Roman"/>
          <w:noProof/>
          <w:sz w:val="24"/>
          <w:lang w:eastAsia="es-MX"/>
        </w:rPr>
        <w:drawing>
          <wp:inline distT="0" distB="0" distL="0" distR="0" wp14:anchorId="4EF399C4" wp14:editId="725ED60F">
            <wp:extent cx="2626290" cy="877618"/>
            <wp:effectExtent l="0" t="0" r="3175" b="0"/>
            <wp:docPr id="2" name="Imagen 2" descr="cid:image001.png@01D91A00.029F3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91A00.029F32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64418" cy="890359"/>
                    </a:xfrm>
                    <a:prstGeom prst="rect">
                      <a:avLst/>
                    </a:prstGeom>
                    <a:noFill/>
                    <a:ln>
                      <a:noFill/>
                    </a:ln>
                  </pic:spPr>
                </pic:pic>
              </a:graphicData>
            </a:graphic>
          </wp:inline>
        </w:drawing>
      </w:r>
    </w:p>
    <w:p w14:paraId="63587837" w14:textId="77777777" w:rsidR="00AC6918" w:rsidRPr="007C24A5" w:rsidRDefault="00AC6918" w:rsidP="00AC6918">
      <w:pPr>
        <w:pBdr>
          <w:bottom w:val="single" w:sz="12" w:space="1" w:color="auto"/>
        </w:pBdr>
        <w:spacing w:before="120" w:after="0" w:line="360" w:lineRule="auto"/>
        <w:ind w:hanging="357"/>
        <w:jc w:val="center"/>
        <w:rPr>
          <w:rFonts w:ascii="Montserrat" w:eastAsia="Calibri" w:hAnsi="Montserrat" w:cs="Times New Roman"/>
          <w:b/>
          <w:smallCaps/>
          <w:sz w:val="32"/>
          <w:szCs w:val="32"/>
          <w:lang w:eastAsia="en-US"/>
        </w:rPr>
      </w:pPr>
      <w:r w:rsidRPr="007C24A5">
        <w:rPr>
          <w:rFonts w:ascii="Montserrat" w:eastAsia="Calibri" w:hAnsi="Montserrat" w:cs="Times New Roman"/>
          <w:b/>
          <w:smallCaps/>
          <w:sz w:val="32"/>
          <w:szCs w:val="32"/>
          <w:lang w:eastAsia="en-US"/>
        </w:rPr>
        <w:t>Estados Unidos Mexicanos</w:t>
      </w:r>
    </w:p>
    <w:p w14:paraId="5408C1BA" w14:textId="77777777" w:rsidR="00AC6918" w:rsidRPr="007C24A5" w:rsidRDefault="00AC6918" w:rsidP="00AC6918">
      <w:pPr>
        <w:pBdr>
          <w:bottom w:val="single" w:sz="12" w:space="1" w:color="auto"/>
        </w:pBdr>
        <w:spacing w:before="120" w:after="0" w:line="360" w:lineRule="auto"/>
        <w:ind w:hanging="357"/>
        <w:jc w:val="both"/>
        <w:rPr>
          <w:rFonts w:ascii="Montserrat" w:eastAsia="Calibri" w:hAnsi="Montserrat" w:cs="Times New Roman"/>
          <w:b/>
          <w:sz w:val="24"/>
          <w:szCs w:val="24"/>
          <w:lang w:eastAsia="en-US"/>
        </w:rPr>
      </w:pPr>
    </w:p>
    <w:p w14:paraId="6EFCDE0D" w14:textId="77777777" w:rsidR="00AC6918" w:rsidRPr="007C24A5" w:rsidRDefault="00AC6918" w:rsidP="00C43BF8">
      <w:pPr>
        <w:pBdr>
          <w:bottom w:val="single" w:sz="12" w:space="1" w:color="auto"/>
        </w:pBdr>
        <w:spacing w:before="120" w:after="0" w:line="360" w:lineRule="auto"/>
        <w:ind w:hanging="357"/>
        <w:rPr>
          <w:rFonts w:ascii="Montserrat" w:eastAsia="Calibri" w:hAnsi="Montserrat" w:cs="Times New Roman"/>
          <w:b/>
          <w:sz w:val="24"/>
          <w:szCs w:val="24"/>
          <w:lang w:eastAsia="en-US"/>
        </w:rPr>
      </w:pPr>
    </w:p>
    <w:p w14:paraId="75DF7E9F" w14:textId="77777777" w:rsidR="00AC6918" w:rsidRPr="007C24A5" w:rsidRDefault="00AC6918" w:rsidP="00AC6918">
      <w:pPr>
        <w:pBdr>
          <w:bottom w:val="single" w:sz="12" w:space="1" w:color="auto"/>
        </w:pBdr>
        <w:spacing w:before="120" w:after="0" w:line="360" w:lineRule="auto"/>
        <w:ind w:hanging="357"/>
        <w:jc w:val="both"/>
        <w:rPr>
          <w:rFonts w:ascii="Montserrat" w:eastAsia="Calibri" w:hAnsi="Montserrat" w:cs="Times New Roman"/>
          <w:b/>
          <w:sz w:val="24"/>
          <w:szCs w:val="24"/>
          <w:lang w:eastAsia="en-US"/>
        </w:rPr>
      </w:pPr>
    </w:p>
    <w:p w14:paraId="1A099B2A" w14:textId="77777777" w:rsidR="00AC6918" w:rsidRPr="007C24A5" w:rsidRDefault="00AC6918" w:rsidP="00AC6918">
      <w:pPr>
        <w:pBdr>
          <w:bottom w:val="single" w:sz="12" w:space="1" w:color="auto"/>
        </w:pBdr>
        <w:spacing w:before="120" w:after="0" w:line="360" w:lineRule="auto"/>
        <w:ind w:hanging="357"/>
        <w:jc w:val="both"/>
        <w:rPr>
          <w:rFonts w:ascii="Montserrat" w:eastAsia="Calibri" w:hAnsi="Montserrat" w:cs="Times New Roman"/>
          <w:b/>
          <w:sz w:val="24"/>
          <w:szCs w:val="24"/>
          <w:lang w:eastAsia="en-US"/>
        </w:rPr>
      </w:pPr>
    </w:p>
    <w:p w14:paraId="327D7799" w14:textId="6E72BC32" w:rsidR="00F710FF" w:rsidRPr="00F710FF" w:rsidRDefault="00F803BD" w:rsidP="00F710FF">
      <w:pPr>
        <w:spacing w:before="120" w:after="0" w:line="240" w:lineRule="auto"/>
        <w:ind w:hanging="357"/>
        <w:jc w:val="center"/>
        <w:rPr>
          <w:rFonts w:ascii="Montserrat" w:eastAsia="Calibri" w:hAnsi="Montserrat" w:cs="Times New Roman"/>
          <w:b/>
          <w:smallCaps/>
          <w:sz w:val="24"/>
          <w:szCs w:val="24"/>
          <w:lang w:val="es-ES" w:eastAsia="es-MX"/>
        </w:rPr>
      </w:pPr>
      <w:r>
        <w:rPr>
          <w:rFonts w:ascii="Montserrat" w:hAnsi="Montserrat"/>
          <w:sz w:val="32"/>
          <w:szCs w:val="24"/>
          <w:vertAlign w:val="subscript"/>
          <w:lang w:eastAsia="en-US"/>
          <w14:cntxtAlts/>
        </w:rPr>
        <w:t xml:space="preserve">ALCANCE A </w:t>
      </w:r>
      <w:r w:rsidR="00E17FF0" w:rsidRPr="00620886">
        <w:rPr>
          <w:rFonts w:ascii="Montserrat" w:hAnsi="Montserrat"/>
          <w:sz w:val="32"/>
          <w:szCs w:val="24"/>
          <w:vertAlign w:val="subscript"/>
          <w:lang w:eastAsia="en-US"/>
          <w14:cntxtAlts/>
        </w:rPr>
        <w:t>INFORME DEL ESTADO MEXICANO EN</w:t>
      </w:r>
      <w:r w:rsidR="009241FD">
        <w:rPr>
          <w:rFonts w:ascii="Montserrat" w:hAnsi="Montserrat"/>
          <w:sz w:val="32"/>
          <w:szCs w:val="24"/>
          <w:vertAlign w:val="subscript"/>
          <w:lang w:eastAsia="en-US"/>
          <w14:cntxtAlts/>
        </w:rPr>
        <w:t xml:space="preserve"> </w:t>
      </w:r>
      <w:r w:rsidR="0091539B">
        <w:rPr>
          <w:rFonts w:ascii="Montserrat" w:hAnsi="Montserrat"/>
          <w:sz w:val="32"/>
          <w:szCs w:val="24"/>
          <w:vertAlign w:val="subscript"/>
          <w:lang w:eastAsia="en-US"/>
          <w14:cntxtAlts/>
        </w:rPr>
        <w:t>RESPUESTA A</w:t>
      </w:r>
      <w:r w:rsidR="007D7CA9">
        <w:rPr>
          <w:rFonts w:ascii="Montserrat" w:hAnsi="Montserrat"/>
          <w:sz w:val="32"/>
          <w:szCs w:val="24"/>
          <w:vertAlign w:val="subscript"/>
          <w:lang w:eastAsia="en-US"/>
          <w14:cntxtAlts/>
        </w:rPr>
        <w:t xml:space="preserve"> LA SOLICITUD DEL COMITÉ PARA LA DESAPARICIÓN FORZADA </w:t>
      </w:r>
    </w:p>
    <w:p w14:paraId="31880EB4" w14:textId="77777777" w:rsidR="00683B2F" w:rsidRPr="0091539B" w:rsidRDefault="00683B2F" w:rsidP="00F710FF">
      <w:pPr>
        <w:spacing w:before="120" w:after="0" w:line="240" w:lineRule="auto"/>
        <w:rPr>
          <w:rFonts w:ascii="Montserrat" w:eastAsia="Calibri" w:hAnsi="Montserrat" w:cs="Times New Roman"/>
          <w:sz w:val="24"/>
          <w:szCs w:val="24"/>
          <w:lang w:val="es-ES" w:eastAsia="en-US"/>
        </w:rPr>
      </w:pPr>
    </w:p>
    <w:p w14:paraId="0C8F2D93" w14:textId="34B17693" w:rsidR="002D28D1" w:rsidRDefault="0091539B" w:rsidP="00F710FF">
      <w:pPr>
        <w:spacing w:before="120" w:after="0" w:line="240" w:lineRule="auto"/>
        <w:ind w:hanging="357"/>
        <w:jc w:val="center"/>
        <w:rPr>
          <w:rFonts w:ascii="Montserrat" w:hAnsi="Montserrat"/>
          <w:sz w:val="32"/>
          <w:szCs w:val="24"/>
          <w:vertAlign w:val="subscript"/>
          <w:lang w:eastAsia="en-US"/>
          <w14:cntxtAlts/>
        </w:rPr>
      </w:pPr>
      <w:r>
        <w:rPr>
          <w:rFonts w:ascii="Montserrat" w:hAnsi="Montserrat"/>
          <w:sz w:val="32"/>
          <w:szCs w:val="24"/>
          <w:vertAlign w:val="subscript"/>
          <w:lang w:eastAsia="en-US"/>
          <w14:cntxtAlts/>
        </w:rPr>
        <w:t>ALTO COMISIONADO DE LAS NACIONES UNIDAS PARA LOS DERECHOS HUMANOS</w:t>
      </w:r>
    </w:p>
    <w:p w14:paraId="42226F60" w14:textId="77777777" w:rsidR="002D28D1" w:rsidRDefault="002D28D1" w:rsidP="00F710FF">
      <w:pPr>
        <w:spacing w:before="120" w:after="0" w:line="240" w:lineRule="auto"/>
        <w:ind w:hanging="357"/>
        <w:jc w:val="center"/>
        <w:rPr>
          <w:rFonts w:ascii="Montserrat" w:hAnsi="Montserrat"/>
          <w:sz w:val="32"/>
          <w:szCs w:val="24"/>
          <w:vertAlign w:val="subscript"/>
          <w:lang w:eastAsia="en-US"/>
          <w14:cntxtAlts/>
        </w:rPr>
      </w:pPr>
    </w:p>
    <w:p w14:paraId="0E1E8427" w14:textId="0CF03F59" w:rsidR="00F710FF" w:rsidRPr="002D28D1" w:rsidRDefault="002F7F37" w:rsidP="00F710FF">
      <w:pPr>
        <w:spacing w:before="120" w:after="0" w:line="240" w:lineRule="auto"/>
        <w:ind w:hanging="357"/>
        <w:jc w:val="center"/>
        <w:rPr>
          <w:rFonts w:ascii="Montserrat" w:eastAsia="Calibri" w:hAnsi="Montserrat" w:cs="Times New Roman"/>
          <w:b/>
          <w:smallCaps/>
          <w:sz w:val="24"/>
          <w:szCs w:val="24"/>
          <w:lang w:val="es-ES" w:eastAsia="es-MX"/>
        </w:rPr>
      </w:pPr>
      <w:r>
        <w:rPr>
          <w:rFonts w:ascii="Montserrat" w:hAnsi="Montserrat"/>
          <w:b/>
          <w:sz w:val="32"/>
          <w:szCs w:val="24"/>
          <w:vertAlign w:val="subscript"/>
          <w:lang w:eastAsia="en-US"/>
          <w14:cntxtAlts/>
        </w:rPr>
        <w:t>OBSERVACIONES</w:t>
      </w:r>
      <w:r w:rsidR="007D7CA9">
        <w:rPr>
          <w:rFonts w:ascii="Montserrat" w:hAnsi="Montserrat"/>
          <w:b/>
          <w:sz w:val="32"/>
          <w:szCs w:val="24"/>
          <w:vertAlign w:val="subscript"/>
          <w:lang w:eastAsia="en-US"/>
          <w14:cntxtAlts/>
        </w:rPr>
        <w:t xml:space="preserve"> AL PRIMER BORRADOR DEL COMENTARIO GENERAL No.1</w:t>
      </w:r>
      <w:r w:rsidR="006B73AD">
        <w:rPr>
          <w:rFonts w:ascii="Montserrat" w:hAnsi="Montserrat"/>
          <w:b/>
          <w:sz w:val="32"/>
          <w:szCs w:val="24"/>
          <w:vertAlign w:val="subscript"/>
          <w:lang w:eastAsia="en-US"/>
          <w14:cntxtAlts/>
        </w:rPr>
        <w:t xml:space="preserve"> SOBRE LA DESAPARICIÓN FORZADA EN EL CONTEXTO DE LA MIGRACIÓN</w:t>
      </w:r>
      <w:r w:rsidR="007D7CA9">
        <w:rPr>
          <w:rFonts w:ascii="Montserrat" w:hAnsi="Montserrat"/>
          <w:b/>
          <w:sz w:val="32"/>
          <w:szCs w:val="24"/>
          <w:vertAlign w:val="subscript"/>
          <w:lang w:eastAsia="en-US"/>
          <w14:cntxtAlts/>
        </w:rPr>
        <w:t xml:space="preserve"> </w:t>
      </w:r>
    </w:p>
    <w:p w14:paraId="46F01373" w14:textId="77777777" w:rsidR="00683B2F" w:rsidRPr="003B1C1F" w:rsidRDefault="00683B2F" w:rsidP="003B1C1F">
      <w:pPr>
        <w:spacing w:before="120" w:after="0" w:line="360" w:lineRule="auto"/>
        <w:ind w:hanging="357"/>
        <w:jc w:val="center"/>
        <w:rPr>
          <w:rFonts w:ascii="Montserrat" w:eastAsia="Calibri" w:hAnsi="Montserrat" w:cs="Times New Roman"/>
          <w:b/>
          <w:smallCaps/>
          <w:szCs w:val="24"/>
          <w:lang w:val="es-ES" w:eastAsia="es-MX"/>
        </w:rPr>
      </w:pPr>
    </w:p>
    <w:p w14:paraId="28A0FF6D" w14:textId="77777777" w:rsidR="00AC6918" w:rsidRPr="007C24A5" w:rsidRDefault="00AC6918" w:rsidP="002D28D1">
      <w:pPr>
        <w:spacing w:before="120" w:after="0" w:line="360" w:lineRule="auto"/>
        <w:jc w:val="both"/>
        <w:rPr>
          <w:rFonts w:ascii="Montserrat" w:eastAsia="Calibri" w:hAnsi="Montserrat" w:cs="Times New Roman"/>
          <w:smallCaps/>
          <w:sz w:val="24"/>
          <w:szCs w:val="24"/>
          <w:lang w:eastAsia="en-US"/>
        </w:rPr>
      </w:pPr>
    </w:p>
    <w:p w14:paraId="31A4350B" w14:textId="77777777" w:rsidR="00AC6918" w:rsidRPr="007C24A5" w:rsidRDefault="00AC6918" w:rsidP="00413DFC">
      <w:pPr>
        <w:spacing w:before="120" w:after="0" w:line="240" w:lineRule="auto"/>
        <w:rPr>
          <w:rFonts w:ascii="Montserrat" w:eastAsia="Calibri" w:hAnsi="Montserrat" w:cs="Times New Roman"/>
          <w:smallCaps/>
          <w:sz w:val="24"/>
          <w:szCs w:val="24"/>
          <w:lang w:eastAsia="en-US"/>
        </w:rPr>
      </w:pPr>
    </w:p>
    <w:p w14:paraId="0393B261" w14:textId="61AF903D" w:rsidR="00AC6918" w:rsidRPr="007C24A5" w:rsidRDefault="00AC6918" w:rsidP="00AC6918">
      <w:pPr>
        <w:spacing w:before="120" w:after="0" w:line="240" w:lineRule="auto"/>
        <w:ind w:hanging="357"/>
        <w:jc w:val="center"/>
        <w:rPr>
          <w:rFonts w:ascii="Montserrat" w:eastAsia="Calibri" w:hAnsi="Montserrat" w:cs="Times New Roman"/>
          <w:smallCaps/>
          <w:sz w:val="24"/>
          <w:szCs w:val="24"/>
          <w:lang w:eastAsia="en-US"/>
        </w:rPr>
      </w:pPr>
      <w:r w:rsidRPr="007C24A5">
        <w:rPr>
          <w:rFonts w:ascii="Montserrat" w:eastAsia="Calibri" w:hAnsi="Montserrat" w:cs="Times New Roman"/>
          <w:sz w:val="24"/>
          <w:szCs w:val="24"/>
          <w:lang w:eastAsia="en-US"/>
        </w:rPr>
        <w:t xml:space="preserve">Ciudad de México, a </w:t>
      </w:r>
      <w:r w:rsidR="00A95CF5">
        <w:rPr>
          <w:rFonts w:ascii="Montserrat" w:eastAsia="Calibri" w:hAnsi="Montserrat" w:cs="Times New Roman"/>
          <w:sz w:val="24"/>
          <w:szCs w:val="24"/>
          <w:lang w:eastAsia="en-US"/>
        </w:rPr>
        <w:t>13</w:t>
      </w:r>
      <w:r w:rsidR="006B73AD">
        <w:rPr>
          <w:rFonts w:ascii="Montserrat" w:eastAsia="Calibri" w:hAnsi="Montserrat" w:cs="Times New Roman"/>
          <w:sz w:val="24"/>
          <w:szCs w:val="24"/>
          <w:lang w:eastAsia="en-US"/>
        </w:rPr>
        <w:t xml:space="preserve"> de juni</w:t>
      </w:r>
      <w:r w:rsidR="0091539B">
        <w:rPr>
          <w:rFonts w:ascii="Montserrat" w:eastAsia="Calibri" w:hAnsi="Montserrat" w:cs="Times New Roman"/>
          <w:sz w:val="24"/>
          <w:szCs w:val="24"/>
          <w:lang w:eastAsia="en-US"/>
        </w:rPr>
        <w:t>o</w:t>
      </w:r>
      <w:r w:rsidR="007C24A5">
        <w:rPr>
          <w:rFonts w:ascii="Montserrat" w:eastAsia="Calibri" w:hAnsi="Montserrat" w:cs="Times New Roman"/>
          <w:sz w:val="24"/>
          <w:szCs w:val="24"/>
          <w:lang w:eastAsia="en-US"/>
        </w:rPr>
        <w:t xml:space="preserve"> de 202</w:t>
      </w:r>
      <w:r w:rsidRPr="007C24A5">
        <w:rPr>
          <w:rFonts w:ascii="Montserrat" w:eastAsia="Calibri" w:hAnsi="Montserrat" w:cs="Times New Roman"/>
          <w:sz w:val="24"/>
          <w:szCs w:val="24"/>
          <w:lang w:eastAsia="en-US"/>
        </w:rPr>
        <w:t>3</w:t>
      </w:r>
    </w:p>
    <w:p w14:paraId="542EDC5F" w14:textId="77777777" w:rsidR="000544EA" w:rsidRDefault="000544EA" w:rsidP="00B74AEB">
      <w:pPr>
        <w:spacing w:before="120" w:after="0" w:line="360" w:lineRule="auto"/>
        <w:rPr>
          <w:rFonts w:ascii="Montserrat" w:eastAsia="Calibri" w:hAnsi="Montserrat" w:cs="Times New Roman"/>
          <w:sz w:val="24"/>
          <w:szCs w:val="24"/>
          <w:lang w:eastAsia="en-US"/>
        </w:rPr>
      </w:pPr>
    </w:p>
    <w:p w14:paraId="42D639DC" w14:textId="77777777" w:rsidR="00413DFC" w:rsidRDefault="00413DFC" w:rsidP="00B74AEB">
      <w:pPr>
        <w:spacing w:before="120" w:after="0" w:line="360" w:lineRule="auto"/>
        <w:rPr>
          <w:rFonts w:ascii="Montserrat" w:eastAsia="Calibri" w:hAnsi="Montserrat" w:cs="Times New Roman"/>
          <w:sz w:val="24"/>
          <w:szCs w:val="24"/>
          <w:lang w:eastAsia="en-US"/>
        </w:rPr>
      </w:pPr>
    </w:p>
    <w:p w14:paraId="492EED3E" w14:textId="77777777" w:rsidR="005A3652" w:rsidRDefault="005A3652" w:rsidP="00B74AEB">
      <w:pPr>
        <w:spacing w:before="120" w:after="0" w:line="360" w:lineRule="auto"/>
        <w:rPr>
          <w:rFonts w:ascii="Montserrat" w:eastAsia="Calibri" w:hAnsi="Montserrat" w:cs="Times New Roman"/>
          <w:sz w:val="24"/>
          <w:szCs w:val="24"/>
          <w:lang w:eastAsia="en-US"/>
        </w:rPr>
      </w:pPr>
    </w:p>
    <w:p w14:paraId="3222683B" w14:textId="77777777" w:rsidR="003B1C1F" w:rsidRDefault="003B1C1F" w:rsidP="00B74AEB">
      <w:pPr>
        <w:spacing w:before="120" w:after="0" w:line="360" w:lineRule="auto"/>
        <w:rPr>
          <w:rFonts w:ascii="Montserrat" w:eastAsia="Calibri" w:hAnsi="Montserrat" w:cs="Times New Roman"/>
          <w:sz w:val="24"/>
          <w:szCs w:val="24"/>
          <w:lang w:eastAsia="en-US"/>
        </w:rPr>
      </w:pPr>
    </w:p>
    <w:p w14:paraId="1A99BEEF" w14:textId="77777777" w:rsidR="004A40B3" w:rsidRDefault="004A40B3" w:rsidP="00B74AEB">
      <w:pPr>
        <w:spacing w:before="120" w:after="0" w:line="360" w:lineRule="auto"/>
        <w:rPr>
          <w:rFonts w:ascii="Montserrat" w:eastAsia="Calibri" w:hAnsi="Montserrat" w:cs="Times New Roman"/>
          <w:sz w:val="24"/>
          <w:szCs w:val="24"/>
          <w:lang w:eastAsia="en-US"/>
        </w:rPr>
      </w:pPr>
    </w:p>
    <w:p w14:paraId="173E86A2" w14:textId="77777777" w:rsidR="004A40B3" w:rsidRDefault="004A40B3" w:rsidP="00B74AEB">
      <w:pPr>
        <w:spacing w:before="120" w:after="0" w:line="360" w:lineRule="auto"/>
        <w:rPr>
          <w:rFonts w:ascii="Montserrat" w:eastAsia="Calibri" w:hAnsi="Montserrat" w:cs="Times New Roman"/>
          <w:sz w:val="24"/>
          <w:szCs w:val="24"/>
          <w:lang w:eastAsia="en-US"/>
        </w:rPr>
      </w:pPr>
    </w:p>
    <w:p w14:paraId="1808F990" w14:textId="77777777" w:rsidR="00000C5B" w:rsidRPr="007C24A5" w:rsidRDefault="00000C5B" w:rsidP="00B74AEB">
      <w:pPr>
        <w:spacing w:before="120" w:after="0" w:line="360" w:lineRule="auto"/>
        <w:rPr>
          <w:rFonts w:ascii="Montserrat" w:eastAsia="Calibri" w:hAnsi="Montserrat" w:cs="Times New Roman"/>
          <w:sz w:val="24"/>
          <w:szCs w:val="24"/>
          <w:lang w:eastAsia="en-US"/>
        </w:rPr>
      </w:pPr>
    </w:p>
    <w:p w14:paraId="24C91E00" w14:textId="77777777" w:rsidR="000544EA" w:rsidRPr="007C24A5" w:rsidRDefault="000544EA" w:rsidP="000544EA">
      <w:pPr>
        <w:spacing w:before="120" w:after="0" w:line="360" w:lineRule="auto"/>
        <w:ind w:hanging="357"/>
        <w:jc w:val="center"/>
        <w:rPr>
          <w:rFonts w:ascii="Montserrat" w:eastAsia="Calibri" w:hAnsi="Montserrat" w:cs="Times New Roman"/>
          <w:b/>
          <w:sz w:val="24"/>
          <w:szCs w:val="24"/>
          <w:lang w:eastAsia="en-US"/>
        </w:rPr>
      </w:pPr>
      <w:r w:rsidRPr="007C24A5">
        <w:rPr>
          <w:rFonts w:ascii="Montserrat" w:eastAsia="Calibri" w:hAnsi="Montserrat" w:cs="Times New Roman"/>
          <w:b/>
          <w:sz w:val="24"/>
          <w:szCs w:val="24"/>
          <w:lang w:eastAsia="en-US"/>
        </w:rPr>
        <w:t>ÍNDICE</w:t>
      </w:r>
    </w:p>
    <w:sdt>
      <w:sdtPr>
        <w:rPr>
          <w:rFonts w:ascii="Montserrat" w:eastAsia="Calibri" w:hAnsi="Montserrat" w:cs="Times New Roman"/>
          <w:sz w:val="24"/>
          <w:szCs w:val="24"/>
          <w:lang w:val="es-ES" w:eastAsia="en-US"/>
        </w:rPr>
        <w:id w:val="955447137"/>
        <w:docPartObj>
          <w:docPartGallery w:val="Table of Contents"/>
          <w:docPartUnique/>
        </w:docPartObj>
      </w:sdtPr>
      <w:sdtEndPr/>
      <w:sdtContent>
        <w:p w14:paraId="5290B8A5" w14:textId="7461CC8F" w:rsidR="000544EA" w:rsidRPr="007C24A5" w:rsidRDefault="00E54A52" w:rsidP="00E54A52">
          <w:pPr>
            <w:keepNext/>
            <w:keepLines/>
            <w:tabs>
              <w:tab w:val="left" w:pos="1815"/>
            </w:tabs>
            <w:spacing w:before="480" w:after="0" w:line="276" w:lineRule="auto"/>
            <w:rPr>
              <w:rFonts w:ascii="Montserrat" w:eastAsia="Malgun Gothic" w:hAnsi="Montserrat" w:cs="Times New Roman"/>
              <w:b/>
              <w:bCs/>
              <w:sz w:val="24"/>
              <w:szCs w:val="24"/>
              <w:lang w:eastAsia="es-MX"/>
            </w:rPr>
          </w:pPr>
          <w:r>
            <w:rPr>
              <w:rFonts w:ascii="Montserrat" w:eastAsia="Calibri" w:hAnsi="Montserrat" w:cs="Times New Roman"/>
              <w:sz w:val="24"/>
              <w:szCs w:val="24"/>
              <w:lang w:val="es-ES" w:eastAsia="en-US"/>
            </w:rPr>
            <w:tab/>
          </w:r>
        </w:p>
        <w:p w14:paraId="25897401" w14:textId="77777777" w:rsidR="00F803BD" w:rsidRDefault="000544EA">
          <w:pPr>
            <w:pStyle w:val="TDC1"/>
            <w:tabs>
              <w:tab w:val="right" w:leader="dot" w:pos="8828"/>
            </w:tabs>
            <w:rPr>
              <w:noProof/>
              <w:lang w:eastAsia="es-MX"/>
            </w:rPr>
          </w:pPr>
          <w:r w:rsidRPr="007C24A5">
            <w:rPr>
              <w:rFonts w:ascii="Montserrat" w:eastAsia="Calibri" w:hAnsi="Montserrat" w:cs="Times New Roman"/>
              <w:b/>
              <w:smallCaps/>
              <w:noProof/>
              <w:sz w:val="24"/>
              <w:szCs w:val="24"/>
              <w:lang w:eastAsia="en-US"/>
            </w:rPr>
            <w:fldChar w:fldCharType="begin"/>
          </w:r>
          <w:r w:rsidRPr="007C24A5">
            <w:rPr>
              <w:rFonts w:ascii="Montserrat" w:eastAsia="Calibri" w:hAnsi="Montserrat" w:cs="Times New Roman"/>
              <w:b/>
              <w:smallCaps/>
              <w:noProof/>
              <w:sz w:val="24"/>
              <w:szCs w:val="24"/>
              <w:lang w:eastAsia="en-US"/>
            </w:rPr>
            <w:instrText xml:space="preserve"> TOC \o "1-3" \h \z \u </w:instrText>
          </w:r>
          <w:r w:rsidRPr="007C24A5">
            <w:rPr>
              <w:rFonts w:ascii="Montserrat" w:eastAsia="Calibri" w:hAnsi="Montserrat" w:cs="Times New Roman"/>
              <w:b/>
              <w:smallCaps/>
              <w:noProof/>
              <w:sz w:val="24"/>
              <w:szCs w:val="24"/>
              <w:lang w:eastAsia="en-US"/>
            </w:rPr>
            <w:fldChar w:fldCharType="separate"/>
          </w:r>
          <w:hyperlink w:anchor="_Toc137570297" w:history="1">
            <w:r w:rsidR="00F803BD" w:rsidRPr="00E616BE">
              <w:rPr>
                <w:rStyle w:val="Hipervnculo"/>
                <w:rFonts w:ascii="Montserrat" w:hAnsi="Montserrat"/>
                <w:b/>
                <w:noProof/>
              </w:rPr>
              <w:t>I. INTRODUCCIÓN</w:t>
            </w:r>
            <w:r w:rsidR="00F803BD">
              <w:rPr>
                <w:noProof/>
                <w:webHidden/>
              </w:rPr>
              <w:tab/>
            </w:r>
            <w:r w:rsidR="00F803BD">
              <w:rPr>
                <w:noProof/>
                <w:webHidden/>
              </w:rPr>
              <w:fldChar w:fldCharType="begin"/>
            </w:r>
            <w:r w:rsidR="00F803BD">
              <w:rPr>
                <w:noProof/>
                <w:webHidden/>
              </w:rPr>
              <w:instrText xml:space="preserve"> PAGEREF _Toc137570297 \h </w:instrText>
            </w:r>
            <w:r w:rsidR="00F803BD">
              <w:rPr>
                <w:noProof/>
                <w:webHidden/>
              </w:rPr>
            </w:r>
            <w:r w:rsidR="00F803BD">
              <w:rPr>
                <w:noProof/>
                <w:webHidden/>
              </w:rPr>
              <w:fldChar w:fldCharType="separate"/>
            </w:r>
            <w:r w:rsidR="00F803BD">
              <w:rPr>
                <w:noProof/>
                <w:webHidden/>
              </w:rPr>
              <w:t>3</w:t>
            </w:r>
            <w:r w:rsidR="00F803BD">
              <w:rPr>
                <w:noProof/>
                <w:webHidden/>
              </w:rPr>
              <w:fldChar w:fldCharType="end"/>
            </w:r>
          </w:hyperlink>
        </w:p>
        <w:p w14:paraId="25341598" w14:textId="77777777" w:rsidR="00F803BD" w:rsidRDefault="00F803BD">
          <w:pPr>
            <w:pStyle w:val="TDC1"/>
            <w:tabs>
              <w:tab w:val="right" w:leader="dot" w:pos="8828"/>
            </w:tabs>
            <w:rPr>
              <w:noProof/>
              <w:lang w:eastAsia="es-MX"/>
            </w:rPr>
          </w:pPr>
          <w:hyperlink w:anchor="_Toc137570298" w:history="1">
            <w:r w:rsidRPr="00E616BE">
              <w:rPr>
                <w:rStyle w:val="Hipervnculo"/>
                <w:rFonts w:ascii="Montserrat" w:hAnsi="Montserrat"/>
                <w:b/>
                <w:noProof/>
              </w:rPr>
              <w:t>II. COMENTARIOS GENERALES</w:t>
            </w:r>
            <w:r>
              <w:rPr>
                <w:noProof/>
                <w:webHidden/>
              </w:rPr>
              <w:tab/>
            </w:r>
            <w:r>
              <w:rPr>
                <w:noProof/>
                <w:webHidden/>
              </w:rPr>
              <w:fldChar w:fldCharType="begin"/>
            </w:r>
            <w:r>
              <w:rPr>
                <w:noProof/>
                <w:webHidden/>
              </w:rPr>
              <w:instrText xml:space="preserve"> PAGEREF _Toc137570298 \h </w:instrText>
            </w:r>
            <w:r>
              <w:rPr>
                <w:noProof/>
                <w:webHidden/>
              </w:rPr>
            </w:r>
            <w:r>
              <w:rPr>
                <w:noProof/>
                <w:webHidden/>
              </w:rPr>
              <w:fldChar w:fldCharType="separate"/>
            </w:r>
            <w:r>
              <w:rPr>
                <w:noProof/>
                <w:webHidden/>
              </w:rPr>
              <w:t>3</w:t>
            </w:r>
            <w:r>
              <w:rPr>
                <w:noProof/>
                <w:webHidden/>
              </w:rPr>
              <w:fldChar w:fldCharType="end"/>
            </w:r>
          </w:hyperlink>
        </w:p>
        <w:p w14:paraId="5A2D29C8" w14:textId="77777777" w:rsidR="00F803BD" w:rsidRDefault="00F803BD">
          <w:pPr>
            <w:pStyle w:val="TDC1"/>
            <w:tabs>
              <w:tab w:val="right" w:leader="dot" w:pos="8828"/>
            </w:tabs>
            <w:rPr>
              <w:noProof/>
              <w:lang w:eastAsia="es-MX"/>
            </w:rPr>
          </w:pPr>
          <w:hyperlink w:anchor="_Toc137570299" w:history="1">
            <w:r w:rsidRPr="00E616BE">
              <w:rPr>
                <w:rStyle w:val="Hipervnculo"/>
                <w:rFonts w:ascii="Montserrat" w:hAnsi="Montserrat"/>
                <w:b/>
                <w:noProof/>
              </w:rPr>
              <w:t>III. COMENTARIOS AL</w:t>
            </w:r>
            <w:bookmarkStart w:id="0" w:name="_GoBack"/>
            <w:bookmarkEnd w:id="0"/>
            <w:r w:rsidRPr="00E616BE">
              <w:rPr>
                <w:rStyle w:val="Hipervnculo"/>
                <w:rFonts w:ascii="Montserrat" w:hAnsi="Montserrat"/>
                <w:b/>
                <w:noProof/>
              </w:rPr>
              <w:t xml:space="preserve"> PÁRRAFO 5. RESPECTO A LA NECESIDAD DE CONTAR CON INFORMACIÓN DETALLADA Y PRECISA SOBRE PERSONAS DESAPARECIDAS EN CONTEXTO MIGRATORIO</w:t>
            </w:r>
            <w:r>
              <w:rPr>
                <w:noProof/>
                <w:webHidden/>
              </w:rPr>
              <w:tab/>
            </w:r>
            <w:r>
              <w:rPr>
                <w:noProof/>
                <w:webHidden/>
              </w:rPr>
              <w:fldChar w:fldCharType="begin"/>
            </w:r>
            <w:r>
              <w:rPr>
                <w:noProof/>
                <w:webHidden/>
              </w:rPr>
              <w:instrText xml:space="preserve"> PAGEREF _Toc137570299 \h </w:instrText>
            </w:r>
            <w:r>
              <w:rPr>
                <w:noProof/>
                <w:webHidden/>
              </w:rPr>
            </w:r>
            <w:r>
              <w:rPr>
                <w:noProof/>
                <w:webHidden/>
              </w:rPr>
              <w:fldChar w:fldCharType="separate"/>
            </w:r>
            <w:r>
              <w:rPr>
                <w:noProof/>
                <w:webHidden/>
              </w:rPr>
              <w:t>4</w:t>
            </w:r>
            <w:r>
              <w:rPr>
                <w:noProof/>
                <w:webHidden/>
              </w:rPr>
              <w:fldChar w:fldCharType="end"/>
            </w:r>
          </w:hyperlink>
        </w:p>
        <w:p w14:paraId="11A8B507" w14:textId="77777777" w:rsidR="00F803BD" w:rsidRDefault="00F803BD">
          <w:pPr>
            <w:pStyle w:val="TDC1"/>
            <w:tabs>
              <w:tab w:val="right" w:leader="dot" w:pos="8828"/>
            </w:tabs>
            <w:rPr>
              <w:noProof/>
              <w:lang w:eastAsia="es-MX"/>
            </w:rPr>
          </w:pPr>
          <w:hyperlink w:anchor="_Toc137570300" w:history="1">
            <w:r w:rsidRPr="00E616BE">
              <w:rPr>
                <w:rStyle w:val="Hipervnculo"/>
                <w:rFonts w:ascii="Montserrat" w:hAnsi="Montserrat"/>
                <w:b/>
                <w:noProof/>
              </w:rPr>
              <w:t>IV. COMENTARIOS AL PÁRRAFO 20. EN CUANTO A LA NECESIDAD DE COTEJAR LISTADOS DE TODAS LAS PERSONAS PRIVADAS DE LIBERTAD</w:t>
            </w:r>
            <w:r>
              <w:rPr>
                <w:noProof/>
                <w:webHidden/>
              </w:rPr>
              <w:tab/>
            </w:r>
            <w:r>
              <w:rPr>
                <w:noProof/>
                <w:webHidden/>
              </w:rPr>
              <w:fldChar w:fldCharType="begin"/>
            </w:r>
            <w:r>
              <w:rPr>
                <w:noProof/>
                <w:webHidden/>
              </w:rPr>
              <w:instrText xml:space="preserve"> PAGEREF _Toc137570300 \h </w:instrText>
            </w:r>
            <w:r>
              <w:rPr>
                <w:noProof/>
                <w:webHidden/>
              </w:rPr>
            </w:r>
            <w:r>
              <w:rPr>
                <w:noProof/>
                <w:webHidden/>
              </w:rPr>
              <w:fldChar w:fldCharType="separate"/>
            </w:r>
            <w:r>
              <w:rPr>
                <w:noProof/>
                <w:webHidden/>
              </w:rPr>
              <w:t>5</w:t>
            </w:r>
            <w:r>
              <w:rPr>
                <w:noProof/>
                <w:webHidden/>
              </w:rPr>
              <w:fldChar w:fldCharType="end"/>
            </w:r>
          </w:hyperlink>
        </w:p>
        <w:p w14:paraId="4E5622ED" w14:textId="1CC6D921" w:rsidR="003143B1" w:rsidRPr="007C24A5" w:rsidRDefault="000544EA" w:rsidP="008E7E86">
          <w:pPr>
            <w:spacing w:before="120" w:after="0" w:line="360" w:lineRule="auto"/>
            <w:jc w:val="both"/>
            <w:rPr>
              <w:rFonts w:ascii="Montserrat" w:eastAsia="Calibri" w:hAnsi="Montserrat" w:cs="Times New Roman"/>
              <w:sz w:val="24"/>
              <w:szCs w:val="24"/>
              <w:lang w:eastAsia="en-US"/>
            </w:rPr>
          </w:pPr>
          <w:r w:rsidRPr="007C24A5">
            <w:rPr>
              <w:rFonts w:ascii="Montserrat" w:eastAsia="Calibri" w:hAnsi="Montserrat" w:cs="Times New Roman"/>
              <w:b/>
              <w:bCs/>
              <w:sz w:val="24"/>
              <w:szCs w:val="24"/>
              <w:lang w:val="es-ES" w:eastAsia="en-US"/>
            </w:rPr>
            <w:fldChar w:fldCharType="end"/>
          </w:r>
        </w:p>
      </w:sdtContent>
    </w:sdt>
    <w:p w14:paraId="2A027913" w14:textId="77777777" w:rsidR="008E7E86" w:rsidRPr="007C24A5" w:rsidRDefault="008E7E86" w:rsidP="000544EA">
      <w:pPr>
        <w:spacing w:before="120" w:after="0" w:line="360" w:lineRule="auto"/>
        <w:ind w:hanging="357"/>
        <w:jc w:val="center"/>
        <w:rPr>
          <w:rFonts w:ascii="Montserrat" w:eastAsia="Calibri" w:hAnsi="Montserrat" w:cs="Times New Roman"/>
          <w:b/>
          <w:smallCaps/>
          <w:sz w:val="24"/>
          <w:szCs w:val="24"/>
          <w:lang w:val="es-ES" w:eastAsia="es-MX"/>
        </w:rPr>
      </w:pPr>
    </w:p>
    <w:p w14:paraId="002B2BA1" w14:textId="77777777" w:rsidR="00E17FF0" w:rsidRDefault="00E17FF0" w:rsidP="00C67FB8">
      <w:pPr>
        <w:spacing w:before="120" w:after="0" w:line="360" w:lineRule="auto"/>
        <w:rPr>
          <w:rFonts w:ascii="Montserrat" w:eastAsia="Calibri" w:hAnsi="Montserrat" w:cs="Times New Roman"/>
          <w:b/>
          <w:smallCaps/>
          <w:sz w:val="24"/>
          <w:szCs w:val="24"/>
          <w:lang w:val="es-ES" w:eastAsia="es-MX"/>
        </w:rPr>
      </w:pPr>
    </w:p>
    <w:p w14:paraId="7738178E" w14:textId="77777777" w:rsidR="00C43BF8" w:rsidRDefault="00C43BF8" w:rsidP="00C67FB8">
      <w:pPr>
        <w:spacing w:before="120" w:after="0" w:line="360" w:lineRule="auto"/>
        <w:rPr>
          <w:rFonts w:ascii="Montserrat" w:eastAsia="Calibri" w:hAnsi="Montserrat" w:cs="Times New Roman"/>
          <w:b/>
          <w:smallCaps/>
          <w:sz w:val="24"/>
          <w:szCs w:val="24"/>
          <w:lang w:val="es-ES" w:eastAsia="es-MX"/>
        </w:rPr>
      </w:pPr>
    </w:p>
    <w:p w14:paraId="63778106" w14:textId="77777777" w:rsidR="009504EC" w:rsidRDefault="009504EC" w:rsidP="00C67FB8">
      <w:pPr>
        <w:spacing w:before="120" w:after="0" w:line="360" w:lineRule="auto"/>
        <w:rPr>
          <w:rFonts w:ascii="Montserrat" w:eastAsia="Calibri" w:hAnsi="Montserrat" w:cs="Times New Roman"/>
          <w:b/>
          <w:smallCaps/>
          <w:sz w:val="24"/>
          <w:szCs w:val="24"/>
          <w:lang w:val="es-ES" w:eastAsia="es-MX"/>
        </w:rPr>
      </w:pPr>
    </w:p>
    <w:p w14:paraId="7A9D9EF7" w14:textId="77777777" w:rsidR="009504EC" w:rsidRDefault="009504EC" w:rsidP="00C67FB8">
      <w:pPr>
        <w:spacing w:before="120" w:after="0" w:line="360" w:lineRule="auto"/>
        <w:rPr>
          <w:rFonts w:ascii="Montserrat" w:eastAsia="Calibri" w:hAnsi="Montserrat" w:cs="Times New Roman"/>
          <w:b/>
          <w:smallCaps/>
          <w:sz w:val="24"/>
          <w:szCs w:val="24"/>
          <w:lang w:val="es-ES" w:eastAsia="es-MX"/>
        </w:rPr>
      </w:pPr>
    </w:p>
    <w:p w14:paraId="0BE85721" w14:textId="77777777" w:rsidR="009504EC" w:rsidRDefault="009504EC" w:rsidP="00C67FB8">
      <w:pPr>
        <w:spacing w:before="120" w:after="0" w:line="360" w:lineRule="auto"/>
        <w:rPr>
          <w:rFonts w:ascii="Montserrat" w:eastAsia="Calibri" w:hAnsi="Montserrat" w:cs="Times New Roman"/>
          <w:b/>
          <w:smallCaps/>
          <w:sz w:val="24"/>
          <w:szCs w:val="24"/>
          <w:lang w:val="es-ES" w:eastAsia="es-MX"/>
        </w:rPr>
      </w:pPr>
    </w:p>
    <w:p w14:paraId="6B6347F4" w14:textId="77777777" w:rsidR="009504EC" w:rsidRDefault="009504EC" w:rsidP="00C67FB8">
      <w:pPr>
        <w:spacing w:before="120" w:after="0" w:line="360" w:lineRule="auto"/>
        <w:rPr>
          <w:rFonts w:ascii="Montserrat" w:eastAsia="Calibri" w:hAnsi="Montserrat" w:cs="Times New Roman"/>
          <w:b/>
          <w:smallCaps/>
          <w:sz w:val="24"/>
          <w:szCs w:val="24"/>
          <w:lang w:val="es-ES" w:eastAsia="es-MX"/>
        </w:rPr>
      </w:pPr>
    </w:p>
    <w:p w14:paraId="5ACC59F8" w14:textId="77777777" w:rsidR="009504EC" w:rsidRDefault="009504EC" w:rsidP="00C67FB8">
      <w:pPr>
        <w:spacing w:before="120" w:after="0" w:line="360" w:lineRule="auto"/>
        <w:rPr>
          <w:rFonts w:ascii="Montserrat" w:eastAsia="Calibri" w:hAnsi="Montserrat" w:cs="Times New Roman"/>
          <w:b/>
          <w:smallCaps/>
          <w:sz w:val="24"/>
          <w:szCs w:val="24"/>
          <w:lang w:val="es-ES" w:eastAsia="es-MX"/>
        </w:rPr>
      </w:pPr>
    </w:p>
    <w:p w14:paraId="6CA46285" w14:textId="77777777" w:rsidR="009504EC" w:rsidRDefault="009504EC" w:rsidP="00C67FB8">
      <w:pPr>
        <w:spacing w:before="120" w:after="0" w:line="360" w:lineRule="auto"/>
        <w:rPr>
          <w:rFonts w:ascii="Montserrat" w:eastAsia="Calibri" w:hAnsi="Montserrat" w:cs="Times New Roman"/>
          <w:b/>
          <w:smallCaps/>
          <w:sz w:val="24"/>
          <w:szCs w:val="24"/>
          <w:lang w:val="es-ES" w:eastAsia="es-MX"/>
        </w:rPr>
      </w:pPr>
    </w:p>
    <w:p w14:paraId="796489F0" w14:textId="77777777" w:rsidR="009504EC" w:rsidRDefault="009504EC" w:rsidP="00C67FB8">
      <w:pPr>
        <w:spacing w:before="120" w:after="0" w:line="360" w:lineRule="auto"/>
        <w:rPr>
          <w:rFonts w:ascii="Montserrat" w:eastAsia="Calibri" w:hAnsi="Montserrat" w:cs="Times New Roman"/>
          <w:b/>
          <w:smallCaps/>
          <w:sz w:val="24"/>
          <w:szCs w:val="24"/>
          <w:lang w:val="es-ES" w:eastAsia="es-MX"/>
        </w:rPr>
      </w:pPr>
    </w:p>
    <w:p w14:paraId="210CC5AF" w14:textId="77777777" w:rsidR="009504EC" w:rsidRDefault="009504EC" w:rsidP="00C67FB8">
      <w:pPr>
        <w:spacing w:before="120" w:after="0" w:line="360" w:lineRule="auto"/>
        <w:rPr>
          <w:rFonts w:ascii="Montserrat" w:eastAsia="Calibri" w:hAnsi="Montserrat" w:cs="Times New Roman"/>
          <w:b/>
          <w:smallCaps/>
          <w:sz w:val="24"/>
          <w:szCs w:val="24"/>
          <w:lang w:val="es-ES" w:eastAsia="es-MX"/>
        </w:rPr>
      </w:pPr>
    </w:p>
    <w:p w14:paraId="02088A0B" w14:textId="77777777" w:rsidR="009504EC" w:rsidRDefault="009504EC" w:rsidP="00C67FB8">
      <w:pPr>
        <w:spacing w:before="120" w:after="0" w:line="360" w:lineRule="auto"/>
        <w:rPr>
          <w:rFonts w:ascii="Montserrat" w:eastAsia="Calibri" w:hAnsi="Montserrat" w:cs="Times New Roman"/>
          <w:b/>
          <w:smallCaps/>
          <w:sz w:val="24"/>
          <w:szCs w:val="24"/>
          <w:lang w:val="es-ES" w:eastAsia="es-MX"/>
        </w:rPr>
      </w:pPr>
    </w:p>
    <w:p w14:paraId="66ABC814" w14:textId="77777777" w:rsidR="00E37DA3" w:rsidRDefault="00E37DA3" w:rsidP="00C67FB8">
      <w:pPr>
        <w:spacing w:before="120" w:after="0" w:line="360" w:lineRule="auto"/>
        <w:rPr>
          <w:rFonts w:ascii="Montserrat" w:eastAsia="Calibri" w:hAnsi="Montserrat" w:cs="Times New Roman"/>
          <w:b/>
          <w:smallCaps/>
          <w:sz w:val="24"/>
          <w:szCs w:val="24"/>
          <w:lang w:val="es-ES" w:eastAsia="es-MX"/>
        </w:rPr>
      </w:pPr>
    </w:p>
    <w:p w14:paraId="672790EA" w14:textId="77777777" w:rsidR="00E37DA3" w:rsidRDefault="00E37DA3" w:rsidP="00C67FB8">
      <w:pPr>
        <w:spacing w:before="120" w:after="0" w:line="360" w:lineRule="auto"/>
        <w:rPr>
          <w:rFonts w:ascii="Montserrat" w:eastAsia="Calibri" w:hAnsi="Montserrat" w:cs="Times New Roman"/>
          <w:b/>
          <w:smallCaps/>
          <w:sz w:val="24"/>
          <w:szCs w:val="24"/>
          <w:lang w:val="es-ES" w:eastAsia="es-MX"/>
        </w:rPr>
      </w:pPr>
    </w:p>
    <w:p w14:paraId="73EF3F31" w14:textId="77777777" w:rsidR="00E37DA3" w:rsidRDefault="00E37DA3" w:rsidP="00C67FB8">
      <w:pPr>
        <w:spacing w:before="120" w:after="0" w:line="360" w:lineRule="auto"/>
        <w:rPr>
          <w:rFonts w:ascii="Montserrat" w:eastAsia="Calibri" w:hAnsi="Montserrat" w:cs="Times New Roman"/>
          <w:b/>
          <w:smallCaps/>
          <w:sz w:val="24"/>
          <w:szCs w:val="24"/>
          <w:lang w:val="es-ES" w:eastAsia="es-MX"/>
        </w:rPr>
      </w:pPr>
    </w:p>
    <w:p w14:paraId="3C582101" w14:textId="77777777" w:rsidR="00E37DA3" w:rsidRDefault="00E37DA3" w:rsidP="00C67FB8">
      <w:pPr>
        <w:spacing w:before="120" w:after="0" w:line="360" w:lineRule="auto"/>
        <w:rPr>
          <w:rFonts w:ascii="Montserrat" w:eastAsia="Calibri" w:hAnsi="Montserrat" w:cs="Times New Roman"/>
          <w:b/>
          <w:smallCaps/>
          <w:sz w:val="24"/>
          <w:szCs w:val="24"/>
          <w:lang w:val="es-ES" w:eastAsia="es-MX"/>
        </w:rPr>
      </w:pPr>
    </w:p>
    <w:p w14:paraId="2425EDCE" w14:textId="77777777" w:rsidR="006908C9" w:rsidRPr="007C24A5" w:rsidRDefault="006908C9" w:rsidP="00C67FB8">
      <w:pPr>
        <w:spacing w:before="120" w:after="0" w:line="360" w:lineRule="auto"/>
        <w:rPr>
          <w:rFonts w:ascii="Montserrat" w:eastAsia="Calibri" w:hAnsi="Montserrat" w:cs="Times New Roman"/>
          <w:b/>
          <w:smallCaps/>
          <w:sz w:val="24"/>
          <w:szCs w:val="24"/>
          <w:lang w:val="es-ES" w:eastAsia="es-MX"/>
        </w:rPr>
      </w:pPr>
    </w:p>
    <w:p w14:paraId="15EC14B5" w14:textId="3C96C691" w:rsidR="00413DFC" w:rsidRPr="003B1C1F" w:rsidRDefault="00EA6231" w:rsidP="003B1C1F">
      <w:pPr>
        <w:pStyle w:val="Ttulo1"/>
        <w:rPr>
          <w:rFonts w:ascii="Montserrat" w:hAnsi="Montserrat"/>
          <w:b/>
          <w:color w:val="auto"/>
          <w:sz w:val="24"/>
          <w:szCs w:val="24"/>
        </w:rPr>
      </w:pPr>
      <w:bookmarkStart w:id="1" w:name="_Toc137570297"/>
      <w:r w:rsidRPr="003B1C1F">
        <w:rPr>
          <w:rFonts w:ascii="Montserrat" w:hAnsi="Montserrat"/>
          <w:b/>
          <w:color w:val="auto"/>
          <w:sz w:val="24"/>
          <w:szCs w:val="24"/>
        </w:rPr>
        <w:t>I. INTRODUCCIÓN</w:t>
      </w:r>
      <w:bookmarkEnd w:id="1"/>
      <w:r w:rsidRPr="003B1C1F">
        <w:rPr>
          <w:rFonts w:ascii="Montserrat" w:hAnsi="Montserrat"/>
          <w:b/>
          <w:color w:val="auto"/>
          <w:sz w:val="24"/>
          <w:szCs w:val="24"/>
        </w:rPr>
        <w:t xml:space="preserve"> </w:t>
      </w:r>
    </w:p>
    <w:p w14:paraId="59462B05" w14:textId="5CF7493F" w:rsidR="0091539B" w:rsidRPr="00E37DA3" w:rsidRDefault="00432211" w:rsidP="004A40B3">
      <w:pPr>
        <w:spacing w:line="240" w:lineRule="auto"/>
        <w:jc w:val="both"/>
        <w:rPr>
          <w:rFonts w:ascii="Montserrat" w:hAnsi="Montserrat"/>
          <w:sz w:val="24"/>
          <w:szCs w:val="24"/>
        </w:rPr>
      </w:pPr>
      <w:r w:rsidRPr="00432211">
        <w:rPr>
          <w:rFonts w:ascii="Montserrat" w:hAnsi="Montserrat"/>
          <w:sz w:val="24"/>
          <w:szCs w:val="24"/>
        </w:rPr>
        <w:t>En respuesta</w:t>
      </w:r>
      <w:r w:rsidR="0091539B" w:rsidRPr="00432211">
        <w:rPr>
          <w:rFonts w:ascii="Montserrat" w:hAnsi="Montserrat"/>
          <w:sz w:val="24"/>
          <w:szCs w:val="24"/>
        </w:rPr>
        <w:t xml:space="preserve"> a la solicitud de</w:t>
      </w:r>
      <w:r w:rsidR="00F0707F">
        <w:rPr>
          <w:rFonts w:ascii="Montserrat" w:hAnsi="Montserrat"/>
          <w:sz w:val="24"/>
          <w:szCs w:val="24"/>
        </w:rPr>
        <w:t>l</w:t>
      </w:r>
      <w:r w:rsidR="0091539B" w:rsidRPr="00432211">
        <w:rPr>
          <w:rFonts w:ascii="Montserrat" w:hAnsi="Montserrat"/>
          <w:sz w:val="24"/>
          <w:szCs w:val="24"/>
        </w:rPr>
        <w:t xml:space="preserve"> </w:t>
      </w:r>
      <w:r w:rsidR="00F0707F" w:rsidRPr="00F0707F">
        <w:rPr>
          <w:rFonts w:ascii="Montserrat" w:hAnsi="Montserrat"/>
          <w:sz w:val="24"/>
          <w:szCs w:val="24"/>
        </w:rPr>
        <w:t>Comité contra la Desaparición Forzada (CED) para remitir observaciones sobre el primer borrador del proyecto de comentario general No. 1 sobre la desaparición forzada en el contexto de la migración, adoptado por el CED dur</w:t>
      </w:r>
      <w:r w:rsidR="00F0707F">
        <w:rPr>
          <w:rFonts w:ascii="Montserrat" w:hAnsi="Montserrat"/>
          <w:sz w:val="24"/>
          <w:szCs w:val="24"/>
        </w:rPr>
        <w:t xml:space="preserve">ante su 24° periodo de sesiones, </w:t>
      </w:r>
      <w:r w:rsidRPr="00432211">
        <w:rPr>
          <w:rFonts w:ascii="Montserrat" w:hAnsi="Montserrat"/>
          <w:sz w:val="24"/>
          <w:szCs w:val="24"/>
        </w:rPr>
        <w:t>el Estado mexicano</w:t>
      </w:r>
      <w:r w:rsidR="00F803BD">
        <w:rPr>
          <w:rFonts w:ascii="Montserrat" w:hAnsi="Montserrat"/>
          <w:sz w:val="24"/>
          <w:szCs w:val="24"/>
        </w:rPr>
        <w:t xml:space="preserve"> envía en alcance la siguiente información.</w:t>
      </w:r>
    </w:p>
    <w:p w14:paraId="62673439" w14:textId="3A0B08D6" w:rsidR="00F803BD" w:rsidRPr="00F803BD" w:rsidRDefault="000A4129" w:rsidP="00F803BD">
      <w:pPr>
        <w:pStyle w:val="Ttulo1"/>
        <w:rPr>
          <w:rFonts w:ascii="Montserrat" w:hAnsi="Montserrat"/>
          <w:b/>
          <w:color w:val="auto"/>
          <w:sz w:val="24"/>
          <w:szCs w:val="24"/>
        </w:rPr>
      </w:pPr>
      <w:bookmarkStart w:id="2" w:name="_Toc137570298"/>
      <w:r w:rsidRPr="000A4129">
        <w:rPr>
          <w:rFonts w:ascii="Montserrat" w:hAnsi="Montserrat"/>
          <w:b/>
          <w:color w:val="auto"/>
          <w:sz w:val="24"/>
          <w:szCs w:val="24"/>
        </w:rPr>
        <w:t xml:space="preserve">II. </w:t>
      </w:r>
      <w:r w:rsidR="000C3395">
        <w:rPr>
          <w:rFonts w:ascii="Montserrat" w:hAnsi="Montserrat"/>
          <w:b/>
          <w:color w:val="auto"/>
          <w:sz w:val="24"/>
          <w:szCs w:val="24"/>
        </w:rPr>
        <w:t xml:space="preserve">COMENTARIOS </w:t>
      </w:r>
      <w:r w:rsidR="00F803BD">
        <w:rPr>
          <w:rFonts w:ascii="Montserrat" w:hAnsi="Montserrat"/>
          <w:b/>
          <w:color w:val="auto"/>
          <w:sz w:val="24"/>
          <w:szCs w:val="24"/>
        </w:rPr>
        <w:t>GENERALES</w:t>
      </w:r>
      <w:bookmarkEnd w:id="2"/>
    </w:p>
    <w:p w14:paraId="3601F853" w14:textId="2568C163" w:rsidR="00EA45A5" w:rsidRDefault="00F803BD" w:rsidP="00000C5B">
      <w:pPr>
        <w:jc w:val="both"/>
        <w:rPr>
          <w:rFonts w:ascii="Montserrat" w:hAnsi="Montserrat"/>
          <w:sz w:val="24"/>
          <w:szCs w:val="24"/>
        </w:rPr>
      </w:pPr>
      <w:r>
        <w:rPr>
          <w:rFonts w:ascii="Montserrat" w:hAnsi="Montserrat"/>
          <w:sz w:val="24"/>
          <w:szCs w:val="24"/>
        </w:rPr>
        <w:t>E</w:t>
      </w:r>
      <w:r w:rsidR="00FD4D68" w:rsidRPr="00FD4D68">
        <w:rPr>
          <w:rFonts w:ascii="Montserrat" w:hAnsi="Montserrat"/>
          <w:sz w:val="24"/>
          <w:szCs w:val="24"/>
        </w:rPr>
        <w:t>n relación con la cooperación, garantía de respeto a los derechos de familiares y víctimas, así como, la obligación de buscar e investigar, la Comisión Nacional de Búsqueda</w:t>
      </w:r>
      <w:r>
        <w:rPr>
          <w:rFonts w:ascii="Montserrat" w:hAnsi="Montserrat"/>
          <w:sz w:val="24"/>
          <w:szCs w:val="24"/>
        </w:rPr>
        <w:t xml:space="preserve"> (CNB)</w:t>
      </w:r>
      <w:r w:rsidR="00FD4D68" w:rsidRPr="00FD4D68">
        <w:rPr>
          <w:rFonts w:ascii="Montserrat" w:hAnsi="Montserrat"/>
          <w:sz w:val="24"/>
          <w:szCs w:val="24"/>
        </w:rPr>
        <w:t xml:space="preserve"> ha impulsado, en conjunto con distintos actores, tres mecanismos de coordinación con los que se espera no sólo facilitar la comunicación para la búsqueda de cada persona migrante desaparecida, sino también impulsar la resolución de problemas transversales a la desaparición de migrantes, y cuya atención escapa con frecuencia al ámbito de competencia de cada actor por separado. Los mecanismos son los siguientes: </w:t>
      </w:r>
    </w:p>
    <w:p w14:paraId="1B0105B6" w14:textId="1C4477BF" w:rsidR="00EA45A5" w:rsidRPr="00F803BD" w:rsidRDefault="00FD4D68" w:rsidP="00F803BD">
      <w:pPr>
        <w:pStyle w:val="Prrafodelista"/>
        <w:numPr>
          <w:ilvl w:val="0"/>
          <w:numId w:val="31"/>
        </w:numPr>
        <w:jc w:val="both"/>
        <w:rPr>
          <w:rFonts w:ascii="Montserrat" w:hAnsi="Montserrat"/>
          <w:sz w:val="24"/>
          <w:szCs w:val="24"/>
        </w:rPr>
      </w:pPr>
      <w:r w:rsidRPr="00EA45A5">
        <w:rPr>
          <w:rFonts w:ascii="Montserrat" w:hAnsi="Montserrat"/>
          <w:sz w:val="24"/>
          <w:szCs w:val="24"/>
        </w:rPr>
        <w:t xml:space="preserve">La Mesa de Búsqueda de Personas Migrantes Desaparecidas (MBPMD), aprobada por el Sistema Nacional de Búsqueda </w:t>
      </w:r>
      <w:r w:rsidR="00F803BD">
        <w:rPr>
          <w:rFonts w:ascii="Montserrat" w:hAnsi="Montserrat"/>
          <w:sz w:val="24"/>
          <w:szCs w:val="24"/>
        </w:rPr>
        <w:t>(SNB) el 9 de noviembre de 2021. C</w:t>
      </w:r>
      <w:r w:rsidRPr="00EA45A5">
        <w:rPr>
          <w:rFonts w:ascii="Montserrat" w:hAnsi="Montserrat"/>
          <w:sz w:val="24"/>
          <w:szCs w:val="24"/>
        </w:rPr>
        <w:t>onsiste en un espacio amplio de diálogo, articulación, intercambio de información y colaboración entre autoridades mexicanas, instituciones de otros países, organizaciones civiles, organismos internacionales y familiares de personas migrantes desaparecidas. Tiene la finalidad de articular esfuerzos para dar impulso a la búsqueda de personas migrantes desaparecidas, particularmente en su tránsito por el corredor migratorio mesoamericano. Cabe señalar que fue impulsada por organizaciones civiles, comités centroamericanos de familiares de personas migrantes desaparecidas en México y por la CNB, con el acompa</w:t>
      </w:r>
      <w:r w:rsidR="00F803BD">
        <w:rPr>
          <w:rFonts w:ascii="Montserrat" w:hAnsi="Montserrat"/>
          <w:sz w:val="24"/>
          <w:szCs w:val="24"/>
        </w:rPr>
        <w:t xml:space="preserve">ñamiento y observaciones de </w:t>
      </w:r>
      <w:r w:rsidRPr="00EA45A5">
        <w:rPr>
          <w:rFonts w:ascii="Montserrat" w:hAnsi="Montserrat"/>
          <w:sz w:val="24"/>
          <w:szCs w:val="24"/>
        </w:rPr>
        <w:t xml:space="preserve">organizaciones internacionales en materia de derechos humanos. </w:t>
      </w:r>
      <w:r w:rsidRPr="00F803BD">
        <w:rPr>
          <w:rFonts w:ascii="Montserrat" w:hAnsi="Montserrat"/>
          <w:sz w:val="24"/>
          <w:szCs w:val="24"/>
        </w:rPr>
        <w:t xml:space="preserve">Sus lineamientos han sido extensamente discutidos con organizaciones civiles y el Comité Internacional de la Cruz Roja a lo largo de 2022 y está próxima a sesionar. </w:t>
      </w:r>
    </w:p>
    <w:p w14:paraId="34436B66" w14:textId="1507F663" w:rsidR="00EA45A5" w:rsidRDefault="00FD4D68" w:rsidP="00EA45A5">
      <w:pPr>
        <w:pStyle w:val="Prrafodelista"/>
        <w:numPr>
          <w:ilvl w:val="0"/>
          <w:numId w:val="31"/>
        </w:numPr>
        <w:jc w:val="both"/>
        <w:rPr>
          <w:rFonts w:ascii="Montserrat" w:hAnsi="Montserrat"/>
          <w:sz w:val="24"/>
          <w:szCs w:val="24"/>
        </w:rPr>
      </w:pPr>
      <w:r w:rsidRPr="00EA45A5">
        <w:rPr>
          <w:rFonts w:ascii="Montserrat" w:hAnsi="Montserrat"/>
          <w:sz w:val="24"/>
          <w:szCs w:val="24"/>
        </w:rPr>
        <w:t xml:space="preserve">El Grupo de Trabajo Interinstitucional se compone de enlaces permanentes designados por cada una de las autoridades mexicanas involucradas en la búsqueda de personas migrantes o la </w:t>
      </w:r>
      <w:r w:rsidRPr="00EA45A5">
        <w:rPr>
          <w:rFonts w:ascii="Montserrat" w:hAnsi="Montserrat"/>
          <w:sz w:val="24"/>
          <w:szCs w:val="24"/>
        </w:rPr>
        <w:lastRenderedPageBreak/>
        <w:t>investigación de delitos cometidos en su contra. Esto incluye,</w:t>
      </w:r>
      <w:r w:rsidR="00F803BD">
        <w:rPr>
          <w:rFonts w:ascii="Montserrat" w:hAnsi="Montserrat"/>
          <w:sz w:val="24"/>
          <w:szCs w:val="24"/>
        </w:rPr>
        <w:t xml:space="preserve"> por lo menos, a la CNB, las comisiones locales de búsqueda </w:t>
      </w:r>
      <w:r w:rsidRPr="00EA45A5">
        <w:rPr>
          <w:rFonts w:ascii="Montserrat" w:hAnsi="Montserrat"/>
          <w:sz w:val="24"/>
          <w:szCs w:val="24"/>
        </w:rPr>
        <w:t>de entidades que formen parte de rutas o circuitos migratorios, a la F</w:t>
      </w:r>
      <w:r w:rsidR="00F803BD">
        <w:rPr>
          <w:rFonts w:ascii="Montserrat" w:hAnsi="Montserrat"/>
          <w:sz w:val="24"/>
          <w:szCs w:val="24"/>
        </w:rPr>
        <w:t xml:space="preserve">iscalía </w:t>
      </w:r>
      <w:r w:rsidRPr="00EA45A5">
        <w:rPr>
          <w:rFonts w:ascii="Montserrat" w:hAnsi="Montserrat"/>
          <w:sz w:val="24"/>
          <w:szCs w:val="24"/>
        </w:rPr>
        <w:t>G</w:t>
      </w:r>
      <w:r w:rsidR="00F803BD">
        <w:rPr>
          <w:rFonts w:ascii="Montserrat" w:hAnsi="Montserrat"/>
          <w:sz w:val="24"/>
          <w:szCs w:val="24"/>
        </w:rPr>
        <w:t xml:space="preserve">eneral de la </w:t>
      </w:r>
      <w:r w:rsidRPr="00EA45A5">
        <w:rPr>
          <w:rFonts w:ascii="Montserrat" w:hAnsi="Montserrat"/>
          <w:sz w:val="24"/>
          <w:szCs w:val="24"/>
        </w:rPr>
        <w:t>R</w:t>
      </w:r>
      <w:r w:rsidR="00F803BD">
        <w:rPr>
          <w:rFonts w:ascii="Montserrat" w:hAnsi="Montserrat"/>
          <w:sz w:val="24"/>
          <w:szCs w:val="24"/>
        </w:rPr>
        <w:t>epública (FGR)</w:t>
      </w:r>
      <w:r w:rsidRPr="00EA45A5">
        <w:rPr>
          <w:rFonts w:ascii="Montserrat" w:hAnsi="Montserrat"/>
          <w:sz w:val="24"/>
          <w:szCs w:val="24"/>
        </w:rPr>
        <w:t xml:space="preserve">, a las fiscalías locales que investiguen delitos cometidos contra migrantes, al Instituto Nacional de Migración (INM) y a la Secretaría de Relaciones Exteriores (SRE). Medio centenar de autoridades han designado enlaces permanentes, se imparte capacitación tendiente a su especialización y se conformaron grupos temáticos, en cuyo seno se han impulsado procesos de homologación de información, consolidación de registros y búsqueda mediante confronta de bases de datos de </w:t>
      </w:r>
      <w:r w:rsidR="00EA45A5">
        <w:rPr>
          <w:rFonts w:ascii="Montserrat" w:hAnsi="Montserrat"/>
          <w:sz w:val="24"/>
          <w:szCs w:val="24"/>
        </w:rPr>
        <w:t xml:space="preserve">personas privadas de libertad. </w:t>
      </w:r>
    </w:p>
    <w:p w14:paraId="4F17D446" w14:textId="77777777" w:rsidR="00EA45A5" w:rsidRDefault="00FD4D68" w:rsidP="00EA45A5">
      <w:pPr>
        <w:pStyle w:val="Prrafodelista"/>
        <w:numPr>
          <w:ilvl w:val="0"/>
          <w:numId w:val="31"/>
        </w:numPr>
        <w:jc w:val="both"/>
        <w:rPr>
          <w:rFonts w:ascii="Montserrat" w:hAnsi="Montserrat"/>
          <w:sz w:val="24"/>
          <w:szCs w:val="24"/>
        </w:rPr>
      </w:pPr>
      <w:r w:rsidRPr="00EA45A5">
        <w:rPr>
          <w:rFonts w:ascii="Montserrat" w:hAnsi="Montserrat"/>
          <w:sz w:val="24"/>
          <w:szCs w:val="24"/>
        </w:rPr>
        <w:t xml:space="preserve">El Mecanismo de Apoyo Exterior Mexicano de Búsqueda e Investigación (MAEMBI) era, antes de la entrada en vigor de la Ley General en Materia de Desaparición Forzada de Personas, Desaparición cometida por particulares y del Sistema Nacional de Búsqueda de Personas (LGD), un mecanismo que articulaba a la Agregaduría Legal de la Procuraduría General de la República para Centroamérica y el Caribe y a la Unidad de Investigación de Delitos para Migrantes y se regulaba mediante un acuerdo del Procurador General. Con la LGD se dispone que debe crearse un Mecanismo de Apoyo Exterior de Búsqueda e Investigación (MAEBI) del que participen, además, el personal de consulados y embajadas, y que las autoridades activadoras, además de la FGR, pueden ser todas aquellas relacionadas con la búsqueda de personas migrantes desaparecidas o la investigación de delitos cometidos en su contra. El 21 de julio de 2022 el Sistema Nacional de Búsqueda aprobó los Lineamientos del MAEBI, tras un proceso de construcción interinstitucional coordinado por la CNB que incluyó un componente de participación y retroalimentación por parte de sociedad civil, organismos internacionales y familias en agosto de 2021. Los Lineamientos fueron publicados en el Diario Oficial de la Federación el 14 de diciembre de 2022 y se encuentra en etapa de construcción el programa de capacitación para personal adscrito a la Secretaría de Relaciones Exteriores. </w:t>
      </w:r>
    </w:p>
    <w:p w14:paraId="356B29A4" w14:textId="514D2956" w:rsidR="00EA45A5" w:rsidRPr="00F803BD" w:rsidRDefault="00F803BD" w:rsidP="00F803BD">
      <w:pPr>
        <w:pStyle w:val="Ttulo1"/>
        <w:jc w:val="both"/>
        <w:rPr>
          <w:rFonts w:ascii="Montserrat" w:hAnsi="Montserrat"/>
          <w:b/>
          <w:color w:val="auto"/>
          <w:sz w:val="24"/>
          <w:szCs w:val="24"/>
        </w:rPr>
      </w:pPr>
      <w:bookmarkStart w:id="3" w:name="_Toc137570299"/>
      <w:r w:rsidRPr="00F803BD">
        <w:rPr>
          <w:rFonts w:ascii="Montserrat" w:hAnsi="Montserrat"/>
          <w:b/>
          <w:color w:val="auto"/>
          <w:sz w:val="24"/>
          <w:szCs w:val="24"/>
        </w:rPr>
        <w:t>III. COMENTARIOS AL PÁRRAFO 5. RESPECTO A LA NECESIDAD DE CONTAR CON INFORMACIÓN DETALLADA Y PRECISA SOBRE PERSONAS DESAPARECIDAS EN CONTEXTO MIGRATORIO</w:t>
      </w:r>
      <w:bookmarkEnd w:id="3"/>
    </w:p>
    <w:p w14:paraId="2B122722" w14:textId="77777777" w:rsidR="00EA45A5" w:rsidRDefault="00FD4D68" w:rsidP="00EA45A5">
      <w:pPr>
        <w:jc w:val="both"/>
        <w:rPr>
          <w:rFonts w:ascii="Montserrat" w:hAnsi="Montserrat"/>
          <w:sz w:val="24"/>
          <w:szCs w:val="24"/>
        </w:rPr>
      </w:pPr>
      <w:r w:rsidRPr="00EA45A5">
        <w:rPr>
          <w:rFonts w:ascii="Montserrat" w:hAnsi="Montserrat"/>
          <w:sz w:val="24"/>
          <w:szCs w:val="24"/>
        </w:rPr>
        <w:t xml:space="preserve">Es fundamental que las autoridades primarias para la búsqueda e investigación que contempla el Protocolo Homologado de Búsqueda </w:t>
      </w:r>
      <w:r w:rsidRPr="00EA45A5">
        <w:rPr>
          <w:rFonts w:ascii="Montserrat" w:hAnsi="Montserrat"/>
          <w:sz w:val="24"/>
          <w:szCs w:val="24"/>
        </w:rPr>
        <w:lastRenderedPageBreak/>
        <w:t xml:space="preserve">(PHB) actualicen de forma sistemática los datos con los que se cuentan, y que el reporte en el Registro Nacional de Personas Desaparecidas y No </w:t>
      </w:r>
      <w:proofErr w:type="gramStart"/>
      <w:r w:rsidRPr="00EA45A5">
        <w:rPr>
          <w:rFonts w:ascii="Montserrat" w:hAnsi="Montserrat"/>
          <w:sz w:val="24"/>
          <w:szCs w:val="24"/>
        </w:rPr>
        <w:t>localizadas</w:t>
      </w:r>
      <w:proofErr w:type="gramEnd"/>
      <w:r w:rsidRPr="00EA45A5">
        <w:rPr>
          <w:rFonts w:ascii="Montserrat" w:hAnsi="Montserrat"/>
          <w:sz w:val="24"/>
          <w:szCs w:val="24"/>
        </w:rPr>
        <w:t xml:space="preserve"> (RNPDNO) reflejen todos los insumos obtenidos que faciliten la localización de las personas. </w:t>
      </w:r>
    </w:p>
    <w:p w14:paraId="776E9903" w14:textId="77777777" w:rsidR="00EA45A5" w:rsidRDefault="00EA45A5" w:rsidP="00EA45A5">
      <w:pPr>
        <w:jc w:val="both"/>
        <w:rPr>
          <w:rFonts w:ascii="Montserrat" w:hAnsi="Montserrat"/>
          <w:sz w:val="24"/>
          <w:szCs w:val="24"/>
        </w:rPr>
      </w:pPr>
      <w:r>
        <w:rPr>
          <w:rFonts w:ascii="Montserrat" w:hAnsi="Montserrat"/>
          <w:sz w:val="24"/>
          <w:szCs w:val="24"/>
        </w:rPr>
        <w:t>En relación</w:t>
      </w:r>
      <w:r w:rsidR="00FD4D68" w:rsidRPr="00EA45A5">
        <w:rPr>
          <w:rFonts w:ascii="Montserrat" w:hAnsi="Montserrat"/>
          <w:sz w:val="24"/>
          <w:szCs w:val="24"/>
        </w:rPr>
        <w:t xml:space="preserve"> a la falta de recopilación sistemática de datos y de bases de datos compartidas, a la insuficiente cooperación y falta de voluntad política de los Estados, a los obstáculos para denunciar estas desapariciones, vinculados, entre otras cosas, a la situación de vulnerabilidad de los migrantes y sus allegados, así como a la incapacidad de las autoridades para llevar a cabo búsquedas e investigaciones serias, eficaces y diligentes, cabe señalar que el Protocolo Homologado de Búsqueda en su apartado de Actores, Roles y Responsabilidades, divide a todas las autoridades que tienen alguna responsabilidad en la búsqueda de personas en cuatro categorías: primarias, transmisoras, informadoras y difusoras. </w:t>
      </w:r>
    </w:p>
    <w:p w14:paraId="001A6AF8" w14:textId="77777777" w:rsidR="00EA45A5" w:rsidRDefault="00FD4D68" w:rsidP="00EA45A5">
      <w:pPr>
        <w:jc w:val="both"/>
        <w:rPr>
          <w:rFonts w:ascii="Montserrat" w:hAnsi="Montserrat"/>
          <w:sz w:val="24"/>
          <w:szCs w:val="24"/>
        </w:rPr>
      </w:pPr>
      <w:r w:rsidRPr="00EA45A5">
        <w:rPr>
          <w:rFonts w:ascii="Montserrat" w:hAnsi="Montserrat"/>
          <w:sz w:val="24"/>
          <w:szCs w:val="24"/>
        </w:rPr>
        <w:t xml:space="preserve">Las primarias son las comisiones de búsqueda, las autoridades ministeriales que investiguen cualquier delito cometido contra personas desaparecidas, las instituciones de seguridad pública de los tres órdenes de gobierno y los juzgados en el marco de juicios de amparo contra desaparición forzada. Sobre ellas recae la obligación de accionar para descubrir la suerte y dar con el paradero de las personas desaparecidas y no localizadas. </w:t>
      </w:r>
    </w:p>
    <w:p w14:paraId="22C8F793" w14:textId="77777777" w:rsidR="000B0C70" w:rsidRDefault="00FD4D68" w:rsidP="00EA45A5">
      <w:pPr>
        <w:jc w:val="both"/>
        <w:rPr>
          <w:rFonts w:ascii="Montserrat" w:hAnsi="Montserrat"/>
          <w:sz w:val="24"/>
          <w:szCs w:val="24"/>
        </w:rPr>
      </w:pPr>
      <w:r w:rsidRPr="00EA45A5">
        <w:rPr>
          <w:rFonts w:ascii="Montserrat" w:hAnsi="Montserrat"/>
          <w:sz w:val="24"/>
          <w:szCs w:val="24"/>
        </w:rPr>
        <w:t>Por lo tanto, las autoridades ministeriales al ser clasificadas como autoridades primarias se encuentran obligadas a recabar la mayor cantidad de información en el menor tiempo posible, concentrarla y compartirla con aquellas autoridades competentes para la búsqueda coordinada, como se establece en el párrafo 111 “</w:t>
      </w:r>
      <w:r w:rsidRPr="00EA45A5">
        <w:rPr>
          <w:rFonts w:ascii="Montserrat" w:hAnsi="Montserrat"/>
          <w:i/>
          <w:sz w:val="24"/>
          <w:szCs w:val="24"/>
        </w:rPr>
        <w:t>las autoridades ministeriales poseen facultades exclusivas cuyo ejercicio es crucial para la búsqueda y la identificación. Este Protocolo les asigna las siguientes funciones generales, como autoridades primarias. c) Alimentan el RNPDNO</w:t>
      </w:r>
      <w:r w:rsidRPr="00EA45A5">
        <w:rPr>
          <w:rFonts w:ascii="Montserrat" w:hAnsi="Montserrat"/>
          <w:sz w:val="24"/>
          <w:szCs w:val="24"/>
        </w:rPr>
        <w:t>”. Así como, en el párrafo 145 “</w:t>
      </w:r>
      <w:r w:rsidRPr="000B0C70">
        <w:rPr>
          <w:rFonts w:ascii="Montserrat" w:hAnsi="Montserrat"/>
          <w:i/>
          <w:sz w:val="24"/>
          <w:szCs w:val="24"/>
        </w:rPr>
        <w:t xml:space="preserve">la desaparición o no localización debe ser cargada sin demora en RNPDNO por la autoridad que conoció originalmente, sea accediendo al sistema con sus credenciales o bien, si no es una autoridad competente para acceder de esta forma, a través de </w:t>
      </w:r>
      <w:hyperlink r:id="rId10" w:history="1">
        <w:r w:rsidR="000B0C70" w:rsidRPr="004215C7">
          <w:rPr>
            <w:rStyle w:val="Hipervnculo"/>
            <w:rFonts w:ascii="Montserrat" w:hAnsi="Montserrat"/>
            <w:i/>
            <w:sz w:val="24"/>
            <w:szCs w:val="24"/>
          </w:rPr>
          <w:t>https://cnbreportadesaparecidos.segob.gob.mx</w:t>
        </w:r>
      </w:hyperlink>
      <w:r w:rsidRPr="00EA45A5">
        <w:rPr>
          <w:rFonts w:ascii="Montserrat" w:hAnsi="Montserrat"/>
          <w:sz w:val="24"/>
          <w:szCs w:val="24"/>
        </w:rPr>
        <w:t>”</w:t>
      </w:r>
      <w:r w:rsidR="000B0C70">
        <w:rPr>
          <w:rFonts w:ascii="Montserrat" w:hAnsi="Montserrat"/>
          <w:sz w:val="24"/>
          <w:szCs w:val="24"/>
        </w:rPr>
        <w:t>.</w:t>
      </w:r>
      <w:r w:rsidRPr="00EA45A5">
        <w:rPr>
          <w:rFonts w:ascii="Montserrat" w:hAnsi="Montserrat"/>
          <w:sz w:val="24"/>
          <w:szCs w:val="24"/>
        </w:rPr>
        <w:t xml:space="preserve"> </w:t>
      </w:r>
    </w:p>
    <w:p w14:paraId="171F784F" w14:textId="52A638F0" w:rsidR="000B0C70" w:rsidRPr="00F803BD" w:rsidRDefault="00F803BD" w:rsidP="00F803BD">
      <w:pPr>
        <w:pStyle w:val="Ttulo1"/>
        <w:jc w:val="both"/>
        <w:rPr>
          <w:rFonts w:ascii="Montserrat" w:hAnsi="Montserrat"/>
          <w:b/>
          <w:color w:val="auto"/>
          <w:sz w:val="24"/>
          <w:szCs w:val="24"/>
        </w:rPr>
      </w:pPr>
      <w:bookmarkStart w:id="4" w:name="_Toc137570300"/>
      <w:r w:rsidRPr="00F803BD">
        <w:rPr>
          <w:rFonts w:ascii="Montserrat" w:hAnsi="Montserrat"/>
          <w:b/>
          <w:color w:val="auto"/>
          <w:sz w:val="24"/>
          <w:szCs w:val="24"/>
        </w:rPr>
        <w:lastRenderedPageBreak/>
        <w:t>IV. COMENTARIOS AL PÁRRAFO 20. EN CUANTO A LA NECESIDAD DE COTEJAR LISTADOS DE TODAS LAS PERSONAS PRIVADAS DE LIBERTAD</w:t>
      </w:r>
      <w:bookmarkEnd w:id="4"/>
    </w:p>
    <w:p w14:paraId="24C83144" w14:textId="77777777" w:rsidR="000B0C70" w:rsidRDefault="000B0C70" w:rsidP="00EA45A5">
      <w:pPr>
        <w:jc w:val="both"/>
        <w:rPr>
          <w:rFonts w:ascii="Montserrat" w:hAnsi="Montserrat"/>
          <w:sz w:val="24"/>
          <w:szCs w:val="24"/>
        </w:rPr>
      </w:pPr>
      <w:r>
        <w:rPr>
          <w:rFonts w:ascii="Montserrat" w:hAnsi="Montserrat"/>
          <w:sz w:val="24"/>
          <w:szCs w:val="24"/>
        </w:rPr>
        <w:t>E</w:t>
      </w:r>
      <w:r w:rsidR="00FD4D68" w:rsidRPr="00EA45A5">
        <w:rPr>
          <w:rFonts w:ascii="Montserrat" w:hAnsi="Montserrat"/>
          <w:sz w:val="24"/>
          <w:szCs w:val="24"/>
        </w:rPr>
        <w:t xml:space="preserve">s indispensable que los Sistemas Penitenciario Estatales transmitan información sobre las personas extranjeras y mexicanas que se encuentran bajo su custodia, para identificar coincidencias con el registro (RNPDNO) y determinar, en cada caso, cuál es su situación y con ello dar respuesta a la persona </w:t>
      </w:r>
      <w:proofErr w:type="spellStart"/>
      <w:r w:rsidR="00FD4D68" w:rsidRPr="00EA45A5">
        <w:rPr>
          <w:rFonts w:ascii="Montserrat" w:hAnsi="Montserrat"/>
          <w:sz w:val="24"/>
          <w:szCs w:val="24"/>
        </w:rPr>
        <w:t>reportante</w:t>
      </w:r>
      <w:proofErr w:type="spellEnd"/>
      <w:r w:rsidR="00FD4D68" w:rsidRPr="00EA45A5">
        <w:rPr>
          <w:rFonts w:ascii="Montserrat" w:hAnsi="Montserrat"/>
          <w:sz w:val="24"/>
          <w:szCs w:val="24"/>
        </w:rPr>
        <w:t xml:space="preserve"> conforme al PHB. La CNB, como parte de las acciones de búsqueda en caso de personas migrantes desparecidas, ha solicitado información a los Sistemas Penitenciarios de las entidades federativas de: </w:t>
      </w:r>
      <w:r w:rsidR="00FD4D68" w:rsidRPr="000B0C70">
        <w:rPr>
          <w:rFonts w:ascii="Montserrat" w:hAnsi="Montserrat"/>
          <w:b/>
          <w:sz w:val="24"/>
          <w:szCs w:val="24"/>
        </w:rPr>
        <w:t>Aguascalientes, Campeche, Baja California, Baja California Sur, Chihuahua, Estado de México, Hidalgo, Michoacán, Sonora, Nayarit, Puebla, Quintana Roo, Tabasco y Veracruz</w:t>
      </w:r>
      <w:r w:rsidR="00FD4D68" w:rsidRPr="00EA45A5">
        <w:rPr>
          <w:rFonts w:ascii="Montserrat" w:hAnsi="Montserrat"/>
          <w:sz w:val="24"/>
          <w:szCs w:val="24"/>
        </w:rPr>
        <w:t xml:space="preserve">. </w:t>
      </w:r>
    </w:p>
    <w:p w14:paraId="195ACC8D" w14:textId="3A492BB5" w:rsidR="000B0C70" w:rsidRDefault="00FD4D68" w:rsidP="00EA45A5">
      <w:pPr>
        <w:jc w:val="both"/>
        <w:rPr>
          <w:rFonts w:ascii="Montserrat" w:hAnsi="Montserrat"/>
          <w:sz w:val="24"/>
          <w:szCs w:val="24"/>
        </w:rPr>
      </w:pPr>
      <w:r w:rsidRPr="00EA45A5">
        <w:rPr>
          <w:rFonts w:ascii="Montserrat" w:hAnsi="Montserrat"/>
          <w:sz w:val="24"/>
          <w:szCs w:val="24"/>
        </w:rPr>
        <w:t>Es así, que el estado de Baja California Sur, reportó haber localizado a 4 personas, logrando la reunión familiar en 3 de casos; en tanto, que en cada una de las entidades de Baja California Sur, Puebl</w:t>
      </w:r>
      <w:r w:rsidR="000B0C70">
        <w:rPr>
          <w:rFonts w:ascii="Montserrat" w:hAnsi="Montserrat"/>
          <w:sz w:val="24"/>
          <w:szCs w:val="24"/>
        </w:rPr>
        <w:t>a y Quintana Roo se localizó a una</w:t>
      </w:r>
      <w:r w:rsidRPr="00EA45A5">
        <w:rPr>
          <w:rFonts w:ascii="Montserrat" w:hAnsi="Montserrat"/>
          <w:sz w:val="24"/>
          <w:szCs w:val="24"/>
        </w:rPr>
        <w:t xml:space="preserve"> persona, quienes ya fueron reunificadas. </w:t>
      </w:r>
    </w:p>
    <w:p w14:paraId="548D1016" w14:textId="2E160684" w:rsidR="00413DFC" w:rsidRPr="0091539B" w:rsidRDefault="00413DFC" w:rsidP="00BC323D">
      <w:pPr>
        <w:jc w:val="both"/>
        <w:rPr>
          <w:rFonts w:ascii="Montserrat" w:hAnsi="Montserrat"/>
          <w:sz w:val="24"/>
          <w:szCs w:val="24"/>
          <w:lang w:val="es-ES_tradnl"/>
        </w:rPr>
      </w:pPr>
    </w:p>
    <w:sectPr w:rsidR="00413DFC" w:rsidRPr="0091539B" w:rsidSect="00230D60">
      <w:footerReference w:type="default" r:id="rId11"/>
      <w:type w:val="continuous"/>
      <w:pgSz w:w="12240" w:h="15840"/>
      <w:pgMar w:top="1418" w:right="1701" w:bottom="1276"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60DAD" w14:textId="77777777" w:rsidR="00205A43" w:rsidRDefault="00205A43">
      <w:pPr>
        <w:spacing w:after="0" w:line="240" w:lineRule="auto"/>
      </w:pPr>
      <w:r>
        <w:separator/>
      </w:r>
    </w:p>
  </w:endnote>
  <w:endnote w:type="continuationSeparator" w:id="0">
    <w:p w14:paraId="39FCADB3" w14:textId="77777777" w:rsidR="00205A43" w:rsidRDefault="00205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815849"/>
      <w:docPartObj>
        <w:docPartGallery w:val="Page Numbers (Bottom of Page)"/>
        <w:docPartUnique/>
      </w:docPartObj>
    </w:sdtPr>
    <w:sdtEndPr/>
    <w:sdtContent>
      <w:p w14:paraId="630ED76E" w14:textId="75238B03" w:rsidR="00230D60" w:rsidRDefault="00230D60">
        <w:pPr>
          <w:pStyle w:val="Piedepgina"/>
          <w:jc w:val="center"/>
        </w:pPr>
        <w:r>
          <w:fldChar w:fldCharType="begin"/>
        </w:r>
        <w:r>
          <w:instrText>PAGE   \* MERGEFORMAT</w:instrText>
        </w:r>
        <w:r>
          <w:fldChar w:fldCharType="separate"/>
        </w:r>
        <w:r w:rsidR="00F803BD" w:rsidRPr="00F803BD">
          <w:rPr>
            <w:noProof/>
            <w:lang w:val="es-ES"/>
          </w:rPr>
          <w:t>6</w:t>
        </w:r>
        <w:r>
          <w:fldChar w:fldCharType="end"/>
        </w:r>
      </w:p>
    </w:sdtContent>
  </w:sdt>
  <w:p w14:paraId="673BCF94" w14:textId="77777777" w:rsidR="00230D60" w:rsidRDefault="00230D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C18ED" w14:textId="77777777" w:rsidR="00205A43" w:rsidRDefault="00205A43">
      <w:pPr>
        <w:spacing w:after="0" w:line="240" w:lineRule="auto"/>
      </w:pPr>
      <w:r>
        <w:separator/>
      </w:r>
    </w:p>
  </w:footnote>
  <w:footnote w:type="continuationSeparator" w:id="0">
    <w:p w14:paraId="68FA4FE1" w14:textId="77777777" w:rsidR="00205A43" w:rsidRDefault="00205A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60E0"/>
    <w:multiLevelType w:val="hybridMultilevel"/>
    <w:tmpl w:val="6DCED2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47415"/>
    <w:multiLevelType w:val="hybridMultilevel"/>
    <w:tmpl w:val="3E0CADC6"/>
    <w:lvl w:ilvl="0" w:tplc="080A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160F5F9E"/>
    <w:multiLevelType w:val="hybridMultilevel"/>
    <w:tmpl w:val="E05CE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D75CD5"/>
    <w:multiLevelType w:val="hybridMultilevel"/>
    <w:tmpl w:val="36DA9D78"/>
    <w:lvl w:ilvl="0" w:tplc="5954865C">
      <w:start w:val="1"/>
      <w:numFmt w:val="upperRoman"/>
      <w:lvlText w:val="%1)"/>
      <w:lvlJc w:val="left"/>
      <w:pPr>
        <w:ind w:left="294" w:hanging="360"/>
      </w:pPr>
      <w:rPr>
        <w:rFonts w:hint="default"/>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4" w15:restartNumberingAfterBreak="0">
    <w:nsid w:val="17303CBD"/>
    <w:multiLevelType w:val="hybridMultilevel"/>
    <w:tmpl w:val="7CCC28C2"/>
    <w:lvl w:ilvl="0" w:tplc="880476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8778E2"/>
    <w:multiLevelType w:val="hybridMultilevel"/>
    <w:tmpl w:val="76E6FA9C"/>
    <w:lvl w:ilvl="0" w:tplc="080A000B">
      <w:start w:val="1"/>
      <w:numFmt w:val="bullet"/>
      <w:lvlText w:val=""/>
      <w:lvlJc w:val="left"/>
      <w:pPr>
        <w:ind w:left="1364" w:hanging="360"/>
      </w:pPr>
      <w:rPr>
        <w:rFonts w:ascii="Wingdings" w:hAnsi="Wingdings"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6" w15:restartNumberingAfterBreak="0">
    <w:nsid w:val="213100DD"/>
    <w:multiLevelType w:val="hybridMultilevel"/>
    <w:tmpl w:val="828246A0"/>
    <w:lvl w:ilvl="0" w:tplc="984C17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351FF5"/>
    <w:multiLevelType w:val="hybridMultilevel"/>
    <w:tmpl w:val="87788C66"/>
    <w:lvl w:ilvl="0" w:tplc="B1E6422E">
      <w:start w:val="1"/>
      <w:numFmt w:val="bullet"/>
      <w:lvlText w:val=""/>
      <w:lvlJc w:val="left"/>
      <w:pPr>
        <w:ind w:left="1440" w:hanging="360"/>
      </w:pPr>
      <w:rPr>
        <w:rFonts w:ascii="Wingdings" w:hAnsi="Wingdings" w:hint="default"/>
        <w:b/>
        <w:bCs/>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52419DC"/>
    <w:multiLevelType w:val="hybridMultilevel"/>
    <w:tmpl w:val="9C66866E"/>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9" w15:restartNumberingAfterBreak="0">
    <w:nsid w:val="261D5DD4"/>
    <w:multiLevelType w:val="hybridMultilevel"/>
    <w:tmpl w:val="6ECADD1E"/>
    <w:lvl w:ilvl="0" w:tplc="BB04208E">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F35630"/>
    <w:multiLevelType w:val="hybridMultilevel"/>
    <w:tmpl w:val="8ED2A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EE2523"/>
    <w:multiLevelType w:val="hybridMultilevel"/>
    <w:tmpl w:val="1F069E68"/>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2" w15:restartNumberingAfterBreak="0">
    <w:nsid w:val="344445DD"/>
    <w:multiLevelType w:val="hybridMultilevel"/>
    <w:tmpl w:val="C9E04BA0"/>
    <w:lvl w:ilvl="0" w:tplc="080A000B">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37324565"/>
    <w:multiLevelType w:val="hybridMultilevel"/>
    <w:tmpl w:val="674079BC"/>
    <w:lvl w:ilvl="0" w:tplc="AFE6AB74">
      <w:start w:val="1"/>
      <w:numFmt w:val="upperRoman"/>
      <w:suff w:val="space"/>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240A0C"/>
    <w:multiLevelType w:val="hybridMultilevel"/>
    <w:tmpl w:val="867A9D60"/>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5" w15:restartNumberingAfterBreak="0">
    <w:nsid w:val="3B7371AB"/>
    <w:multiLevelType w:val="hybridMultilevel"/>
    <w:tmpl w:val="FFA640B2"/>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6" w15:restartNumberingAfterBreak="0">
    <w:nsid w:val="417C6CCE"/>
    <w:multiLevelType w:val="hybridMultilevel"/>
    <w:tmpl w:val="4AD8AD4A"/>
    <w:lvl w:ilvl="0" w:tplc="5954865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952C87"/>
    <w:multiLevelType w:val="hybridMultilevel"/>
    <w:tmpl w:val="01E06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F61248"/>
    <w:multiLevelType w:val="hybridMultilevel"/>
    <w:tmpl w:val="BE5A3972"/>
    <w:lvl w:ilvl="0" w:tplc="3628101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92567AB"/>
    <w:multiLevelType w:val="hybridMultilevel"/>
    <w:tmpl w:val="8FFC3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596ACF"/>
    <w:multiLevelType w:val="hybridMultilevel"/>
    <w:tmpl w:val="1BBC632E"/>
    <w:lvl w:ilvl="0" w:tplc="376EF31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5537BB"/>
    <w:multiLevelType w:val="hybridMultilevel"/>
    <w:tmpl w:val="96106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7133983"/>
    <w:multiLevelType w:val="hybridMultilevel"/>
    <w:tmpl w:val="3C4A70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3349BA"/>
    <w:multiLevelType w:val="hybridMultilevel"/>
    <w:tmpl w:val="7DE09422"/>
    <w:lvl w:ilvl="0" w:tplc="0F54773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94C7B4B"/>
    <w:multiLevelType w:val="hybridMultilevel"/>
    <w:tmpl w:val="C93C8116"/>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65C32475"/>
    <w:multiLevelType w:val="hybridMultilevel"/>
    <w:tmpl w:val="29E8FBEC"/>
    <w:lvl w:ilvl="0" w:tplc="E37CAE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6E21A2"/>
    <w:multiLevelType w:val="hybridMultilevel"/>
    <w:tmpl w:val="00AC1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D330AC"/>
    <w:multiLevelType w:val="hybridMultilevel"/>
    <w:tmpl w:val="D5023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DC1F8B"/>
    <w:multiLevelType w:val="hybridMultilevel"/>
    <w:tmpl w:val="A8CE81F4"/>
    <w:lvl w:ilvl="0" w:tplc="611E23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9E7237"/>
    <w:multiLevelType w:val="hybridMultilevel"/>
    <w:tmpl w:val="D3308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CB21278"/>
    <w:multiLevelType w:val="hybridMultilevel"/>
    <w:tmpl w:val="874E3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4"/>
  </w:num>
  <w:num w:numId="4">
    <w:abstractNumId w:val="21"/>
  </w:num>
  <w:num w:numId="5">
    <w:abstractNumId w:val="13"/>
  </w:num>
  <w:num w:numId="6">
    <w:abstractNumId w:val="30"/>
  </w:num>
  <w:num w:numId="7">
    <w:abstractNumId w:val="24"/>
  </w:num>
  <w:num w:numId="8">
    <w:abstractNumId w:val="22"/>
  </w:num>
  <w:num w:numId="9">
    <w:abstractNumId w:val="19"/>
  </w:num>
  <w:num w:numId="10">
    <w:abstractNumId w:val="23"/>
  </w:num>
  <w:num w:numId="11">
    <w:abstractNumId w:val="9"/>
  </w:num>
  <w:num w:numId="12">
    <w:abstractNumId w:val="20"/>
  </w:num>
  <w:num w:numId="13">
    <w:abstractNumId w:val="1"/>
  </w:num>
  <w:num w:numId="14">
    <w:abstractNumId w:val="18"/>
  </w:num>
  <w:num w:numId="15">
    <w:abstractNumId w:val="5"/>
  </w:num>
  <w:num w:numId="16">
    <w:abstractNumId w:val="0"/>
  </w:num>
  <w:num w:numId="17">
    <w:abstractNumId w:val="26"/>
  </w:num>
  <w:num w:numId="18">
    <w:abstractNumId w:val="7"/>
  </w:num>
  <w:num w:numId="19">
    <w:abstractNumId w:val="12"/>
  </w:num>
  <w:num w:numId="20">
    <w:abstractNumId w:val="6"/>
  </w:num>
  <w:num w:numId="21">
    <w:abstractNumId w:val="8"/>
  </w:num>
  <w:num w:numId="22">
    <w:abstractNumId w:val="11"/>
  </w:num>
  <w:num w:numId="23">
    <w:abstractNumId w:val="3"/>
  </w:num>
  <w:num w:numId="24">
    <w:abstractNumId w:val="14"/>
  </w:num>
  <w:num w:numId="25">
    <w:abstractNumId w:val="15"/>
  </w:num>
  <w:num w:numId="26">
    <w:abstractNumId w:val="10"/>
  </w:num>
  <w:num w:numId="27">
    <w:abstractNumId w:val="27"/>
  </w:num>
  <w:num w:numId="28">
    <w:abstractNumId w:val="29"/>
  </w:num>
  <w:num w:numId="29">
    <w:abstractNumId w:val="17"/>
  </w:num>
  <w:num w:numId="30">
    <w:abstractNumId w:val="16"/>
  </w:num>
  <w:num w:numId="3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4EA"/>
    <w:rsid w:val="00000C5B"/>
    <w:rsid w:val="000343E0"/>
    <w:rsid w:val="00052352"/>
    <w:rsid w:val="000544EA"/>
    <w:rsid w:val="000664C7"/>
    <w:rsid w:val="00082D19"/>
    <w:rsid w:val="000A4129"/>
    <w:rsid w:val="000A69BC"/>
    <w:rsid w:val="000B0C70"/>
    <w:rsid w:val="000B5FBC"/>
    <w:rsid w:val="000C187C"/>
    <w:rsid w:val="000C3395"/>
    <w:rsid w:val="000E4B79"/>
    <w:rsid w:val="000F376A"/>
    <w:rsid w:val="00131436"/>
    <w:rsid w:val="001405A5"/>
    <w:rsid w:val="00141598"/>
    <w:rsid w:val="00172E14"/>
    <w:rsid w:val="00173695"/>
    <w:rsid w:val="001744D1"/>
    <w:rsid w:val="001C2700"/>
    <w:rsid w:val="001C45D9"/>
    <w:rsid w:val="00205A43"/>
    <w:rsid w:val="00221DC1"/>
    <w:rsid w:val="00224CF3"/>
    <w:rsid w:val="00225C32"/>
    <w:rsid w:val="00230D60"/>
    <w:rsid w:val="002960A3"/>
    <w:rsid w:val="002A2F1D"/>
    <w:rsid w:val="002B379A"/>
    <w:rsid w:val="002B793B"/>
    <w:rsid w:val="002D28D1"/>
    <w:rsid w:val="002E32C2"/>
    <w:rsid w:val="002F42A9"/>
    <w:rsid w:val="002F7F37"/>
    <w:rsid w:val="003004AC"/>
    <w:rsid w:val="003143B1"/>
    <w:rsid w:val="00322396"/>
    <w:rsid w:val="00323751"/>
    <w:rsid w:val="003248A8"/>
    <w:rsid w:val="00326DD9"/>
    <w:rsid w:val="0033083D"/>
    <w:rsid w:val="00347101"/>
    <w:rsid w:val="00373E38"/>
    <w:rsid w:val="003B198D"/>
    <w:rsid w:val="003B1C1F"/>
    <w:rsid w:val="003B5A7A"/>
    <w:rsid w:val="003D7466"/>
    <w:rsid w:val="004022CD"/>
    <w:rsid w:val="00402D18"/>
    <w:rsid w:val="00413DFC"/>
    <w:rsid w:val="0042341D"/>
    <w:rsid w:val="0042560A"/>
    <w:rsid w:val="00432211"/>
    <w:rsid w:val="004333C3"/>
    <w:rsid w:val="00433CB6"/>
    <w:rsid w:val="00446798"/>
    <w:rsid w:val="00495083"/>
    <w:rsid w:val="004A40B3"/>
    <w:rsid w:val="004E1892"/>
    <w:rsid w:val="004E62BF"/>
    <w:rsid w:val="004F6323"/>
    <w:rsid w:val="004F6DAC"/>
    <w:rsid w:val="00504DCD"/>
    <w:rsid w:val="00545209"/>
    <w:rsid w:val="005743B7"/>
    <w:rsid w:val="00582FD5"/>
    <w:rsid w:val="00583A3F"/>
    <w:rsid w:val="005876E9"/>
    <w:rsid w:val="0059164E"/>
    <w:rsid w:val="005A0059"/>
    <w:rsid w:val="005A2AD1"/>
    <w:rsid w:val="005A3652"/>
    <w:rsid w:val="005B16A9"/>
    <w:rsid w:val="005C1FBC"/>
    <w:rsid w:val="005D668A"/>
    <w:rsid w:val="005F2F77"/>
    <w:rsid w:val="006013DB"/>
    <w:rsid w:val="00610715"/>
    <w:rsid w:val="00620886"/>
    <w:rsid w:val="00654A43"/>
    <w:rsid w:val="00682513"/>
    <w:rsid w:val="00683B2F"/>
    <w:rsid w:val="006908C9"/>
    <w:rsid w:val="0069181C"/>
    <w:rsid w:val="006B0DF1"/>
    <w:rsid w:val="006B73AD"/>
    <w:rsid w:val="006D17FF"/>
    <w:rsid w:val="00720B25"/>
    <w:rsid w:val="007308F0"/>
    <w:rsid w:val="00736626"/>
    <w:rsid w:val="00742530"/>
    <w:rsid w:val="007449FF"/>
    <w:rsid w:val="00760BD0"/>
    <w:rsid w:val="0077379A"/>
    <w:rsid w:val="007740ED"/>
    <w:rsid w:val="0078468B"/>
    <w:rsid w:val="007936BA"/>
    <w:rsid w:val="0079480A"/>
    <w:rsid w:val="007A1E99"/>
    <w:rsid w:val="007B3B78"/>
    <w:rsid w:val="007B7974"/>
    <w:rsid w:val="007C1020"/>
    <w:rsid w:val="007C24A5"/>
    <w:rsid w:val="007D217B"/>
    <w:rsid w:val="007D7CA9"/>
    <w:rsid w:val="007E1B90"/>
    <w:rsid w:val="007E7031"/>
    <w:rsid w:val="007F266B"/>
    <w:rsid w:val="007F3C56"/>
    <w:rsid w:val="007F533F"/>
    <w:rsid w:val="008077D2"/>
    <w:rsid w:val="00812925"/>
    <w:rsid w:val="0081461B"/>
    <w:rsid w:val="00815F5B"/>
    <w:rsid w:val="00827640"/>
    <w:rsid w:val="00831DE7"/>
    <w:rsid w:val="008702CA"/>
    <w:rsid w:val="0087255F"/>
    <w:rsid w:val="008E7E86"/>
    <w:rsid w:val="008F4FD8"/>
    <w:rsid w:val="009069DA"/>
    <w:rsid w:val="009141A3"/>
    <w:rsid w:val="0091539B"/>
    <w:rsid w:val="009241FD"/>
    <w:rsid w:val="00926567"/>
    <w:rsid w:val="00932F08"/>
    <w:rsid w:val="009407FD"/>
    <w:rsid w:val="009504EC"/>
    <w:rsid w:val="00952DFF"/>
    <w:rsid w:val="009573BA"/>
    <w:rsid w:val="0096496C"/>
    <w:rsid w:val="00965129"/>
    <w:rsid w:val="00970F5E"/>
    <w:rsid w:val="0097170D"/>
    <w:rsid w:val="009835B6"/>
    <w:rsid w:val="009A5139"/>
    <w:rsid w:val="009C61CC"/>
    <w:rsid w:val="00A254FC"/>
    <w:rsid w:val="00A57D76"/>
    <w:rsid w:val="00A66749"/>
    <w:rsid w:val="00A817CE"/>
    <w:rsid w:val="00A95CF5"/>
    <w:rsid w:val="00AA6CBF"/>
    <w:rsid w:val="00AB455F"/>
    <w:rsid w:val="00AB5929"/>
    <w:rsid w:val="00AB6386"/>
    <w:rsid w:val="00AC6918"/>
    <w:rsid w:val="00AE51A6"/>
    <w:rsid w:val="00AE7618"/>
    <w:rsid w:val="00AF2C42"/>
    <w:rsid w:val="00AF4F03"/>
    <w:rsid w:val="00AF790F"/>
    <w:rsid w:val="00B15C96"/>
    <w:rsid w:val="00B16EB0"/>
    <w:rsid w:val="00B265B7"/>
    <w:rsid w:val="00B61BEA"/>
    <w:rsid w:val="00B748B7"/>
    <w:rsid w:val="00B74AEB"/>
    <w:rsid w:val="00B849F3"/>
    <w:rsid w:val="00B874B2"/>
    <w:rsid w:val="00B90328"/>
    <w:rsid w:val="00BB0197"/>
    <w:rsid w:val="00BC323D"/>
    <w:rsid w:val="00BD3A67"/>
    <w:rsid w:val="00BE0201"/>
    <w:rsid w:val="00BF4947"/>
    <w:rsid w:val="00C21D8E"/>
    <w:rsid w:val="00C43BF8"/>
    <w:rsid w:val="00C65D3E"/>
    <w:rsid w:val="00C67FB8"/>
    <w:rsid w:val="00C824FC"/>
    <w:rsid w:val="00C82E00"/>
    <w:rsid w:val="00CA1C9A"/>
    <w:rsid w:val="00CB381C"/>
    <w:rsid w:val="00CE3650"/>
    <w:rsid w:val="00CE68D8"/>
    <w:rsid w:val="00D06721"/>
    <w:rsid w:val="00D41D55"/>
    <w:rsid w:val="00D44C84"/>
    <w:rsid w:val="00D75F07"/>
    <w:rsid w:val="00D950A9"/>
    <w:rsid w:val="00D96010"/>
    <w:rsid w:val="00DB51F2"/>
    <w:rsid w:val="00DC23EF"/>
    <w:rsid w:val="00DD2B43"/>
    <w:rsid w:val="00E143F5"/>
    <w:rsid w:val="00E144FF"/>
    <w:rsid w:val="00E17FF0"/>
    <w:rsid w:val="00E37DA3"/>
    <w:rsid w:val="00E5093E"/>
    <w:rsid w:val="00E53856"/>
    <w:rsid w:val="00E54A52"/>
    <w:rsid w:val="00E56180"/>
    <w:rsid w:val="00EA45A5"/>
    <w:rsid w:val="00EA6231"/>
    <w:rsid w:val="00EC7DDB"/>
    <w:rsid w:val="00EE2CEC"/>
    <w:rsid w:val="00EE4FCF"/>
    <w:rsid w:val="00EE7FC6"/>
    <w:rsid w:val="00EF3EFA"/>
    <w:rsid w:val="00F0707F"/>
    <w:rsid w:val="00F129A9"/>
    <w:rsid w:val="00F215A6"/>
    <w:rsid w:val="00F461B4"/>
    <w:rsid w:val="00F51381"/>
    <w:rsid w:val="00F710FF"/>
    <w:rsid w:val="00F803BD"/>
    <w:rsid w:val="00F95C83"/>
    <w:rsid w:val="00FA2578"/>
    <w:rsid w:val="00FB1188"/>
    <w:rsid w:val="00FD0E38"/>
    <w:rsid w:val="00FD4D68"/>
    <w:rsid w:val="00FE591A"/>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9FC9A"/>
  <w15:chartTrackingRefBased/>
  <w15:docId w15:val="{8B883698-1B55-47A4-A553-E4B3F4FA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0FF"/>
  </w:style>
  <w:style w:type="paragraph" w:styleId="Ttulo1">
    <w:name w:val="heading 1"/>
    <w:basedOn w:val="Normal"/>
    <w:next w:val="Normal"/>
    <w:link w:val="Ttulo1Car"/>
    <w:uiPriority w:val="9"/>
    <w:qFormat/>
    <w:rsid w:val="003B1C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B1C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544EA"/>
    <w:pPr>
      <w:tabs>
        <w:tab w:val="center" w:pos="4419"/>
        <w:tab w:val="right" w:pos="8838"/>
      </w:tabs>
      <w:spacing w:after="0" w:line="240" w:lineRule="auto"/>
      <w:ind w:hanging="357"/>
      <w:jc w:val="both"/>
    </w:pPr>
    <w:rPr>
      <w:rFonts w:ascii="Times New Roman" w:eastAsia="Calibri" w:hAnsi="Times New Roman" w:cs="Times New Roman"/>
      <w:sz w:val="24"/>
      <w:lang w:eastAsia="en-US"/>
    </w:rPr>
  </w:style>
  <w:style w:type="character" w:customStyle="1" w:styleId="PiedepginaCar">
    <w:name w:val="Pie de página Car"/>
    <w:basedOn w:val="Fuentedeprrafopredeter"/>
    <w:link w:val="Piedepgina"/>
    <w:uiPriority w:val="99"/>
    <w:rsid w:val="000544EA"/>
    <w:rPr>
      <w:rFonts w:ascii="Times New Roman" w:eastAsia="Calibri" w:hAnsi="Times New Roman" w:cs="Times New Roman"/>
      <w:sz w:val="24"/>
      <w:lang w:eastAsia="en-US"/>
    </w:rPr>
  </w:style>
  <w:style w:type="paragraph" w:styleId="Prrafodelista">
    <w:name w:val="List Paragraph"/>
    <w:aliases w:val="Cita texto,Footnote,Dot pt,No Spacing1,List Paragraph Char Char Char,Indicator Text,List Paragraph1,Numbered Para 1,Colorful List - Accent 11,Bullet 1,F5 List Paragraph,Bullet Points,4 Párrafo de lista,Figuras,DH1,Párrafo Título 3"/>
    <w:basedOn w:val="Normal"/>
    <w:link w:val="PrrafodelistaCar"/>
    <w:uiPriority w:val="34"/>
    <w:qFormat/>
    <w:rsid w:val="004F6323"/>
    <w:pPr>
      <w:ind w:left="720"/>
      <w:contextualSpacing/>
    </w:pPr>
  </w:style>
  <w:style w:type="paragraph" w:styleId="TDC1">
    <w:name w:val="toc 1"/>
    <w:basedOn w:val="Normal"/>
    <w:next w:val="Normal"/>
    <w:autoRedefine/>
    <w:uiPriority w:val="39"/>
    <w:unhideWhenUsed/>
    <w:rsid w:val="003143B1"/>
    <w:pPr>
      <w:spacing w:after="100"/>
    </w:pPr>
  </w:style>
  <w:style w:type="character" w:styleId="Hipervnculo">
    <w:name w:val="Hyperlink"/>
    <w:basedOn w:val="Fuentedeprrafopredeter"/>
    <w:uiPriority w:val="99"/>
    <w:unhideWhenUsed/>
    <w:rsid w:val="003143B1"/>
    <w:rPr>
      <w:color w:val="0563C1" w:themeColor="hyperlink"/>
      <w:u w:val="single"/>
    </w:rPr>
  </w:style>
  <w:style w:type="paragraph" w:styleId="NormalWeb">
    <w:name w:val="Normal (Web)"/>
    <w:basedOn w:val="Normal"/>
    <w:uiPriority w:val="99"/>
    <w:unhideWhenUsed/>
    <w:rsid w:val="00827640"/>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0A6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21D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1DC1"/>
  </w:style>
  <w:style w:type="paragraph" w:styleId="Textonotapie">
    <w:name w:val="footnote text"/>
    <w:aliases w:val="Car3,Car3 Car,Footnote Text Char Char Char Char Char,Footnote Text Char Char Char Char,Footnote reference,FA Fu,FA Fu Car, Car3, Car3 Car,Footnote Text Char Char Char, Car3 Car Car Car Car Car,Car3 Car Car Car Car Car, Car31 Car, Car31,fn"/>
    <w:basedOn w:val="Normal"/>
    <w:link w:val="TextonotapieCar"/>
    <w:uiPriority w:val="99"/>
    <w:unhideWhenUsed/>
    <w:qFormat/>
    <w:rsid w:val="00413DFC"/>
    <w:pPr>
      <w:spacing w:after="0" w:line="240" w:lineRule="auto"/>
    </w:pPr>
    <w:rPr>
      <w:rFonts w:eastAsiaTheme="minorHAnsi"/>
      <w:sz w:val="20"/>
      <w:szCs w:val="20"/>
      <w:lang w:val="es-ES" w:eastAsia="en-US"/>
    </w:rPr>
  </w:style>
  <w:style w:type="character" w:customStyle="1" w:styleId="TextonotapieCar">
    <w:name w:val="Texto nota pie Car"/>
    <w:aliases w:val="Car3 Car1,Car3 Car Car,Footnote Text Char Char Char Char Char Car,Footnote Text Char Char Char Char Car,Footnote reference Car,FA Fu Car1,FA Fu Car Car, Car3 Car1, Car3 Car Car,Footnote Text Char Char Char Car, Car31 Car Car,fn Car"/>
    <w:basedOn w:val="Fuentedeprrafopredeter"/>
    <w:link w:val="Textonotapie"/>
    <w:uiPriority w:val="99"/>
    <w:qFormat/>
    <w:rsid w:val="00413DFC"/>
    <w:rPr>
      <w:rFonts w:eastAsiaTheme="minorHAnsi"/>
      <w:sz w:val="20"/>
      <w:szCs w:val="20"/>
      <w:lang w:val="es-ES" w:eastAsia="en-US"/>
    </w:rPr>
  </w:style>
  <w:style w:type="character" w:styleId="Refdenotaalpie">
    <w:name w:val="footnote reference"/>
    <w:aliases w:val="Ref. de nota al pie 2,Texto de nota al pie,Stinking Styles,Stinking Styles5,Appel note de bas de page,Footnotes refss,Footnote number,referencia nota al pie,BVI fnr,f,4_G,16 Point,Superscript 6 Point,Texto nota al pie,ftref,Ref,julio"/>
    <w:basedOn w:val="Fuentedeprrafopredeter"/>
    <w:link w:val="BVIfnrCar1CarCarCarCar"/>
    <w:uiPriority w:val="99"/>
    <w:unhideWhenUsed/>
    <w:qFormat/>
    <w:rsid w:val="00413DFC"/>
    <w:rPr>
      <w:vertAlign w:val="superscript"/>
    </w:rPr>
  </w:style>
  <w:style w:type="character" w:customStyle="1" w:styleId="PrrafodelistaCar">
    <w:name w:val="Párrafo de lista Car"/>
    <w:aliases w:val="Cita texto Car,Footnote Car,Dot pt Car,No Spacing1 Car,List Paragraph Char Char Char Car,Indicator Text Car,List Paragraph1 Car,Numbered Para 1 Car,Colorful List - Accent 11 Car,Bullet 1 Car,F5 List Paragraph Car,Bullet Points Car"/>
    <w:link w:val="Prrafodelista"/>
    <w:uiPriority w:val="34"/>
    <w:qFormat/>
    <w:locked/>
    <w:rsid w:val="00413DFC"/>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link w:val="Refdenotaalpie"/>
    <w:uiPriority w:val="99"/>
    <w:rsid w:val="00413DFC"/>
    <w:pPr>
      <w:spacing w:before="200" w:line="240" w:lineRule="exact"/>
    </w:pPr>
    <w:rPr>
      <w:vertAlign w:val="superscript"/>
    </w:rPr>
  </w:style>
  <w:style w:type="character" w:customStyle="1" w:styleId="Ttulo1Car">
    <w:name w:val="Título 1 Car"/>
    <w:basedOn w:val="Fuentedeprrafopredeter"/>
    <w:link w:val="Ttulo1"/>
    <w:uiPriority w:val="9"/>
    <w:rsid w:val="003B1C1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3B1C1F"/>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3B1C1F"/>
    <w:pPr>
      <w:spacing w:after="100"/>
      <w:ind w:left="220"/>
    </w:pPr>
  </w:style>
  <w:style w:type="paragraph" w:styleId="Subttulo">
    <w:name w:val="Subtitle"/>
    <w:basedOn w:val="Normal"/>
    <w:next w:val="Normal"/>
    <w:link w:val="SubttuloCar"/>
    <w:uiPriority w:val="11"/>
    <w:qFormat/>
    <w:rsid w:val="00E17FF0"/>
    <w:pPr>
      <w:numPr>
        <w:ilvl w:val="1"/>
      </w:numPr>
    </w:pPr>
    <w:rPr>
      <w:color w:val="5A5A5A" w:themeColor="text1" w:themeTint="A5"/>
      <w:spacing w:val="15"/>
    </w:rPr>
  </w:style>
  <w:style w:type="character" w:customStyle="1" w:styleId="SubttuloCar">
    <w:name w:val="Subtítulo Car"/>
    <w:basedOn w:val="Fuentedeprrafopredeter"/>
    <w:link w:val="Subttulo"/>
    <w:uiPriority w:val="11"/>
    <w:rsid w:val="00E17FF0"/>
    <w:rPr>
      <w:color w:val="5A5A5A" w:themeColor="text1" w:themeTint="A5"/>
      <w:spacing w:val="15"/>
    </w:rPr>
  </w:style>
  <w:style w:type="paragraph" w:styleId="Textonotaalfinal">
    <w:name w:val="endnote text"/>
    <w:basedOn w:val="Normal"/>
    <w:link w:val="TextonotaalfinalCar"/>
    <w:uiPriority w:val="99"/>
    <w:semiHidden/>
    <w:unhideWhenUsed/>
    <w:rsid w:val="00FE591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E591A"/>
    <w:rPr>
      <w:sz w:val="20"/>
      <w:szCs w:val="20"/>
    </w:rPr>
  </w:style>
  <w:style w:type="character" w:styleId="Refdenotaalfinal">
    <w:name w:val="endnote reference"/>
    <w:basedOn w:val="Fuentedeprrafopredeter"/>
    <w:uiPriority w:val="99"/>
    <w:semiHidden/>
    <w:unhideWhenUsed/>
    <w:rsid w:val="00FE59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16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nbreportadesaparecidos.segob.gob.mx" TargetMode="External"/><Relationship Id="rId4" Type="http://schemas.openxmlformats.org/officeDocument/2006/relationships/settings" Target="settings.xml"/><Relationship Id="rId9" Type="http://schemas.openxmlformats.org/officeDocument/2006/relationships/image" Target="cid:image001.png@01D91A00.029F32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5FE8A-445C-4CF6-B8AC-0AC106A84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1393</Words>
  <Characters>7664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Carrillo</dc:creator>
  <cp:keywords/>
  <dc:description/>
  <cp:lastModifiedBy>Escalante Sandoval, Miguel Fernando</cp:lastModifiedBy>
  <cp:revision>5</cp:revision>
  <dcterms:created xsi:type="dcterms:W3CDTF">2023-06-13T23:23:00Z</dcterms:created>
  <dcterms:modified xsi:type="dcterms:W3CDTF">2023-06-13T23:41:00Z</dcterms:modified>
</cp:coreProperties>
</file>