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9B45D" w14:textId="3A58608A" w:rsidR="00DC1C69" w:rsidRPr="00DC1C69" w:rsidRDefault="00F44C29" w:rsidP="00DC1C69">
      <w:pPr>
        <w:tabs>
          <w:tab w:val="right" w:pos="1134"/>
        </w:tabs>
        <w:spacing w:after="0" w:line="240" w:lineRule="auto"/>
        <w:jc w:val="center"/>
        <w:rPr>
          <w:rFonts w:ascii="Times New Roman" w:eastAsia="Times New Roman" w:hAnsi="Times New Roman" w:cs="Times New Roman"/>
          <w:b/>
          <w:bCs/>
          <w:lang w:val="es-ES_tradnl" w:eastAsia="es-ES"/>
        </w:rPr>
      </w:pPr>
      <w:bookmarkStart w:id="0" w:name="_Hlk114234406"/>
      <w:r w:rsidRPr="00926677">
        <w:rPr>
          <w:rFonts w:ascii="Times New Roman" w:eastAsia="Times New Roman" w:hAnsi="Times New Roman" w:cs="Times New Roman"/>
          <w:b/>
          <w:bCs/>
          <w:lang w:val="es-ES_tradnl" w:eastAsia="es-ES"/>
        </w:rPr>
        <w:t xml:space="preserve">Respuesta </w:t>
      </w:r>
      <w:r w:rsidRPr="001D4543">
        <w:rPr>
          <w:rFonts w:ascii="Times New Roman" w:eastAsia="Times New Roman" w:hAnsi="Times New Roman" w:cs="Times New Roman"/>
          <w:b/>
          <w:bCs/>
          <w:lang w:val="es-ES_tradnl" w:eastAsia="es-ES"/>
        </w:rPr>
        <w:t xml:space="preserve">a la comunicación </w:t>
      </w:r>
      <w:r w:rsidR="00DC1C69">
        <w:rPr>
          <w:rFonts w:ascii="Times New Roman" w:eastAsia="Times New Roman" w:hAnsi="Times New Roman" w:cs="Times New Roman"/>
          <w:b/>
          <w:bCs/>
          <w:lang w:val="es-ES_tradnl" w:eastAsia="es-ES"/>
        </w:rPr>
        <w:t xml:space="preserve">de la </w:t>
      </w:r>
      <w:r w:rsidR="00DC1C69" w:rsidRPr="00DC1C69">
        <w:rPr>
          <w:rFonts w:ascii="Times New Roman" w:eastAsia="Times New Roman" w:hAnsi="Times New Roman" w:cs="Times New Roman"/>
          <w:b/>
          <w:bCs/>
          <w:lang w:val="es-ES_tradnl" w:eastAsia="es-ES"/>
        </w:rPr>
        <w:t>Oficina del Alto Comisionado para los Derechos Humanos, Secretaría del</w:t>
      </w:r>
      <w:r w:rsidR="00DC1C69">
        <w:rPr>
          <w:rFonts w:ascii="Times New Roman" w:eastAsia="Times New Roman" w:hAnsi="Times New Roman" w:cs="Times New Roman"/>
          <w:b/>
          <w:bCs/>
          <w:lang w:val="es-ES_tradnl" w:eastAsia="es-ES"/>
        </w:rPr>
        <w:t xml:space="preserve"> </w:t>
      </w:r>
      <w:r w:rsidR="00DC1C69" w:rsidRPr="00DC1C69">
        <w:rPr>
          <w:rFonts w:ascii="Times New Roman" w:eastAsia="Times New Roman" w:hAnsi="Times New Roman" w:cs="Times New Roman"/>
          <w:b/>
          <w:bCs/>
          <w:lang w:val="es-ES_tradnl" w:eastAsia="es-ES"/>
        </w:rPr>
        <w:t>Comité para la Eliminación de la Discriminación Racial</w:t>
      </w:r>
      <w:r w:rsidR="009B79BC" w:rsidRPr="001D4543">
        <w:rPr>
          <w:rFonts w:ascii="Times New Roman" w:eastAsia="Times New Roman" w:hAnsi="Times New Roman" w:cs="Times New Roman"/>
          <w:b/>
          <w:bCs/>
          <w:lang w:val="es-ES_tradnl" w:eastAsia="es-ES"/>
        </w:rPr>
        <w:t xml:space="preserve"> respecto a la </w:t>
      </w:r>
      <w:r w:rsidR="00DC1C69">
        <w:rPr>
          <w:rFonts w:ascii="Times New Roman" w:eastAsia="Times New Roman" w:hAnsi="Times New Roman" w:cs="Times New Roman"/>
          <w:b/>
          <w:bCs/>
          <w:lang w:val="es-ES_tradnl" w:eastAsia="es-ES"/>
        </w:rPr>
        <w:t>c</w:t>
      </w:r>
      <w:r w:rsidR="009B79BC" w:rsidRPr="001D4543">
        <w:rPr>
          <w:rFonts w:ascii="Times New Roman" w:eastAsia="Times New Roman" w:hAnsi="Times New Roman" w:cs="Times New Roman"/>
          <w:b/>
          <w:bCs/>
          <w:lang w:val="es-ES_tradnl" w:eastAsia="es-ES"/>
        </w:rPr>
        <w:t xml:space="preserve">onvocatoria de contribuciones </w:t>
      </w:r>
      <w:r w:rsidR="00DC1C69">
        <w:rPr>
          <w:rFonts w:ascii="Times New Roman" w:eastAsia="Times New Roman" w:hAnsi="Times New Roman" w:cs="Times New Roman"/>
          <w:b/>
          <w:bCs/>
          <w:lang w:val="es-ES_tradnl" w:eastAsia="es-ES"/>
        </w:rPr>
        <w:t xml:space="preserve">para el “Proyecto de </w:t>
      </w:r>
      <w:r w:rsidR="00DC1C69" w:rsidRPr="00DC1C69">
        <w:rPr>
          <w:rFonts w:ascii="Times New Roman" w:eastAsia="Times New Roman" w:hAnsi="Times New Roman" w:cs="Times New Roman"/>
          <w:b/>
          <w:bCs/>
          <w:lang w:val="es-ES_tradnl" w:eastAsia="es-ES"/>
        </w:rPr>
        <w:t>Recomendación general nº 37 (2023)</w:t>
      </w:r>
      <w:r w:rsidR="00DC1C69">
        <w:rPr>
          <w:rFonts w:ascii="Times New Roman" w:eastAsia="Times New Roman" w:hAnsi="Times New Roman" w:cs="Times New Roman"/>
          <w:b/>
          <w:bCs/>
          <w:lang w:val="es-ES_tradnl" w:eastAsia="es-ES"/>
        </w:rPr>
        <w:t xml:space="preserve"> </w:t>
      </w:r>
      <w:r w:rsidR="00DC1C69" w:rsidRPr="00DC1C69">
        <w:rPr>
          <w:rFonts w:ascii="Times New Roman" w:eastAsia="Times New Roman" w:hAnsi="Times New Roman" w:cs="Times New Roman"/>
          <w:b/>
          <w:bCs/>
          <w:lang w:val="es-ES_tradnl" w:eastAsia="es-ES"/>
        </w:rPr>
        <w:t>sobre la discriminación racial en el disfrute del derecho a la</w:t>
      </w:r>
    </w:p>
    <w:p w14:paraId="6E9E8573" w14:textId="3C575A70" w:rsidR="00DC1C69" w:rsidRDefault="00DC1C69" w:rsidP="00DC1C69">
      <w:pPr>
        <w:tabs>
          <w:tab w:val="right" w:pos="1134"/>
        </w:tabs>
        <w:spacing w:after="0" w:line="240" w:lineRule="auto"/>
        <w:jc w:val="center"/>
        <w:rPr>
          <w:rFonts w:ascii="Times New Roman" w:eastAsia="Times New Roman" w:hAnsi="Times New Roman" w:cs="Times New Roman"/>
          <w:b/>
          <w:bCs/>
          <w:lang w:val="es-ES_tradnl" w:eastAsia="es-ES"/>
        </w:rPr>
      </w:pPr>
      <w:r w:rsidRPr="00DC1C69">
        <w:rPr>
          <w:rFonts w:ascii="Times New Roman" w:eastAsia="Times New Roman" w:hAnsi="Times New Roman" w:cs="Times New Roman"/>
          <w:b/>
          <w:bCs/>
          <w:lang w:val="es-ES_tradnl" w:eastAsia="es-ES"/>
        </w:rPr>
        <w:t>Salud</w:t>
      </w:r>
      <w:r>
        <w:rPr>
          <w:rFonts w:ascii="Times New Roman" w:eastAsia="Times New Roman" w:hAnsi="Times New Roman" w:cs="Times New Roman"/>
          <w:b/>
          <w:bCs/>
          <w:lang w:val="es-ES_tradnl" w:eastAsia="es-ES"/>
        </w:rPr>
        <w:t>”</w:t>
      </w:r>
    </w:p>
    <w:bookmarkEnd w:id="0"/>
    <w:p w14:paraId="4FEE6190" w14:textId="77777777" w:rsidR="00F44C29" w:rsidRPr="001D4543" w:rsidRDefault="00F44C29" w:rsidP="001B1E43">
      <w:pPr>
        <w:tabs>
          <w:tab w:val="right" w:pos="1134"/>
        </w:tabs>
        <w:spacing w:after="0" w:line="240" w:lineRule="auto"/>
        <w:ind w:right="-1"/>
        <w:jc w:val="both"/>
        <w:rPr>
          <w:rFonts w:ascii="Times New Roman" w:eastAsia="Times New Roman" w:hAnsi="Times New Roman" w:cs="Times New Roman"/>
          <w:b/>
          <w:bCs/>
          <w:lang w:eastAsia="es-ES"/>
        </w:rPr>
      </w:pPr>
    </w:p>
    <w:p w14:paraId="559F5CDD" w14:textId="21688F83" w:rsidR="00857AEB" w:rsidRDefault="00857AEB" w:rsidP="00E60956">
      <w:pPr>
        <w:pStyle w:val="Prrafodelista"/>
        <w:numPr>
          <w:ilvl w:val="0"/>
          <w:numId w:val="1"/>
        </w:numPr>
        <w:ind w:left="352" w:hanging="352"/>
        <w:jc w:val="both"/>
        <w:rPr>
          <w:rFonts w:ascii="Times New Roman" w:hAnsi="Times New Roman" w:cs="Times New Roman"/>
          <w:b/>
          <w:bCs/>
          <w:lang w:val="es-ES_tradnl"/>
        </w:rPr>
      </w:pPr>
      <w:bookmarkStart w:id="1" w:name="_Hlk117431648"/>
      <w:r>
        <w:rPr>
          <w:rFonts w:ascii="Times New Roman" w:hAnsi="Times New Roman" w:cs="Times New Roman"/>
          <w:b/>
          <w:bCs/>
          <w:lang w:val="es-ES_tradnl"/>
        </w:rPr>
        <w:t>Sobre el marco jurídico peruano para la protección del derecho a la salud y contra la discriminación racial</w:t>
      </w:r>
    </w:p>
    <w:p w14:paraId="68CAA7A5" w14:textId="418E4EBE" w:rsidR="00857AEB" w:rsidRDefault="00857AEB" w:rsidP="00857AEB">
      <w:pPr>
        <w:pStyle w:val="Prrafodelista"/>
        <w:ind w:left="352"/>
        <w:jc w:val="both"/>
        <w:rPr>
          <w:rFonts w:ascii="Times New Roman" w:hAnsi="Times New Roman" w:cs="Times New Roman"/>
          <w:b/>
          <w:bCs/>
          <w:lang w:val="es-ES_tradnl"/>
        </w:rPr>
      </w:pPr>
    </w:p>
    <w:p w14:paraId="0EEC7A68" w14:textId="17458930" w:rsidR="00857AEB" w:rsidRDefault="00857AEB" w:rsidP="00857AEB">
      <w:pPr>
        <w:pStyle w:val="Prrafodelista"/>
        <w:numPr>
          <w:ilvl w:val="0"/>
          <w:numId w:val="2"/>
        </w:numPr>
        <w:tabs>
          <w:tab w:val="left" w:pos="426"/>
        </w:tabs>
        <w:spacing w:after="0"/>
        <w:ind w:left="0" w:firstLine="0"/>
        <w:jc w:val="both"/>
        <w:rPr>
          <w:rFonts w:ascii="Times New Roman" w:hAnsi="Times New Roman" w:cs="Times New Roman"/>
          <w:bCs/>
        </w:rPr>
      </w:pPr>
      <w:r>
        <w:rPr>
          <w:rFonts w:ascii="Times New Roman" w:hAnsi="Times New Roman" w:cs="Times New Roman"/>
          <w:bCs/>
        </w:rPr>
        <w:t>La Constitución Política del Perú reconoce que “</w:t>
      </w:r>
      <w:r w:rsidR="00D81D8F" w:rsidRPr="00D81D8F">
        <w:rPr>
          <w:rFonts w:ascii="Times New Roman" w:hAnsi="Times New Roman" w:cs="Times New Roman"/>
          <w:bCs/>
        </w:rPr>
        <w:t>[</w:t>
      </w:r>
      <w:r w:rsidR="00D81D8F">
        <w:rPr>
          <w:rFonts w:ascii="Times New Roman" w:hAnsi="Times New Roman" w:cs="Times New Roman"/>
          <w:bCs/>
        </w:rPr>
        <w:t>t</w:t>
      </w:r>
      <w:r w:rsidR="00D81D8F" w:rsidRPr="00D81D8F">
        <w:rPr>
          <w:rFonts w:ascii="Times New Roman" w:hAnsi="Times New Roman" w:cs="Times New Roman"/>
          <w:bCs/>
        </w:rPr>
        <w:t>]</w:t>
      </w:r>
      <w:r w:rsidRPr="004769D9">
        <w:rPr>
          <w:rFonts w:ascii="Times New Roman" w:hAnsi="Times New Roman" w:cs="Times New Roman"/>
          <w:bCs/>
        </w:rPr>
        <w:t>odos tienen derecho a la protección de su salud, la del medio familiar y la de la comunidad así como el deber de contribuir a su promoción y defensa</w:t>
      </w:r>
      <w:r>
        <w:rPr>
          <w:rFonts w:ascii="Times New Roman" w:hAnsi="Times New Roman" w:cs="Times New Roman"/>
          <w:bCs/>
        </w:rPr>
        <w:t>”, por lo cual “</w:t>
      </w:r>
      <w:r w:rsidR="00D81D8F" w:rsidRPr="00D81D8F">
        <w:rPr>
          <w:rFonts w:ascii="Times New Roman" w:hAnsi="Times New Roman" w:cs="Times New Roman"/>
          <w:bCs/>
        </w:rPr>
        <w:t>[</w:t>
      </w:r>
      <w:r w:rsidR="00D81D8F">
        <w:rPr>
          <w:rFonts w:ascii="Times New Roman" w:hAnsi="Times New Roman" w:cs="Times New Roman"/>
          <w:bCs/>
        </w:rPr>
        <w:t>e</w:t>
      </w:r>
      <w:r w:rsidR="00D81D8F" w:rsidRPr="00D81D8F">
        <w:rPr>
          <w:rFonts w:ascii="Times New Roman" w:hAnsi="Times New Roman" w:cs="Times New Roman"/>
          <w:bCs/>
        </w:rPr>
        <w:t>]</w:t>
      </w:r>
      <w:r w:rsidRPr="004769D9">
        <w:rPr>
          <w:rFonts w:ascii="Times New Roman" w:hAnsi="Times New Roman" w:cs="Times New Roman"/>
          <w:bCs/>
        </w:rPr>
        <w:t>l Estado determina la política nacional de salud. El Poder Ejecutivo norma y supervisa su aplicación. Es responsable de diseñarla y conducirla en forma plural y descentralizadora para facilitar a todos el acceso equitativo a los servicios de salud</w:t>
      </w:r>
      <w:r>
        <w:rPr>
          <w:rFonts w:ascii="Times New Roman" w:hAnsi="Times New Roman" w:cs="Times New Roman"/>
          <w:bCs/>
        </w:rPr>
        <w:t>”.</w:t>
      </w:r>
      <w:r w:rsidR="00B01E2B">
        <w:rPr>
          <w:rFonts w:ascii="Times New Roman" w:hAnsi="Times New Roman" w:cs="Times New Roman"/>
          <w:bCs/>
        </w:rPr>
        <w:t xml:space="preserve"> Asimismo, garantiza en su artículo 2 inciso 19 el derecho fundamental a la identidad étnica y cultural, por lo cual el Estado reconoce y protege la pluralidad étnica y cultural de la Nación.</w:t>
      </w:r>
    </w:p>
    <w:p w14:paraId="2120933E" w14:textId="77777777" w:rsidR="00857AEB" w:rsidRDefault="00857AEB" w:rsidP="00857AEB">
      <w:pPr>
        <w:pStyle w:val="Prrafodelista"/>
        <w:tabs>
          <w:tab w:val="left" w:pos="426"/>
        </w:tabs>
        <w:spacing w:after="0"/>
        <w:ind w:left="0"/>
        <w:jc w:val="both"/>
        <w:rPr>
          <w:rFonts w:ascii="Times New Roman" w:hAnsi="Times New Roman" w:cs="Times New Roman"/>
          <w:bCs/>
        </w:rPr>
      </w:pPr>
    </w:p>
    <w:p w14:paraId="79BD727C" w14:textId="502C7A66" w:rsidR="00857AEB" w:rsidRPr="00D81D8F" w:rsidRDefault="00857AEB" w:rsidP="00443468">
      <w:pPr>
        <w:pStyle w:val="Prrafodelista"/>
        <w:numPr>
          <w:ilvl w:val="0"/>
          <w:numId w:val="2"/>
        </w:numPr>
        <w:tabs>
          <w:tab w:val="left" w:pos="426"/>
        </w:tabs>
        <w:spacing w:after="0"/>
        <w:ind w:left="0" w:firstLine="0"/>
        <w:jc w:val="both"/>
        <w:rPr>
          <w:rFonts w:ascii="Times New Roman" w:hAnsi="Times New Roman" w:cs="Times New Roman"/>
          <w:bCs/>
          <w:color w:val="FF0000"/>
        </w:rPr>
      </w:pPr>
      <w:r>
        <w:rPr>
          <w:rFonts w:ascii="Times New Roman" w:hAnsi="Times New Roman" w:cs="Times New Roman"/>
          <w:bCs/>
        </w:rPr>
        <w:t>Al respecto</w:t>
      </w:r>
      <w:r w:rsidRPr="00D92061">
        <w:rPr>
          <w:rFonts w:ascii="Times New Roman" w:hAnsi="Times New Roman" w:cs="Times New Roman"/>
          <w:bCs/>
        </w:rPr>
        <w:t xml:space="preserve">, el Tribunal Constitucional peruano ha indicado que la realización del derecho a la salud “requiere, cuando menos, </w:t>
      </w:r>
      <w:r w:rsidRPr="00D92061">
        <w:rPr>
          <w:rFonts w:ascii="Times New Roman" w:hAnsi="Times New Roman" w:cs="Times New Roman"/>
          <w:bCs/>
          <w:lang w:val="es-PE"/>
        </w:rPr>
        <w:t>de la adopción de medidas continuas y apropiadas —legislativas, económicas y técnicas— cuyo objeto sea alcanzar progresiva o aumentativamente la plena efectividad de todos los componentes de este derecho, tal como lo prescribe el artículo 2.1 del Pacto Internacional de Derechos Económicos, Sociales y Culturales”</w:t>
      </w:r>
      <w:r>
        <w:rPr>
          <w:rStyle w:val="Refdenotaalpie"/>
          <w:rFonts w:ascii="Times New Roman" w:hAnsi="Times New Roman" w:cs="Times New Roman"/>
          <w:bCs/>
          <w:lang w:val="es-PE"/>
        </w:rPr>
        <w:footnoteReference w:id="1"/>
      </w:r>
      <w:r w:rsidRPr="00D92061">
        <w:rPr>
          <w:rFonts w:ascii="Times New Roman" w:hAnsi="Times New Roman" w:cs="Times New Roman"/>
          <w:bCs/>
          <w:lang w:val="es-PE"/>
        </w:rPr>
        <w:t>.</w:t>
      </w:r>
      <w:r w:rsidRPr="00D92061">
        <w:rPr>
          <w:rFonts w:ascii="Times New Roman" w:hAnsi="Times New Roman" w:cs="Times New Roman"/>
          <w:bCs/>
        </w:rPr>
        <w:t xml:space="preserve"> </w:t>
      </w:r>
      <w:r w:rsidR="00443468" w:rsidRPr="00443468">
        <w:rPr>
          <w:rFonts w:ascii="Times New Roman" w:hAnsi="Times New Roman" w:cs="Times New Roman"/>
          <w:bCs/>
          <w:color w:val="000000" w:themeColor="text1"/>
        </w:rPr>
        <w:t>Asimismo, señaló que</w:t>
      </w:r>
      <w:r w:rsidRPr="00443468">
        <w:rPr>
          <w:rFonts w:ascii="Times New Roman" w:hAnsi="Times New Roman" w:cs="Times New Roman"/>
          <w:bCs/>
          <w:color w:val="000000" w:themeColor="text1"/>
        </w:rPr>
        <w:t xml:space="preserve"> </w:t>
      </w:r>
      <w:r w:rsidR="00443468">
        <w:rPr>
          <w:rFonts w:ascii="Times New Roman" w:hAnsi="Times New Roman" w:cs="Times New Roman"/>
          <w:bCs/>
          <w:color w:val="000000" w:themeColor="text1"/>
          <w:lang w:val="es-PE"/>
        </w:rPr>
        <w:t>l</w:t>
      </w:r>
      <w:r w:rsidRPr="00C00964">
        <w:rPr>
          <w:rFonts w:ascii="Times New Roman" w:hAnsi="Times New Roman" w:cs="Times New Roman"/>
          <w:bCs/>
          <w:color w:val="000000" w:themeColor="text1"/>
          <w:lang w:val="es-PE"/>
        </w:rPr>
        <w:t>os servicios</w:t>
      </w:r>
      <w:r w:rsidR="00443468">
        <w:rPr>
          <w:rFonts w:ascii="Times New Roman" w:hAnsi="Times New Roman" w:cs="Times New Roman"/>
          <w:bCs/>
          <w:color w:val="000000" w:themeColor="text1"/>
          <w:lang w:val="es-PE"/>
        </w:rPr>
        <w:t xml:space="preserve"> de salud</w:t>
      </w:r>
      <w:r w:rsidRPr="00C00964">
        <w:rPr>
          <w:rFonts w:ascii="Times New Roman" w:hAnsi="Times New Roman" w:cs="Times New Roman"/>
          <w:bCs/>
          <w:color w:val="000000" w:themeColor="text1"/>
          <w:lang w:val="es-PE"/>
        </w:rPr>
        <w:t xml:space="preserve"> deben ser brindados de modo integral, es decir, con prestaciones que supongan la promoción, prevención, recuperación y rehabilitación de la salud, en condiciones adecuadas de calidad, oportunidad, aceptabilidad y accesibilidad física y económica, en tanto elementos esenciales de la atención sanitaria</w:t>
      </w:r>
      <w:r w:rsidRPr="00C00964">
        <w:rPr>
          <w:rStyle w:val="Refdenotaalpie"/>
          <w:rFonts w:ascii="Times New Roman" w:hAnsi="Times New Roman" w:cs="Times New Roman"/>
          <w:bCs/>
          <w:color w:val="000000" w:themeColor="text1"/>
          <w:lang w:val="es-PE"/>
        </w:rPr>
        <w:footnoteReference w:id="2"/>
      </w:r>
      <w:r w:rsidR="00B01E2B" w:rsidRPr="00C00964">
        <w:rPr>
          <w:rFonts w:ascii="Times New Roman" w:hAnsi="Times New Roman" w:cs="Times New Roman"/>
          <w:bCs/>
          <w:color w:val="000000" w:themeColor="text1"/>
          <w:lang w:val="es-PE"/>
        </w:rPr>
        <w:t>, siendo importante impulsar y fortalecer la salud intercultural para el cumplimiento del elemento aceptabilidad</w:t>
      </w:r>
      <w:r w:rsidR="00B01E2B" w:rsidRPr="00C00964">
        <w:rPr>
          <w:rStyle w:val="Refdenotaalpie"/>
          <w:rFonts w:ascii="Times New Roman" w:hAnsi="Times New Roman" w:cs="Times New Roman"/>
          <w:bCs/>
          <w:color w:val="000000" w:themeColor="text1"/>
          <w:lang w:val="es-PE"/>
        </w:rPr>
        <w:footnoteReference w:id="3"/>
      </w:r>
      <w:r w:rsidR="00B01E2B" w:rsidRPr="00C00964">
        <w:rPr>
          <w:rFonts w:ascii="Times New Roman" w:hAnsi="Times New Roman" w:cs="Times New Roman"/>
          <w:bCs/>
          <w:color w:val="000000" w:themeColor="text1"/>
          <w:lang w:val="es-PE"/>
        </w:rPr>
        <w:t>.</w:t>
      </w:r>
    </w:p>
    <w:p w14:paraId="73DDEB64" w14:textId="77777777" w:rsidR="00857AEB" w:rsidRPr="004769D9" w:rsidRDefault="00857AEB" w:rsidP="00857AEB">
      <w:pPr>
        <w:pStyle w:val="Prrafodelista"/>
        <w:tabs>
          <w:tab w:val="left" w:pos="426"/>
        </w:tabs>
        <w:spacing w:after="0"/>
        <w:ind w:left="0"/>
        <w:jc w:val="both"/>
        <w:rPr>
          <w:rFonts w:ascii="Times New Roman" w:hAnsi="Times New Roman" w:cs="Times New Roman"/>
          <w:bCs/>
        </w:rPr>
      </w:pPr>
    </w:p>
    <w:p w14:paraId="239C4E58" w14:textId="43B8BCB1" w:rsidR="00857AEB" w:rsidRPr="004D4C63" w:rsidRDefault="00857AEB" w:rsidP="00857AEB">
      <w:pPr>
        <w:pStyle w:val="Prrafodelista"/>
        <w:numPr>
          <w:ilvl w:val="0"/>
          <w:numId w:val="2"/>
        </w:numPr>
        <w:tabs>
          <w:tab w:val="left" w:pos="426"/>
        </w:tabs>
        <w:spacing w:after="0"/>
        <w:ind w:left="0" w:firstLine="0"/>
        <w:jc w:val="both"/>
        <w:rPr>
          <w:rFonts w:ascii="Times New Roman" w:hAnsi="Times New Roman" w:cs="Times New Roman"/>
          <w:bCs/>
        </w:rPr>
      </w:pPr>
      <w:r>
        <w:rPr>
          <w:rFonts w:ascii="Times New Roman" w:hAnsi="Times New Roman" w:cs="Times New Roman"/>
          <w:bCs/>
        </w:rPr>
        <w:t xml:space="preserve">La Ley General de Salud establece que </w:t>
      </w:r>
      <w:r w:rsidR="00443468">
        <w:rPr>
          <w:rFonts w:ascii="Times New Roman" w:hAnsi="Times New Roman" w:cs="Times New Roman"/>
          <w:bCs/>
        </w:rPr>
        <w:t xml:space="preserve">toda persona tiene derecho a </w:t>
      </w:r>
      <w:r>
        <w:rPr>
          <w:rFonts w:ascii="Times New Roman" w:hAnsi="Times New Roman" w:cs="Times New Roman"/>
          <w:bCs/>
        </w:rPr>
        <w:t>“</w:t>
      </w:r>
      <w:r w:rsidR="00443468" w:rsidRPr="00443468">
        <w:rPr>
          <w:rFonts w:ascii="Times New Roman" w:hAnsi="Times New Roman" w:cs="Times New Roman"/>
          <w:bCs/>
          <w:lang w:val="es-PE"/>
        </w:rPr>
        <w:t>ser atendida con pleno respeto a su dignidad e intimidad sin discriminación por acción u omisión de ningún tipo</w:t>
      </w:r>
      <w:r>
        <w:rPr>
          <w:rFonts w:ascii="Times New Roman" w:hAnsi="Times New Roman" w:cs="Times New Roman"/>
          <w:bCs/>
          <w:lang w:val="es-PE"/>
        </w:rPr>
        <w:t>”</w:t>
      </w:r>
      <w:r>
        <w:rPr>
          <w:rStyle w:val="Refdenotaalpie"/>
          <w:rFonts w:ascii="Times New Roman" w:hAnsi="Times New Roman" w:cs="Times New Roman"/>
          <w:bCs/>
          <w:lang w:val="es-PE"/>
        </w:rPr>
        <w:footnoteReference w:id="4"/>
      </w:r>
      <w:r>
        <w:rPr>
          <w:rFonts w:ascii="Times New Roman" w:hAnsi="Times New Roman" w:cs="Times New Roman"/>
          <w:bCs/>
          <w:lang w:val="es-PE"/>
        </w:rPr>
        <w:t xml:space="preserve">. </w:t>
      </w:r>
      <w:r w:rsidR="00B01E2B">
        <w:rPr>
          <w:rFonts w:ascii="Times New Roman" w:hAnsi="Times New Roman" w:cs="Times New Roman"/>
          <w:bCs/>
          <w:lang w:val="es-PE"/>
        </w:rPr>
        <w:t xml:space="preserve">En adición a ello, el Reglamento de la Ley que establece los derechos de las personas usuarias de los servicios de salud </w:t>
      </w:r>
      <w:r w:rsidR="00D15C8B">
        <w:rPr>
          <w:rFonts w:ascii="Times New Roman" w:hAnsi="Times New Roman" w:cs="Times New Roman"/>
          <w:bCs/>
          <w:lang w:val="es-PE"/>
        </w:rPr>
        <w:t>menciona que “</w:t>
      </w:r>
      <w:r w:rsidR="00C00964" w:rsidRPr="00C00964">
        <w:rPr>
          <w:rFonts w:ascii="Times New Roman" w:hAnsi="Times New Roman" w:cs="Times New Roman"/>
          <w:bCs/>
          <w:lang w:val="es-PE"/>
        </w:rPr>
        <w:t>[</w:t>
      </w:r>
      <w:r w:rsidR="00C00964">
        <w:rPr>
          <w:rFonts w:ascii="Times New Roman" w:hAnsi="Times New Roman" w:cs="Times New Roman"/>
          <w:bCs/>
          <w:lang w:val="es-PE"/>
        </w:rPr>
        <w:t>n</w:t>
      </w:r>
      <w:r w:rsidR="00C00964" w:rsidRPr="00C00964">
        <w:rPr>
          <w:rFonts w:ascii="Times New Roman" w:hAnsi="Times New Roman" w:cs="Times New Roman"/>
          <w:bCs/>
          <w:lang w:val="es-PE"/>
        </w:rPr>
        <w:t>]</w:t>
      </w:r>
      <w:r w:rsidR="00D15C8B" w:rsidRPr="00D15C8B">
        <w:rPr>
          <w:rFonts w:ascii="Times New Roman" w:hAnsi="Times New Roman" w:cs="Times New Roman"/>
          <w:bCs/>
          <w:lang w:val="es-PE"/>
        </w:rPr>
        <w:t>inguna persona usuaria puede ser discriminada en el acceso a los servicios de salud, la atención o tratamiento por motivo de origen, etnia, sexo, género, idioma</w:t>
      </w:r>
      <w:r w:rsidR="00D15C8B">
        <w:rPr>
          <w:rFonts w:ascii="Times New Roman" w:hAnsi="Times New Roman" w:cs="Times New Roman"/>
          <w:bCs/>
          <w:lang w:val="es-PE"/>
        </w:rPr>
        <w:t>”</w:t>
      </w:r>
      <w:r w:rsidR="00D15C8B">
        <w:rPr>
          <w:rStyle w:val="Refdenotaalpie"/>
          <w:rFonts w:ascii="Times New Roman" w:hAnsi="Times New Roman" w:cs="Times New Roman"/>
          <w:bCs/>
          <w:lang w:val="es-PE"/>
        </w:rPr>
        <w:footnoteReference w:id="5"/>
      </w:r>
    </w:p>
    <w:p w14:paraId="3E7658EA" w14:textId="77777777" w:rsidR="00857AEB" w:rsidRPr="004D4C63" w:rsidRDefault="00857AEB" w:rsidP="00857AEB">
      <w:pPr>
        <w:pStyle w:val="Prrafodelista"/>
        <w:tabs>
          <w:tab w:val="left" w:pos="426"/>
        </w:tabs>
        <w:spacing w:after="0"/>
        <w:ind w:left="0"/>
        <w:jc w:val="both"/>
        <w:rPr>
          <w:rFonts w:ascii="Times New Roman" w:hAnsi="Times New Roman" w:cs="Times New Roman"/>
          <w:bCs/>
        </w:rPr>
      </w:pPr>
    </w:p>
    <w:p w14:paraId="5D3DE5C5" w14:textId="3FFE8455" w:rsidR="00857AEB" w:rsidRPr="00D92061" w:rsidRDefault="00857AEB" w:rsidP="00857AEB">
      <w:pPr>
        <w:pStyle w:val="Prrafodelista"/>
        <w:numPr>
          <w:ilvl w:val="0"/>
          <w:numId w:val="2"/>
        </w:numPr>
        <w:tabs>
          <w:tab w:val="left" w:pos="426"/>
        </w:tabs>
        <w:spacing w:after="0"/>
        <w:ind w:left="0" w:firstLine="0"/>
        <w:jc w:val="both"/>
        <w:rPr>
          <w:rFonts w:ascii="Times New Roman" w:hAnsi="Times New Roman" w:cs="Times New Roman"/>
          <w:bCs/>
        </w:rPr>
      </w:pPr>
      <w:r>
        <w:rPr>
          <w:rFonts w:ascii="Times New Roman" w:hAnsi="Times New Roman" w:cs="Times New Roman"/>
          <w:bCs/>
        </w:rPr>
        <w:t xml:space="preserve">Asimismo, la Política Nacional Multisectorial de Salud al 2030 “Perú, país saludable” </w:t>
      </w:r>
      <w:r w:rsidR="0087458C">
        <w:rPr>
          <w:rFonts w:ascii="Times New Roman" w:hAnsi="Times New Roman" w:cs="Times New Roman"/>
          <w:bCs/>
        </w:rPr>
        <w:t>incluye el enfoque intercultural</w:t>
      </w:r>
      <w:r>
        <w:rPr>
          <w:rStyle w:val="Refdenotaalpie"/>
          <w:rFonts w:ascii="Times New Roman" w:hAnsi="Times New Roman" w:cs="Times New Roman"/>
          <w:bCs/>
        </w:rPr>
        <w:footnoteReference w:id="6"/>
      </w:r>
      <w:r w:rsidR="00C00964">
        <w:rPr>
          <w:rFonts w:ascii="Times New Roman" w:hAnsi="Times New Roman" w:cs="Times New Roman"/>
          <w:bCs/>
        </w:rPr>
        <w:t xml:space="preserve"> y</w:t>
      </w:r>
      <w:r w:rsidR="00E50644">
        <w:rPr>
          <w:rFonts w:ascii="Times New Roman" w:hAnsi="Times New Roman" w:cs="Times New Roman"/>
          <w:bCs/>
        </w:rPr>
        <w:t>,</w:t>
      </w:r>
      <w:r w:rsidR="00C00964">
        <w:rPr>
          <w:rFonts w:ascii="Times New Roman" w:hAnsi="Times New Roman" w:cs="Times New Roman"/>
          <w:bCs/>
        </w:rPr>
        <w:t xml:space="preserve"> </w:t>
      </w:r>
      <w:r w:rsidR="00D81D8F">
        <w:rPr>
          <w:rFonts w:ascii="Times New Roman" w:hAnsi="Times New Roman" w:cs="Times New Roman"/>
          <w:bCs/>
        </w:rPr>
        <w:t xml:space="preserve">mediante Resolución Ministerial N° 228-2019-MINSA, se aprobó la </w:t>
      </w:r>
      <w:r w:rsidR="00D81D8F" w:rsidRPr="00D81D8F">
        <w:rPr>
          <w:rFonts w:ascii="Times New Roman" w:hAnsi="Times New Roman" w:cs="Times New Roman"/>
          <w:bCs/>
        </w:rPr>
        <w:t>Directiva Administrativa para la adecuación de los servicios de salud con pertinencia cultural en el primer nivel de atención</w:t>
      </w:r>
      <w:r w:rsidR="00D81D8F">
        <w:rPr>
          <w:rStyle w:val="Refdenotaalpie"/>
          <w:rFonts w:ascii="Times New Roman" w:hAnsi="Times New Roman" w:cs="Times New Roman"/>
          <w:bCs/>
        </w:rPr>
        <w:footnoteReference w:id="7"/>
      </w:r>
      <w:r w:rsidR="00C00964">
        <w:rPr>
          <w:rFonts w:ascii="Times New Roman" w:hAnsi="Times New Roman" w:cs="Times New Roman"/>
          <w:bCs/>
        </w:rPr>
        <w:t>.</w:t>
      </w:r>
      <w:r w:rsidR="00D81D8F">
        <w:rPr>
          <w:rFonts w:ascii="Times New Roman" w:hAnsi="Times New Roman" w:cs="Times New Roman"/>
          <w:bCs/>
        </w:rPr>
        <w:t xml:space="preserve"> </w:t>
      </w:r>
      <w:r w:rsidR="008955DD">
        <w:rPr>
          <w:rFonts w:ascii="Times New Roman" w:hAnsi="Times New Roman" w:cs="Times New Roman"/>
          <w:bCs/>
        </w:rPr>
        <w:t xml:space="preserve"> </w:t>
      </w:r>
    </w:p>
    <w:p w14:paraId="7A970A7E" w14:textId="77777777" w:rsidR="00E4116C" w:rsidRPr="00857AEB" w:rsidRDefault="00E4116C" w:rsidP="00E4116C">
      <w:pPr>
        <w:pStyle w:val="Prrafodelista"/>
        <w:ind w:left="352"/>
        <w:jc w:val="both"/>
        <w:rPr>
          <w:rFonts w:ascii="Times New Roman" w:hAnsi="Times New Roman" w:cs="Times New Roman"/>
          <w:b/>
          <w:bCs/>
          <w:lang w:val="es-ES_tradnl"/>
        </w:rPr>
      </w:pPr>
    </w:p>
    <w:p w14:paraId="0F7A906B" w14:textId="3EF4B210" w:rsidR="00E4116C" w:rsidRPr="00E4116C" w:rsidRDefault="00E4116C" w:rsidP="00E4116C">
      <w:pPr>
        <w:pStyle w:val="Prrafodelista"/>
        <w:numPr>
          <w:ilvl w:val="0"/>
          <w:numId w:val="1"/>
        </w:numPr>
        <w:ind w:left="352" w:hanging="352"/>
        <w:jc w:val="both"/>
        <w:rPr>
          <w:rFonts w:ascii="Times New Roman" w:hAnsi="Times New Roman" w:cs="Times New Roman"/>
          <w:b/>
          <w:bCs/>
          <w:lang w:val="es-ES_tradnl"/>
        </w:rPr>
      </w:pPr>
      <w:r>
        <w:rPr>
          <w:rFonts w:ascii="Times New Roman" w:hAnsi="Times New Roman" w:cs="Times New Roman"/>
          <w:b/>
          <w:bCs/>
        </w:rPr>
        <w:t>Comentarios a</w:t>
      </w:r>
      <w:r w:rsidRPr="00E4116C">
        <w:rPr>
          <w:rFonts w:ascii="Times New Roman" w:hAnsi="Times New Roman" w:cs="Times New Roman"/>
          <w:b/>
          <w:bCs/>
        </w:rPr>
        <w:t>l apartado</w:t>
      </w:r>
      <w:r>
        <w:rPr>
          <w:rFonts w:ascii="Times New Roman" w:hAnsi="Times New Roman" w:cs="Times New Roman"/>
          <w:b/>
          <w:bCs/>
        </w:rPr>
        <w:t xml:space="preserve"> “</w:t>
      </w:r>
      <w:r w:rsidRPr="00E4116C">
        <w:rPr>
          <w:rFonts w:ascii="Times New Roman" w:hAnsi="Times New Roman" w:cs="Times New Roman"/>
          <w:b/>
          <w:bCs/>
          <w:lang w:val="es-PE"/>
        </w:rPr>
        <w:t>Discriminación racial en el derecho a la salud pública, incluidos los centros, servicios y bienes sanitarios</w:t>
      </w:r>
      <w:r>
        <w:rPr>
          <w:rFonts w:ascii="Times New Roman" w:hAnsi="Times New Roman" w:cs="Times New Roman"/>
          <w:b/>
          <w:bCs/>
          <w:lang w:val="es-PE"/>
        </w:rPr>
        <w:t xml:space="preserve">” </w:t>
      </w:r>
    </w:p>
    <w:p w14:paraId="6B7D8B08" w14:textId="77777777" w:rsidR="00E4116C" w:rsidRDefault="00E4116C" w:rsidP="00E4116C">
      <w:pPr>
        <w:pStyle w:val="Prrafodelista"/>
        <w:ind w:left="1069"/>
        <w:jc w:val="both"/>
        <w:rPr>
          <w:rFonts w:ascii="Times New Roman" w:hAnsi="Times New Roman" w:cs="Times New Roman"/>
          <w:b/>
          <w:bCs/>
          <w:lang w:val="es-ES_tradnl"/>
        </w:rPr>
      </w:pPr>
    </w:p>
    <w:p w14:paraId="4A4B9B41" w14:textId="5F70E0C0" w:rsidR="00E4116C" w:rsidRDefault="00E4116C" w:rsidP="00E4116C">
      <w:pPr>
        <w:pStyle w:val="Prrafodelista"/>
        <w:numPr>
          <w:ilvl w:val="1"/>
          <w:numId w:val="1"/>
        </w:numPr>
        <w:jc w:val="both"/>
        <w:rPr>
          <w:rFonts w:ascii="Times New Roman" w:hAnsi="Times New Roman" w:cs="Times New Roman"/>
          <w:b/>
          <w:bCs/>
          <w:lang w:val="es-ES_tradnl"/>
        </w:rPr>
      </w:pPr>
      <w:r>
        <w:rPr>
          <w:rFonts w:ascii="Times New Roman" w:hAnsi="Times New Roman" w:cs="Times New Roman"/>
          <w:b/>
          <w:bCs/>
          <w:lang w:val="es-ES_tradnl"/>
        </w:rPr>
        <w:t>Sobre el subapartado “</w:t>
      </w:r>
      <w:r w:rsidRPr="00E4116C">
        <w:rPr>
          <w:rFonts w:ascii="Times New Roman" w:hAnsi="Times New Roman" w:cs="Times New Roman"/>
          <w:b/>
          <w:bCs/>
          <w:lang w:val="es-ES_tradnl"/>
        </w:rPr>
        <w:t>Discriminación racial en la accesibilidad física, asequible e informativa</w:t>
      </w:r>
      <w:r>
        <w:rPr>
          <w:rFonts w:ascii="Times New Roman" w:hAnsi="Times New Roman" w:cs="Times New Roman"/>
          <w:b/>
          <w:bCs/>
          <w:lang w:val="es-ES_tradnl"/>
        </w:rPr>
        <w:t>”</w:t>
      </w:r>
    </w:p>
    <w:p w14:paraId="518FF570" w14:textId="77777777" w:rsidR="00E4116C" w:rsidRDefault="00E4116C" w:rsidP="00E4116C">
      <w:pPr>
        <w:pStyle w:val="Prrafodelista"/>
        <w:spacing w:after="0"/>
        <w:rPr>
          <w:rFonts w:ascii="Times New Roman" w:hAnsi="Times New Roman" w:cs="Times New Roman"/>
          <w:bCs/>
        </w:rPr>
      </w:pPr>
    </w:p>
    <w:p w14:paraId="50EB9B96" w14:textId="77777777" w:rsidR="00E4116C" w:rsidRDefault="00E4116C" w:rsidP="00E4116C">
      <w:pPr>
        <w:pStyle w:val="Prrafodelista"/>
        <w:numPr>
          <w:ilvl w:val="0"/>
          <w:numId w:val="2"/>
        </w:numPr>
        <w:tabs>
          <w:tab w:val="left" w:pos="426"/>
        </w:tabs>
        <w:spacing w:after="0"/>
        <w:ind w:left="0" w:firstLine="0"/>
        <w:jc w:val="both"/>
        <w:rPr>
          <w:rFonts w:ascii="Times New Roman" w:hAnsi="Times New Roman" w:cs="Times New Roman"/>
          <w:bCs/>
          <w:lang w:val="es-PE"/>
        </w:rPr>
      </w:pPr>
      <w:r>
        <w:rPr>
          <w:rFonts w:ascii="Times New Roman" w:hAnsi="Times New Roman" w:cs="Times New Roman"/>
          <w:bCs/>
        </w:rPr>
        <w:t xml:space="preserve">La página 6 del Proyecto menciona como una de las causas que produce la falta de acceso a una atención sanitaria estable y asequible la “ausencia, o alcance </w:t>
      </w:r>
      <w:r w:rsidRPr="00E4116C">
        <w:rPr>
          <w:rFonts w:ascii="Times New Roman" w:hAnsi="Times New Roman" w:cs="Times New Roman"/>
          <w:bCs/>
          <w:lang w:val="es-PE"/>
        </w:rPr>
        <w:t xml:space="preserve">limitado, de legislación y </w:t>
      </w:r>
      <w:r w:rsidRPr="00E4116C">
        <w:rPr>
          <w:rFonts w:ascii="Times New Roman" w:hAnsi="Times New Roman" w:cs="Times New Roman"/>
          <w:bCs/>
          <w:lang w:val="es-PE"/>
        </w:rPr>
        <w:lastRenderedPageBreak/>
        <w:t>políticas que reconozcan la accesibilidad como una cuestión de igualdad de trato y prohíban la discriminación racial, por sí sola o/y en intersección con otros motivos de discriminación, como el género, la discapacidad, la edad, el estatus migratorio, la clase, el estatus social o los ingresos, y otros estatus</w:t>
      </w:r>
      <w:r>
        <w:rPr>
          <w:rFonts w:ascii="Times New Roman" w:hAnsi="Times New Roman" w:cs="Times New Roman"/>
          <w:bCs/>
          <w:lang w:val="es-PE"/>
        </w:rPr>
        <w:t>”.</w:t>
      </w:r>
    </w:p>
    <w:p w14:paraId="45F72003" w14:textId="2BE37AD2" w:rsidR="00E4116C" w:rsidRPr="00E4116C" w:rsidRDefault="00E4116C" w:rsidP="00E4116C">
      <w:pPr>
        <w:pStyle w:val="Prrafodelista"/>
        <w:tabs>
          <w:tab w:val="left" w:pos="426"/>
        </w:tabs>
        <w:spacing w:after="0"/>
        <w:ind w:left="0"/>
        <w:jc w:val="both"/>
        <w:rPr>
          <w:rFonts w:ascii="Times New Roman" w:hAnsi="Times New Roman" w:cs="Times New Roman"/>
          <w:bCs/>
          <w:lang w:val="es-PE"/>
        </w:rPr>
      </w:pPr>
      <w:r w:rsidRPr="00E4116C">
        <w:rPr>
          <w:rFonts w:ascii="Times New Roman" w:hAnsi="Times New Roman" w:cs="Times New Roman"/>
          <w:bCs/>
          <w:lang w:val="es-PE"/>
        </w:rPr>
        <w:t xml:space="preserve"> </w:t>
      </w:r>
    </w:p>
    <w:p w14:paraId="1C5770B3" w14:textId="24C119CB" w:rsidR="00857AEB" w:rsidRDefault="004D6AD5" w:rsidP="00E4116C">
      <w:pPr>
        <w:pStyle w:val="Prrafodelista"/>
        <w:numPr>
          <w:ilvl w:val="0"/>
          <w:numId w:val="2"/>
        </w:numPr>
        <w:tabs>
          <w:tab w:val="left" w:pos="426"/>
        </w:tabs>
        <w:spacing w:after="0"/>
        <w:ind w:left="0" w:firstLine="0"/>
        <w:jc w:val="both"/>
        <w:rPr>
          <w:rFonts w:ascii="Times New Roman" w:hAnsi="Times New Roman" w:cs="Times New Roman"/>
          <w:bCs/>
          <w:lang w:val="es-PE"/>
        </w:rPr>
      </w:pPr>
      <w:r>
        <w:rPr>
          <w:rFonts w:ascii="Times New Roman" w:hAnsi="Times New Roman" w:cs="Times New Roman"/>
          <w:bCs/>
          <w:lang w:val="es-PE"/>
        </w:rPr>
        <w:t>Al respecto, el Tribunal Constitucional peruano ha destacado que</w:t>
      </w:r>
      <w:r w:rsidRPr="003F5C22">
        <w:rPr>
          <w:rFonts w:ascii="Times New Roman" w:hAnsi="Times New Roman" w:cs="Times New Roman"/>
          <w:bCs/>
          <w:lang w:val="es-PE"/>
        </w:rPr>
        <w:t xml:space="preserve">, con base en prejuicios y estereotipos, existe una asociación entre el uso de una lengua indígena u originaria y una minusvaloración en </w:t>
      </w:r>
      <w:r w:rsidR="00245A25" w:rsidRPr="003F5C22">
        <w:rPr>
          <w:rFonts w:ascii="Times New Roman" w:hAnsi="Times New Roman" w:cs="Times New Roman"/>
          <w:bCs/>
          <w:lang w:val="es-PE"/>
        </w:rPr>
        <w:t>E</w:t>
      </w:r>
      <w:r w:rsidRPr="003F5C22">
        <w:rPr>
          <w:rFonts w:ascii="Times New Roman" w:hAnsi="Times New Roman" w:cs="Times New Roman"/>
          <w:bCs/>
          <w:lang w:val="es-PE"/>
        </w:rPr>
        <w:t>stados como el peruano</w:t>
      </w:r>
      <w:r w:rsidRPr="003F5C22">
        <w:rPr>
          <w:rStyle w:val="Refdenotaalpie"/>
          <w:rFonts w:ascii="Times New Roman" w:hAnsi="Times New Roman" w:cs="Times New Roman"/>
          <w:bCs/>
          <w:lang w:val="es-PE"/>
        </w:rPr>
        <w:footnoteReference w:id="8"/>
      </w:r>
      <w:r w:rsidRPr="003F5C22">
        <w:rPr>
          <w:rFonts w:ascii="Times New Roman" w:hAnsi="Times New Roman" w:cs="Times New Roman"/>
          <w:bCs/>
          <w:lang w:val="es-PE"/>
        </w:rPr>
        <w:t xml:space="preserve"> habiendo declarado frente a ello un “estado de cosas inconstitucional” y ordenando</w:t>
      </w:r>
      <w:r>
        <w:rPr>
          <w:rFonts w:ascii="Times New Roman" w:hAnsi="Times New Roman" w:cs="Times New Roman"/>
          <w:bCs/>
          <w:lang w:val="es-PE"/>
        </w:rPr>
        <w:t xml:space="preserve"> medidas para oficializar el uso de lenguas originarias en sus ámbitos de desarrollo, según su predominancia</w:t>
      </w:r>
      <w:r>
        <w:rPr>
          <w:rStyle w:val="Refdenotaalpie"/>
          <w:rFonts w:ascii="Times New Roman" w:hAnsi="Times New Roman" w:cs="Times New Roman"/>
          <w:bCs/>
          <w:lang w:val="es-PE"/>
        </w:rPr>
        <w:footnoteReference w:id="9"/>
      </w:r>
      <w:r>
        <w:rPr>
          <w:rFonts w:ascii="Times New Roman" w:hAnsi="Times New Roman" w:cs="Times New Roman"/>
          <w:bCs/>
          <w:lang w:val="es-PE"/>
        </w:rPr>
        <w:t>.</w:t>
      </w:r>
    </w:p>
    <w:p w14:paraId="2AF79622" w14:textId="77777777" w:rsidR="006C7ABB" w:rsidRDefault="006C7ABB" w:rsidP="006C7ABB">
      <w:pPr>
        <w:pStyle w:val="Prrafodelista"/>
        <w:tabs>
          <w:tab w:val="left" w:pos="426"/>
        </w:tabs>
        <w:spacing w:after="0"/>
        <w:ind w:left="0"/>
        <w:jc w:val="both"/>
        <w:rPr>
          <w:rFonts w:ascii="Times New Roman" w:hAnsi="Times New Roman" w:cs="Times New Roman"/>
          <w:bCs/>
          <w:lang w:val="es-PE"/>
        </w:rPr>
      </w:pPr>
    </w:p>
    <w:p w14:paraId="3C5A896A" w14:textId="0A8BD739" w:rsidR="006C7ABB" w:rsidRDefault="006C7ABB" w:rsidP="00E4116C">
      <w:pPr>
        <w:pStyle w:val="Prrafodelista"/>
        <w:numPr>
          <w:ilvl w:val="0"/>
          <w:numId w:val="2"/>
        </w:numPr>
        <w:tabs>
          <w:tab w:val="left" w:pos="426"/>
        </w:tabs>
        <w:spacing w:after="0"/>
        <w:ind w:left="0" w:firstLine="0"/>
        <w:jc w:val="both"/>
        <w:rPr>
          <w:rFonts w:ascii="Times New Roman" w:hAnsi="Times New Roman" w:cs="Times New Roman"/>
          <w:bCs/>
          <w:lang w:val="es-PE"/>
        </w:rPr>
      </w:pPr>
      <w:r>
        <w:rPr>
          <w:rFonts w:ascii="Times New Roman" w:hAnsi="Times New Roman" w:cs="Times New Roman"/>
          <w:bCs/>
          <w:lang w:val="es-PE"/>
        </w:rPr>
        <w:t xml:space="preserve">Frente a este escenario, no se debe ignorar que la ausencia de legislación y políticas que prohíban la discriminación racial en intersección con otros motivos de discriminación como la lengua materna es una causa de la falta de acceso </w:t>
      </w:r>
      <w:r w:rsidRPr="006C7ABB">
        <w:rPr>
          <w:rFonts w:ascii="Times New Roman" w:hAnsi="Times New Roman" w:cs="Times New Roman"/>
          <w:bCs/>
          <w:lang w:val="es-PE"/>
        </w:rPr>
        <w:t>una atención sanitaria estable y asequible</w:t>
      </w:r>
      <w:r>
        <w:rPr>
          <w:rFonts w:ascii="Times New Roman" w:hAnsi="Times New Roman" w:cs="Times New Roman"/>
          <w:bCs/>
          <w:lang w:val="es-PE"/>
        </w:rPr>
        <w:t>. Por ende, se recomienda la incorporación del siguiente aspecto</w:t>
      </w:r>
      <w:r>
        <w:rPr>
          <w:rStyle w:val="Refdenotaalpie"/>
          <w:rFonts w:ascii="Times New Roman" w:hAnsi="Times New Roman" w:cs="Times New Roman"/>
          <w:bCs/>
          <w:lang w:val="es-PE"/>
        </w:rPr>
        <w:footnoteReference w:id="10"/>
      </w:r>
      <w:r>
        <w:rPr>
          <w:rFonts w:ascii="Times New Roman" w:hAnsi="Times New Roman" w:cs="Times New Roman"/>
          <w:bCs/>
          <w:lang w:val="es-PE"/>
        </w:rPr>
        <w:t>:</w:t>
      </w:r>
    </w:p>
    <w:p w14:paraId="31CC5BE2" w14:textId="07EDAD18" w:rsidR="006C7ABB" w:rsidRDefault="006C7ABB" w:rsidP="006C7ABB">
      <w:pPr>
        <w:pStyle w:val="Prrafodelista"/>
        <w:tabs>
          <w:tab w:val="left" w:pos="426"/>
        </w:tabs>
        <w:spacing w:after="0"/>
        <w:ind w:left="0"/>
        <w:jc w:val="both"/>
        <w:rPr>
          <w:rFonts w:ascii="Times New Roman" w:hAnsi="Times New Roman" w:cs="Times New Roman"/>
          <w:bCs/>
          <w:lang w:val="es-PE"/>
        </w:rPr>
      </w:pPr>
    </w:p>
    <w:tbl>
      <w:tblPr>
        <w:tblStyle w:val="Tablaconcuadrcula"/>
        <w:tblW w:w="0" w:type="auto"/>
        <w:tblLook w:val="04A0" w:firstRow="1" w:lastRow="0" w:firstColumn="1" w:lastColumn="0" w:noHBand="0" w:noVBand="1"/>
      </w:tblPr>
      <w:tblGrid>
        <w:gridCol w:w="4247"/>
        <w:gridCol w:w="4247"/>
      </w:tblGrid>
      <w:tr w:rsidR="00E50644" w14:paraId="13C02841" w14:textId="77777777" w:rsidTr="006C7ABB">
        <w:tc>
          <w:tcPr>
            <w:tcW w:w="4247" w:type="dxa"/>
          </w:tcPr>
          <w:p w14:paraId="42BBCBE9" w14:textId="27BE2159" w:rsidR="00E50644" w:rsidRPr="009E743F" w:rsidRDefault="00E50644" w:rsidP="006C7ABB">
            <w:pPr>
              <w:pStyle w:val="Prrafodelista"/>
              <w:tabs>
                <w:tab w:val="left" w:pos="426"/>
              </w:tabs>
              <w:spacing w:after="0"/>
              <w:ind w:left="0"/>
              <w:jc w:val="both"/>
              <w:rPr>
                <w:rFonts w:ascii="Times New Roman" w:hAnsi="Times New Roman" w:cs="Times New Roman"/>
                <w:b/>
                <w:bCs/>
                <w:sz w:val="16"/>
                <w:lang w:val="es-PE"/>
              </w:rPr>
            </w:pPr>
            <w:r w:rsidRPr="009E743F">
              <w:rPr>
                <w:rFonts w:ascii="Times New Roman" w:hAnsi="Times New Roman" w:cs="Times New Roman"/>
                <w:b/>
                <w:bCs/>
                <w:sz w:val="16"/>
                <w:lang w:val="es-PE"/>
              </w:rPr>
              <w:t>Dice:</w:t>
            </w:r>
          </w:p>
        </w:tc>
        <w:tc>
          <w:tcPr>
            <w:tcW w:w="4247" w:type="dxa"/>
          </w:tcPr>
          <w:p w14:paraId="398A8FEC" w14:textId="3F6F45BE" w:rsidR="00E50644" w:rsidRPr="00E50644" w:rsidRDefault="00E50644" w:rsidP="006C7ABB">
            <w:pPr>
              <w:pStyle w:val="Prrafodelista"/>
              <w:tabs>
                <w:tab w:val="left" w:pos="426"/>
              </w:tabs>
              <w:spacing w:after="0"/>
              <w:ind w:left="0"/>
              <w:jc w:val="both"/>
              <w:rPr>
                <w:rFonts w:ascii="Times New Roman" w:hAnsi="Times New Roman" w:cs="Times New Roman"/>
                <w:b/>
                <w:bCs/>
                <w:sz w:val="16"/>
                <w:lang w:val="es-PE"/>
              </w:rPr>
            </w:pPr>
            <w:r w:rsidRPr="00E50644">
              <w:rPr>
                <w:rFonts w:ascii="Times New Roman" w:hAnsi="Times New Roman" w:cs="Times New Roman"/>
                <w:b/>
                <w:bCs/>
                <w:sz w:val="16"/>
                <w:lang w:val="es-PE"/>
              </w:rPr>
              <w:t>Debe decir:</w:t>
            </w:r>
          </w:p>
        </w:tc>
      </w:tr>
      <w:tr w:rsidR="006C7ABB" w14:paraId="3B081BBE" w14:textId="77777777" w:rsidTr="006C7ABB">
        <w:tc>
          <w:tcPr>
            <w:tcW w:w="4247" w:type="dxa"/>
          </w:tcPr>
          <w:p w14:paraId="7503D1F0" w14:textId="77777777" w:rsidR="00E50644" w:rsidRDefault="00E50644" w:rsidP="006C7ABB">
            <w:pPr>
              <w:pStyle w:val="Prrafodelista"/>
              <w:tabs>
                <w:tab w:val="left" w:pos="426"/>
              </w:tabs>
              <w:ind w:left="0"/>
              <w:jc w:val="both"/>
              <w:rPr>
                <w:rFonts w:ascii="Times New Roman" w:hAnsi="Times New Roman" w:cs="Times New Roman"/>
                <w:b/>
                <w:bCs/>
                <w:sz w:val="16"/>
                <w:lang w:val="es-PE"/>
              </w:rPr>
            </w:pPr>
          </w:p>
          <w:p w14:paraId="08238B1A" w14:textId="6D1A36AE" w:rsidR="006C7ABB" w:rsidRPr="006C7ABB" w:rsidRDefault="006C7ABB" w:rsidP="006C7ABB">
            <w:pPr>
              <w:pStyle w:val="Prrafodelista"/>
              <w:tabs>
                <w:tab w:val="left" w:pos="426"/>
              </w:tabs>
              <w:ind w:left="0"/>
              <w:jc w:val="both"/>
              <w:rPr>
                <w:rFonts w:ascii="Times New Roman" w:hAnsi="Times New Roman" w:cs="Times New Roman"/>
                <w:bCs/>
                <w:sz w:val="16"/>
                <w:lang w:val="es-PE"/>
              </w:rPr>
            </w:pPr>
            <w:r w:rsidRPr="006C7ABB">
              <w:rPr>
                <w:rFonts w:ascii="Times New Roman" w:hAnsi="Times New Roman" w:cs="Times New Roman"/>
                <w:bCs/>
                <w:sz w:val="16"/>
                <w:lang w:val="es-PE"/>
              </w:rPr>
              <w:t xml:space="preserve">(i) Ausencia, o alcance limitado, de legislación y políticas que reconozcan la accesibilidad como una cuestión de igualdad de trato y prohíban la discriminación racial, por sí sola o/y en intersección con otros motivos de discriminación, como el género, la discapacidad, la edad, el estatus migratorio, la clase, el estatus social o los ingresos, y otros estatus; </w:t>
            </w:r>
          </w:p>
          <w:p w14:paraId="54579FAB" w14:textId="7E6F6672" w:rsidR="006C7ABB" w:rsidRPr="009E743F" w:rsidRDefault="006C7ABB" w:rsidP="006C7ABB">
            <w:pPr>
              <w:pStyle w:val="Prrafodelista"/>
              <w:tabs>
                <w:tab w:val="left" w:pos="426"/>
              </w:tabs>
              <w:ind w:left="0"/>
              <w:jc w:val="both"/>
              <w:rPr>
                <w:rFonts w:ascii="Times New Roman" w:hAnsi="Times New Roman" w:cs="Times New Roman"/>
                <w:bCs/>
                <w:sz w:val="16"/>
                <w:lang w:val="es-PE"/>
              </w:rPr>
            </w:pPr>
          </w:p>
        </w:tc>
        <w:tc>
          <w:tcPr>
            <w:tcW w:w="4247" w:type="dxa"/>
          </w:tcPr>
          <w:p w14:paraId="77299E6B" w14:textId="77777777" w:rsidR="00E50644" w:rsidRDefault="00E50644" w:rsidP="006C7ABB">
            <w:pPr>
              <w:pStyle w:val="Prrafodelista"/>
              <w:tabs>
                <w:tab w:val="left" w:pos="426"/>
              </w:tabs>
              <w:ind w:left="0"/>
              <w:jc w:val="both"/>
              <w:rPr>
                <w:rFonts w:ascii="Times New Roman" w:hAnsi="Times New Roman" w:cs="Times New Roman"/>
                <w:b/>
                <w:bCs/>
                <w:sz w:val="16"/>
                <w:lang w:val="es-PE"/>
              </w:rPr>
            </w:pPr>
          </w:p>
          <w:p w14:paraId="2BB709C2" w14:textId="12AF609E" w:rsidR="006C7ABB" w:rsidRPr="006C7ABB" w:rsidRDefault="006C7ABB" w:rsidP="006C7ABB">
            <w:pPr>
              <w:pStyle w:val="Prrafodelista"/>
              <w:tabs>
                <w:tab w:val="left" w:pos="426"/>
              </w:tabs>
              <w:ind w:left="0"/>
              <w:jc w:val="both"/>
              <w:rPr>
                <w:rFonts w:ascii="Times New Roman" w:hAnsi="Times New Roman" w:cs="Times New Roman"/>
                <w:bCs/>
                <w:sz w:val="16"/>
                <w:lang w:val="es-PE"/>
              </w:rPr>
            </w:pPr>
            <w:r w:rsidRPr="006C7ABB">
              <w:rPr>
                <w:rFonts w:ascii="Times New Roman" w:hAnsi="Times New Roman" w:cs="Times New Roman"/>
                <w:bCs/>
                <w:sz w:val="16"/>
                <w:lang w:val="es-PE"/>
              </w:rPr>
              <w:t xml:space="preserve">(i) Ausencia, o alcance limitado, de legislación y políticas que reconozcan la accesibilidad como una cuestión de igualdad de trato y prohíban la discriminación racial, por sí sola o/y en intersección con otros motivos de discriminación, como el género, la discapacidad, la edad, el estatus migratorio, la clase, </w:t>
            </w:r>
            <w:r w:rsidRPr="009E743F">
              <w:rPr>
                <w:rFonts w:ascii="Times New Roman" w:hAnsi="Times New Roman" w:cs="Times New Roman"/>
                <w:bCs/>
                <w:sz w:val="16"/>
                <w:u w:val="single"/>
                <w:lang w:val="es-PE"/>
              </w:rPr>
              <w:t>la lengua materna</w:t>
            </w:r>
            <w:r w:rsidRPr="009E743F">
              <w:rPr>
                <w:rFonts w:ascii="Times New Roman" w:hAnsi="Times New Roman" w:cs="Times New Roman"/>
                <w:bCs/>
                <w:sz w:val="16"/>
                <w:lang w:val="es-PE"/>
              </w:rPr>
              <w:t xml:space="preserve">, </w:t>
            </w:r>
            <w:r w:rsidRPr="006C7ABB">
              <w:rPr>
                <w:rFonts w:ascii="Times New Roman" w:hAnsi="Times New Roman" w:cs="Times New Roman"/>
                <w:bCs/>
                <w:sz w:val="16"/>
                <w:lang w:val="es-PE"/>
              </w:rPr>
              <w:t xml:space="preserve">el estatus social o los ingresos, y otros estatus; </w:t>
            </w:r>
          </w:p>
          <w:p w14:paraId="40954F18" w14:textId="275CBC78" w:rsidR="006C7ABB" w:rsidRPr="009E743F" w:rsidRDefault="006C7ABB" w:rsidP="006C7ABB">
            <w:pPr>
              <w:pStyle w:val="Prrafodelista"/>
              <w:tabs>
                <w:tab w:val="left" w:pos="426"/>
              </w:tabs>
              <w:spacing w:after="0"/>
              <w:ind w:left="0"/>
              <w:jc w:val="both"/>
              <w:rPr>
                <w:rFonts w:ascii="Times New Roman" w:hAnsi="Times New Roman" w:cs="Times New Roman"/>
                <w:bCs/>
                <w:sz w:val="16"/>
                <w:lang w:val="es-PE"/>
              </w:rPr>
            </w:pPr>
          </w:p>
        </w:tc>
      </w:tr>
    </w:tbl>
    <w:p w14:paraId="6098E877" w14:textId="77777777" w:rsidR="00E4116C" w:rsidRPr="00857AEB" w:rsidRDefault="00E4116C" w:rsidP="00E4116C">
      <w:pPr>
        <w:pStyle w:val="Prrafodelista"/>
        <w:ind w:left="352"/>
        <w:jc w:val="both"/>
        <w:rPr>
          <w:rFonts w:ascii="Times New Roman" w:hAnsi="Times New Roman" w:cs="Times New Roman"/>
          <w:b/>
          <w:bCs/>
          <w:lang w:val="es-ES_tradnl"/>
        </w:rPr>
      </w:pPr>
    </w:p>
    <w:p w14:paraId="7B3B1F81" w14:textId="0D905218" w:rsidR="00A5668C" w:rsidRDefault="00E4116C" w:rsidP="00E60956">
      <w:pPr>
        <w:pStyle w:val="Prrafodelista"/>
        <w:numPr>
          <w:ilvl w:val="0"/>
          <w:numId w:val="1"/>
        </w:numPr>
        <w:ind w:left="352" w:hanging="352"/>
        <w:jc w:val="both"/>
        <w:rPr>
          <w:rFonts w:ascii="Times New Roman" w:hAnsi="Times New Roman" w:cs="Times New Roman"/>
          <w:b/>
          <w:bCs/>
          <w:lang w:val="es-ES_tradnl"/>
        </w:rPr>
      </w:pPr>
      <w:r>
        <w:rPr>
          <w:rFonts w:ascii="Times New Roman" w:hAnsi="Times New Roman" w:cs="Times New Roman"/>
          <w:b/>
          <w:bCs/>
        </w:rPr>
        <w:t>Comentarios sobre el apartado “Recomendaciones”</w:t>
      </w:r>
      <w:r w:rsidR="00E60956">
        <w:rPr>
          <w:rFonts w:ascii="Times New Roman" w:hAnsi="Times New Roman" w:cs="Times New Roman"/>
          <w:b/>
          <w:bCs/>
        </w:rPr>
        <w:t xml:space="preserve"> </w:t>
      </w:r>
    </w:p>
    <w:p w14:paraId="4C33E461" w14:textId="77777777" w:rsidR="00E60956" w:rsidRDefault="00E60956" w:rsidP="00E60956">
      <w:pPr>
        <w:pStyle w:val="Prrafodelista"/>
        <w:ind w:left="1069"/>
        <w:jc w:val="both"/>
        <w:rPr>
          <w:rFonts w:ascii="Times New Roman" w:hAnsi="Times New Roman" w:cs="Times New Roman"/>
          <w:b/>
          <w:bCs/>
          <w:lang w:val="es-ES_tradnl"/>
        </w:rPr>
      </w:pPr>
    </w:p>
    <w:p w14:paraId="7250B708" w14:textId="51AC1532" w:rsidR="0089179C" w:rsidRPr="00E50644" w:rsidRDefault="00E60956" w:rsidP="0089179C">
      <w:pPr>
        <w:pStyle w:val="Prrafodelista"/>
        <w:numPr>
          <w:ilvl w:val="1"/>
          <w:numId w:val="1"/>
        </w:numPr>
        <w:jc w:val="both"/>
        <w:rPr>
          <w:rFonts w:ascii="Times New Roman" w:hAnsi="Times New Roman" w:cs="Times New Roman"/>
          <w:b/>
          <w:bCs/>
          <w:lang w:val="es-ES_tradnl"/>
        </w:rPr>
      </w:pPr>
      <w:r>
        <w:rPr>
          <w:rFonts w:ascii="Times New Roman" w:hAnsi="Times New Roman" w:cs="Times New Roman"/>
          <w:b/>
          <w:bCs/>
          <w:lang w:val="es-ES_tradnl"/>
        </w:rPr>
        <w:t>Sobre</w:t>
      </w:r>
      <w:r w:rsidR="0089179C">
        <w:rPr>
          <w:rFonts w:ascii="Times New Roman" w:hAnsi="Times New Roman" w:cs="Times New Roman"/>
          <w:b/>
          <w:bCs/>
          <w:lang w:val="es-ES_tradnl"/>
        </w:rPr>
        <w:t xml:space="preserve"> </w:t>
      </w:r>
      <w:r>
        <w:rPr>
          <w:rFonts w:ascii="Times New Roman" w:hAnsi="Times New Roman" w:cs="Times New Roman"/>
          <w:b/>
          <w:bCs/>
          <w:lang w:val="es-ES_tradnl"/>
        </w:rPr>
        <w:t xml:space="preserve">el </w:t>
      </w:r>
      <w:r w:rsidR="00E4116C">
        <w:rPr>
          <w:rFonts w:ascii="Times New Roman" w:hAnsi="Times New Roman" w:cs="Times New Roman"/>
          <w:b/>
          <w:bCs/>
          <w:lang w:val="es-ES_tradnl"/>
        </w:rPr>
        <w:t>sub</w:t>
      </w:r>
      <w:r>
        <w:rPr>
          <w:rFonts w:ascii="Times New Roman" w:hAnsi="Times New Roman" w:cs="Times New Roman"/>
          <w:b/>
          <w:bCs/>
          <w:lang w:val="es-ES_tradnl"/>
        </w:rPr>
        <w:t>apartado “</w:t>
      </w:r>
      <w:r w:rsidR="00E50644">
        <w:rPr>
          <w:rFonts w:ascii="Times New Roman" w:hAnsi="Times New Roman" w:cs="Times New Roman"/>
          <w:b/>
          <w:bCs/>
          <w:lang w:val="es-ES_tradnl"/>
        </w:rPr>
        <w:t xml:space="preserve">A. </w:t>
      </w:r>
      <w:r>
        <w:rPr>
          <w:rFonts w:ascii="Times New Roman" w:hAnsi="Times New Roman" w:cs="Times New Roman"/>
          <w:b/>
          <w:bCs/>
          <w:lang w:val="es-ES_tradnl"/>
        </w:rPr>
        <w:t>Medidas legislativas y políticas”</w:t>
      </w:r>
    </w:p>
    <w:p w14:paraId="408FFDD8" w14:textId="77777777" w:rsidR="00E50644" w:rsidRDefault="00E50644" w:rsidP="00E50644">
      <w:pPr>
        <w:pStyle w:val="Prrafodelista"/>
        <w:spacing w:after="0"/>
        <w:rPr>
          <w:rFonts w:ascii="Times New Roman" w:hAnsi="Times New Roman" w:cs="Times New Roman"/>
          <w:bCs/>
        </w:rPr>
      </w:pPr>
    </w:p>
    <w:p w14:paraId="6795480D" w14:textId="4BADC943" w:rsidR="00E50644" w:rsidRPr="00DD6A79" w:rsidRDefault="00E50644" w:rsidP="00DD6A79">
      <w:pPr>
        <w:pStyle w:val="Prrafodelista"/>
        <w:numPr>
          <w:ilvl w:val="0"/>
          <w:numId w:val="2"/>
        </w:numPr>
        <w:tabs>
          <w:tab w:val="left" w:pos="426"/>
        </w:tabs>
        <w:spacing w:after="0"/>
        <w:ind w:left="0" w:firstLine="0"/>
        <w:jc w:val="both"/>
        <w:rPr>
          <w:rFonts w:ascii="Times New Roman" w:hAnsi="Times New Roman" w:cs="Times New Roman"/>
          <w:bCs/>
          <w:lang w:val="es-PE"/>
        </w:rPr>
      </w:pPr>
      <w:r w:rsidRPr="00E26E0C">
        <w:rPr>
          <w:rFonts w:ascii="Times New Roman" w:hAnsi="Times New Roman" w:cs="Times New Roman"/>
          <w:bCs/>
        </w:rPr>
        <w:t xml:space="preserve">El </w:t>
      </w:r>
      <w:r>
        <w:rPr>
          <w:rFonts w:ascii="Times New Roman" w:hAnsi="Times New Roman" w:cs="Times New Roman"/>
          <w:bCs/>
        </w:rPr>
        <w:t xml:space="preserve">subapartado “A. Medidas legislativas y políticas” </w:t>
      </w:r>
      <w:r w:rsidR="00DD6A79">
        <w:rPr>
          <w:rFonts w:ascii="Times New Roman" w:hAnsi="Times New Roman" w:cs="Times New Roman"/>
          <w:bCs/>
        </w:rPr>
        <w:t xml:space="preserve">realiza un conjunto de recomendaciones a los Estados Parte de la </w:t>
      </w:r>
      <w:r w:rsidR="00DD6A79" w:rsidRPr="00DD6A79">
        <w:rPr>
          <w:rFonts w:ascii="Times New Roman" w:hAnsi="Times New Roman" w:cs="Times New Roman"/>
          <w:bCs/>
          <w:lang w:val="es-PE"/>
        </w:rPr>
        <w:t xml:space="preserve">Convención Internacional sobre la Eliminación de todas las Formas de Discriminación Racial </w:t>
      </w:r>
      <w:r w:rsidR="00DD6A79">
        <w:rPr>
          <w:rFonts w:ascii="Times New Roman" w:hAnsi="Times New Roman" w:cs="Times New Roman"/>
          <w:bCs/>
          <w:lang w:val="es-PE"/>
        </w:rPr>
        <w:t xml:space="preserve">en relación a la adopción de medidas normativas para combatir la discriminación racial en el disfrute del derecho a la salud. Frente a ello, el Estado peruano tiene las sugerencias que serán expuesta a continuación. </w:t>
      </w:r>
    </w:p>
    <w:p w14:paraId="2ED39983" w14:textId="77777777" w:rsidR="00E50644" w:rsidRDefault="00E50644" w:rsidP="0089179C">
      <w:pPr>
        <w:pStyle w:val="Prrafodelista"/>
        <w:ind w:left="1069"/>
        <w:jc w:val="both"/>
        <w:rPr>
          <w:rFonts w:ascii="Times New Roman" w:hAnsi="Times New Roman" w:cs="Times New Roman"/>
          <w:b/>
          <w:bCs/>
          <w:lang w:val="es-ES_tradnl"/>
        </w:rPr>
      </w:pPr>
    </w:p>
    <w:p w14:paraId="7058987F" w14:textId="2818B698" w:rsidR="0089179C" w:rsidRDefault="0089179C" w:rsidP="0089179C">
      <w:pPr>
        <w:pStyle w:val="Prrafodelista"/>
        <w:numPr>
          <w:ilvl w:val="2"/>
          <w:numId w:val="1"/>
        </w:numPr>
        <w:jc w:val="both"/>
        <w:rPr>
          <w:rFonts w:ascii="Times New Roman" w:hAnsi="Times New Roman" w:cs="Times New Roman"/>
          <w:b/>
          <w:bCs/>
          <w:lang w:val="es-ES_tradnl"/>
        </w:rPr>
      </w:pPr>
      <w:r>
        <w:rPr>
          <w:rFonts w:ascii="Times New Roman" w:hAnsi="Times New Roman" w:cs="Times New Roman"/>
          <w:b/>
          <w:bCs/>
          <w:lang w:val="es-ES_tradnl"/>
        </w:rPr>
        <w:t xml:space="preserve">Incorporación de la recomendación de adoptar de medidas de </w:t>
      </w:r>
      <w:r w:rsidRPr="0089179C">
        <w:rPr>
          <w:rFonts w:ascii="Times New Roman" w:hAnsi="Times New Roman" w:cs="Times New Roman"/>
          <w:b/>
          <w:bCs/>
          <w:lang w:val="es-ES_tradnl"/>
        </w:rPr>
        <w:t>carácter legislativo, administrativo, presupuestario</w:t>
      </w:r>
      <w:r>
        <w:rPr>
          <w:rFonts w:ascii="Times New Roman" w:hAnsi="Times New Roman" w:cs="Times New Roman"/>
          <w:b/>
          <w:bCs/>
          <w:lang w:val="es-ES_tradnl"/>
        </w:rPr>
        <w:t xml:space="preserve"> o</w:t>
      </w:r>
      <w:r w:rsidRPr="0089179C">
        <w:rPr>
          <w:rFonts w:ascii="Times New Roman" w:hAnsi="Times New Roman" w:cs="Times New Roman"/>
          <w:b/>
          <w:bCs/>
          <w:lang w:val="es-ES_tradnl"/>
        </w:rPr>
        <w:t xml:space="preserve"> judicial</w:t>
      </w:r>
      <w:r>
        <w:rPr>
          <w:rFonts w:ascii="Times New Roman" w:hAnsi="Times New Roman" w:cs="Times New Roman"/>
          <w:b/>
          <w:bCs/>
          <w:lang w:val="es-ES_tradnl"/>
        </w:rPr>
        <w:t xml:space="preserve"> </w:t>
      </w:r>
      <w:r w:rsidR="00FF1312">
        <w:rPr>
          <w:rFonts w:ascii="Times New Roman" w:hAnsi="Times New Roman" w:cs="Times New Roman"/>
          <w:b/>
          <w:bCs/>
          <w:lang w:val="es-ES_tradnl"/>
        </w:rPr>
        <w:t>para efectivizar el derecho a la salud</w:t>
      </w:r>
    </w:p>
    <w:p w14:paraId="458E1037" w14:textId="2D473073" w:rsidR="00E60956" w:rsidRDefault="00E60956" w:rsidP="00E60956">
      <w:pPr>
        <w:pStyle w:val="Prrafodelista"/>
        <w:spacing w:after="0"/>
        <w:rPr>
          <w:rFonts w:ascii="Times New Roman" w:hAnsi="Times New Roman" w:cs="Times New Roman"/>
          <w:bCs/>
        </w:rPr>
      </w:pPr>
    </w:p>
    <w:p w14:paraId="4FA0F729" w14:textId="7A34E320" w:rsidR="00C00964" w:rsidRPr="00E26E0C" w:rsidRDefault="00C00964" w:rsidP="006D7BA7">
      <w:pPr>
        <w:pStyle w:val="Prrafodelista"/>
        <w:numPr>
          <w:ilvl w:val="0"/>
          <w:numId w:val="2"/>
        </w:numPr>
        <w:tabs>
          <w:tab w:val="left" w:pos="426"/>
        </w:tabs>
        <w:spacing w:after="0"/>
        <w:ind w:left="0" w:firstLine="0"/>
        <w:jc w:val="both"/>
        <w:rPr>
          <w:rFonts w:ascii="Times New Roman" w:hAnsi="Times New Roman" w:cs="Times New Roman"/>
          <w:bCs/>
          <w:lang w:val="es-PE"/>
        </w:rPr>
      </w:pPr>
      <w:r w:rsidRPr="00E26E0C">
        <w:rPr>
          <w:rFonts w:ascii="Times New Roman" w:hAnsi="Times New Roman" w:cs="Times New Roman"/>
          <w:bCs/>
        </w:rPr>
        <w:t xml:space="preserve">El Tribunal Constitucional peruano </w:t>
      </w:r>
      <w:r w:rsidR="0089179C" w:rsidRPr="00E26E0C">
        <w:rPr>
          <w:rFonts w:ascii="Times New Roman" w:hAnsi="Times New Roman" w:cs="Times New Roman"/>
          <w:bCs/>
        </w:rPr>
        <w:t xml:space="preserve">ha señalado </w:t>
      </w:r>
      <w:r w:rsidRPr="00E26E0C">
        <w:rPr>
          <w:rFonts w:ascii="Times New Roman" w:hAnsi="Times New Roman" w:cs="Times New Roman"/>
          <w:bCs/>
        </w:rPr>
        <w:t xml:space="preserve">que la realización del derecho a la salud requiere, cuando menos, </w:t>
      </w:r>
      <w:r w:rsidRPr="00E26E0C">
        <w:rPr>
          <w:rFonts w:ascii="Times New Roman" w:hAnsi="Times New Roman" w:cs="Times New Roman"/>
          <w:bCs/>
          <w:lang w:val="es-PE"/>
        </w:rPr>
        <w:t xml:space="preserve">de la adopción de </w:t>
      </w:r>
      <w:r w:rsidRPr="00E26E0C">
        <w:rPr>
          <w:rFonts w:ascii="Times New Roman" w:hAnsi="Times New Roman" w:cs="Times New Roman"/>
          <w:bCs/>
          <w:u w:val="single"/>
          <w:lang w:val="es-PE"/>
        </w:rPr>
        <w:t>medidas legislativas, económicas y técnicas</w:t>
      </w:r>
      <w:r>
        <w:rPr>
          <w:rStyle w:val="Refdenotaalpie"/>
          <w:rFonts w:ascii="Times New Roman" w:hAnsi="Times New Roman" w:cs="Times New Roman"/>
          <w:bCs/>
          <w:lang w:val="es-PE"/>
        </w:rPr>
        <w:footnoteReference w:id="11"/>
      </w:r>
      <w:r w:rsidRPr="00E26E0C">
        <w:rPr>
          <w:rFonts w:ascii="Times New Roman" w:hAnsi="Times New Roman" w:cs="Times New Roman"/>
          <w:bCs/>
          <w:lang w:val="es-PE"/>
        </w:rPr>
        <w:t>.</w:t>
      </w:r>
      <w:r w:rsidRPr="00E26E0C">
        <w:rPr>
          <w:rFonts w:ascii="Times New Roman" w:hAnsi="Times New Roman" w:cs="Times New Roman"/>
          <w:bCs/>
        </w:rPr>
        <w:t xml:space="preserve"> En ese sentido, el Estado es responsable de priorizar la recaudación y distribución presupuestal para la ejecución de políticas sociales – como las políticas en salud</w:t>
      </w:r>
      <w:r>
        <w:rPr>
          <w:rStyle w:val="Refdenotaalpie"/>
          <w:rFonts w:ascii="Times New Roman" w:hAnsi="Times New Roman" w:cs="Times New Roman"/>
          <w:bCs/>
          <w:lang w:val="es-PE"/>
        </w:rPr>
        <w:footnoteReference w:id="12"/>
      </w:r>
      <w:r w:rsidRPr="00E26E0C">
        <w:rPr>
          <w:rFonts w:ascii="Times New Roman" w:hAnsi="Times New Roman" w:cs="Times New Roman"/>
          <w:bCs/>
          <w:lang w:val="es-PE"/>
        </w:rPr>
        <w:t xml:space="preserve">. El Tribunal </w:t>
      </w:r>
      <w:r w:rsidRPr="00E26E0C">
        <w:rPr>
          <w:rFonts w:ascii="Times New Roman" w:hAnsi="Times New Roman" w:cs="Times New Roman"/>
          <w:bCs/>
        </w:rPr>
        <w:t xml:space="preserve">también ha resaltado la importancia de los servicios </w:t>
      </w:r>
      <w:r w:rsidRPr="00E26E0C">
        <w:rPr>
          <w:rFonts w:ascii="Times New Roman" w:hAnsi="Times New Roman" w:cs="Times New Roman"/>
          <w:bCs/>
          <w:lang w:val="es-PE"/>
        </w:rPr>
        <w:t>públicos</w:t>
      </w:r>
      <w:r w:rsidRPr="00E26E0C">
        <w:rPr>
          <w:rFonts w:ascii="Times New Roman" w:hAnsi="Times New Roman" w:cs="Times New Roman"/>
          <w:bCs/>
        </w:rPr>
        <w:t xml:space="preserve"> de salud pues de ellos depende el logro de mejores niveles de vida de las personas</w:t>
      </w:r>
      <w:r>
        <w:rPr>
          <w:rStyle w:val="Refdenotaalpie"/>
          <w:rFonts w:ascii="Times New Roman" w:hAnsi="Times New Roman" w:cs="Times New Roman"/>
          <w:bCs/>
        </w:rPr>
        <w:footnoteReference w:id="13"/>
      </w:r>
      <w:r w:rsidRPr="00E26E0C">
        <w:rPr>
          <w:rFonts w:ascii="Times New Roman" w:hAnsi="Times New Roman" w:cs="Times New Roman"/>
          <w:bCs/>
        </w:rPr>
        <w:t xml:space="preserve">. </w:t>
      </w:r>
      <w:r w:rsidRPr="00E26E0C">
        <w:rPr>
          <w:rFonts w:ascii="Times New Roman" w:hAnsi="Times New Roman" w:cs="Times New Roman"/>
          <w:bCs/>
          <w:lang w:val="es-PE"/>
        </w:rPr>
        <w:t xml:space="preserve">En relación a </w:t>
      </w:r>
      <w:r w:rsidR="0089179C" w:rsidRPr="00E26E0C">
        <w:rPr>
          <w:rFonts w:ascii="Times New Roman" w:hAnsi="Times New Roman" w:cs="Times New Roman"/>
          <w:bCs/>
          <w:lang w:val="es-PE"/>
        </w:rPr>
        <w:t>la práctica estatal anteriormente referida</w:t>
      </w:r>
      <w:r w:rsidRPr="00E26E0C">
        <w:rPr>
          <w:rFonts w:ascii="Times New Roman" w:hAnsi="Times New Roman" w:cs="Times New Roman"/>
          <w:bCs/>
          <w:lang w:val="es-PE"/>
        </w:rPr>
        <w:t>, se propone la siguiente incorporación en el apartado “Medidas legislativas y políticas”</w:t>
      </w:r>
      <w:r>
        <w:rPr>
          <w:rStyle w:val="Refdenotaalpie"/>
          <w:rFonts w:ascii="Times New Roman" w:hAnsi="Times New Roman" w:cs="Times New Roman"/>
          <w:bCs/>
          <w:lang w:val="es-PE"/>
        </w:rPr>
        <w:footnoteReference w:id="14"/>
      </w:r>
      <w:r w:rsidRPr="00E26E0C">
        <w:rPr>
          <w:rFonts w:ascii="Times New Roman" w:hAnsi="Times New Roman" w:cs="Times New Roman"/>
          <w:bCs/>
          <w:lang w:val="es-PE"/>
        </w:rPr>
        <w:t>:</w:t>
      </w:r>
    </w:p>
    <w:p w14:paraId="0319D132" w14:textId="5EA8DFDD" w:rsidR="00C00964" w:rsidRPr="00C00964" w:rsidRDefault="00C00964" w:rsidP="00C00964">
      <w:pPr>
        <w:pStyle w:val="Prrafodelista"/>
        <w:tabs>
          <w:tab w:val="left" w:pos="426"/>
        </w:tabs>
        <w:spacing w:after="0"/>
        <w:ind w:left="0"/>
        <w:jc w:val="both"/>
        <w:rPr>
          <w:rFonts w:ascii="Times New Roman" w:hAnsi="Times New Roman" w:cs="Times New Roman"/>
          <w:bCs/>
          <w:lang w:val="es-PE"/>
        </w:rPr>
      </w:pPr>
    </w:p>
    <w:tbl>
      <w:tblPr>
        <w:tblStyle w:val="Tablaconcuadrcula"/>
        <w:tblW w:w="0" w:type="auto"/>
        <w:tblInd w:w="988" w:type="dxa"/>
        <w:tblLook w:val="04A0" w:firstRow="1" w:lastRow="0" w:firstColumn="1" w:lastColumn="0" w:noHBand="0" w:noVBand="1"/>
      </w:tblPr>
      <w:tblGrid>
        <w:gridCol w:w="7087"/>
      </w:tblGrid>
      <w:tr w:rsidR="00C00964" w:rsidRPr="004769D9" w14:paraId="307B1D42" w14:textId="77777777" w:rsidTr="00FF1312">
        <w:tc>
          <w:tcPr>
            <w:tcW w:w="7087" w:type="dxa"/>
          </w:tcPr>
          <w:p w14:paraId="56204EC7" w14:textId="3B6E3D5D" w:rsidR="00C00964" w:rsidRPr="00C00964" w:rsidRDefault="00C00964" w:rsidP="00C00964">
            <w:pPr>
              <w:pStyle w:val="Prrafodelista"/>
              <w:numPr>
                <w:ilvl w:val="0"/>
                <w:numId w:val="12"/>
              </w:numPr>
              <w:tabs>
                <w:tab w:val="left" w:pos="426"/>
              </w:tabs>
              <w:spacing w:after="0"/>
              <w:jc w:val="both"/>
              <w:rPr>
                <w:rFonts w:ascii="Times New Roman" w:hAnsi="Times New Roman" w:cs="Times New Roman"/>
                <w:bCs/>
                <w:sz w:val="16"/>
                <w:lang w:val="es-ES_tradnl"/>
              </w:rPr>
            </w:pPr>
            <w:r w:rsidRPr="00C00964">
              <w:rPr>
                <w:rFonts w:ascii="Times New Roman" w:hAnsi="Times New Roman" w:cs="Times New Roman"/>
                <w:b/>
                <w:bCs/>
                <w:sz w:val="16"/>
                <w:lang w:val="es-ES_tradnl"/>
              </w:rPr>
              <w:t>Medidas legislativas y políticas</w:t>
            </w:r>
            <w:r>
              <w:rPr>
                <w:rFonts w:ascii="Times New Roman" w:hAnsi="Times New Roman" w:cs="Times New Roman"/>
                <w:b/>
                <w:bCs/>
                <w:sz w:val="16"/>
                <w:lang w:val="es-ES_tradnl"/>
              </w:rPr>
              <w:t>:</w:t>
            </w:r>
            <w:r w:rsidRPr="004769D9">
              <w:rPr>
                <w:rFonts w:ascii="Times New Roman" w:hAnsi="Times New Roman" w:cs="Times New Roman"/>
                <w:bCs/>
                <w:sz w:val="16"/>
                <w:lang w:val="es-ES_tradnl"/>
              </w:rPr>
              <w:t xml:space="preserve"> los Estados deben</w:t>
            </w:r>
            <w:r>
              <w:rPr>
                <w:rFonts w:ascii="Times New Roman" w:hAnsi="Times New Roman" w:cs="Times New Roman"/>
                <w:bCs/>
                <w:sz w:val="16"/>
                <w:lang w:val="es-ES_tradnl"/>
              </w:rPr>
              <w:t xml:space="preserve"> </w:t>
            </w:r>
            <w:r w:rsidRPr="00D92061">
              <w:rPr>
                <w:rFonts w:ascii="Times New Roman" w:hAnsi="Times New Roman" w:cs="Times New Roman"/>
                <w:bCs/>
                <w:sz w:val="16"/>
                <w:lang w:val="es-ES_tradnl"/>
              </w:rPr>
              <w:t xml:space="preserve">adoptar medidas de </w:t>
            </w:r>
            <w:r w:rsidRPr="00FA142A">
              <w:rPr>
                <w:rFonts w:ascii="Times New Roman" w:hAnsi="Times New Roman" w:cs="Times New Roman"/>
                <w:b/>
                <w:bCs/>
                <w:sz w:val="16"/>
                <w:lang w:val="es-ES_tradnl"/>
              </w:rPr>
              <w:t>carácter legislativo, administrativo, presupuestario, judicial o de otra índole</w:t>
            </w:r>
            <w:r w:rsidRPr="00D92061">
              <w:rPr>
                <w:rFonts w:ascii="Times New Roman" w:hAnsi="Times New Roman" w:cs="Times New Roman"/>
                <w:bCs/>
                <w:sz w:val="16"/>
                <w:lang w:val="es-ES_tradnl"/>
              </w:rPr>
              <w:t xml:space="preserve"> para dar plena efectividad al derecho a la </w:t>
            </w:r>
            <w:r w:rsidRPr="00D92061">
              <w:rPr>
                <w:rFonts w:ascii="Times New Roman" w:hAnsi="Times New Roman" w:cs="Times New Roman"/>
                <w:bCs/>
                <w:sz w:val="16"/>
                <w:lang w:val="es-ES_tradnl"/>
              </w:rPr>
              <w:lastRenderedPageBreak/>
              <w:t>salud. Ello incluye la organización del servicio público correspondiente que haga posible el disfrute del derecho.</w:t>
            </w:r>
          </w:p>
        </w:tc>
      </w:tr>
    </w:tbl>
    <w:p w14:paraId="616F6CBD" w14:textId="08B3ADDC" w:rsidR="00C00964" w:rsidRDefault="00C00964" w:rsidP="00C00964">
      <w:pPr>
        <w:tabs>
          <w:tab w:val="left" w:pos="426"/>
        </w:tabs>
        <w:spacing w:after="0"/>
        <w:jc w:val="both"/>
        <w:rPr>
          <w:rFonts w:ascii="Times New Roman" w:hAnsi="Times New Roman" w:cs="Times New Roman"/>
          <w:bCs/>
        </w:rPr>
      </w:pPr>
    </w:p>
    <w:p w14:paraId="029AD395" w14:textId="07FE206E" w:rsidR="0089179C" w:rsidRPr="0089179C" w:rsidRDefault="0089179C" w:rsidP="0089179C">
      <w:pPr>
        <w:pStyle w:val="Prrafodelista"/>
        <w:numPr>
          <w:ilvl w:val="2"/>
          <w:numId w:val="1"/>
        </w:numPr>
        <w:jc w:val="both"/>
        <w:rPr>
          <w:rFonts w:ascii="Times New Roman" w:hAnsi="Times New Roman" w:cs="Times New Roman"/>
          <w:b/>
          <w:bCs/>
          <w:lang w:val="es-ES_tradnl"/>
        </w:rPr>
      </w:pPr>
      <w:r>
        <w:rPr>
          <w:rFonts w:ascii="Times New Roman" w:hAnsi="Times New Roman" w:cs="Times New Roman"/>
          <w:b/>
          <w:bCs/>
          <w:lang w:val="es-ES_tradnl"/>
        </w:rPr>
        <w:t xml:space="preserve">Incorporación de la recomendación de </w:t>
      </w:r>
      <w:r w:rsidR="00FF1312">
        <w:rPr>
          <w:rFonts w:ascii="Times New Roman" w:hAnsi="Times New Roman" w:cs="Times New Roman"/>
          <w:b/>
          <w:bCs/>
          <w:lang w:val="es-ES_tradnl"/>
        </w:rPr>
        <w:t>adoptar medidas para facilitar, proporcionar, promover y sensibilizar sobre el derecho a la salud</w:t>
      </w:r>
    </w:p>
    <w:p w14:paraId="5EE8547D" w14:textId="77777777" w:rsidR="0089179C" w:rsidRDefault="0089179C" w:rsidP="0089179C">
      <w:pPr>
        <w:pStyle w:val="Prrafodelista"/>
        <w:tabs>
          <w:tab w:val="left" w:pos="426"/>
        </w:tabs>
        <w:spacing w:after="0"/>
        <w:ind w:left="0"/>
        <w:jc w:val="both"/>
        <w:rPr>
          <w:rFonts w:ascii="Times New Roman" w:hAnsi="Times New Roman" w:cs="Times New Roman"/>
          <w:bCs/>
        </w:rPr>
      </w:pPr>
    </w:p>
    <w:p w14:paraId="4A7A3D64" w14:textId="61BDA538" w:rsidR="00C64133" w:rsidRDefault="0089179C" w:rsidP="00443468">
      <w:pPr>
        <w:pStyle w:val="Prrafodelista"/>
        <w:numPr>
          <w:ilvl w:val="0"/>
          <w:numId w:val="2"/>
        </w:numPr>
        <w:tabs>
          <w:tab w:val="left" w:pos="426"/>
        </w:tabs>
        <w:spacing w:after="0"/>
        <w:ind w:left="0" w:firstLine="0"/>
        <w:jc w:val="both"/>
        <w:rPr>
          <w:rFonts w:ascii="Times New Roman" w:hAnsi="Times New Roman" w:cs="Times New Roman"/>
          <w:bCs/>
        </w:rPr>
      </w:pPr>
      <w:r>
        <w:rPr>
          <w:rFonts w:ascii="Times New Roman" w:hAnsi="Times New Roman" w:cs="Times New Roman"/>
          <w:bCs/>
        </w:rPr>
        <w:t>E</w:t>
      </w:r>
      <w:r w:rsidR="00C64133">
        <w:rPr>
          <w:rFonts w:ascii="Times New Roman" w:hAnsi="Times New Roman" w:cs="Times New Roman"/>
          <w:bCs/>
        </w:rPr>
        <w:t xml:space="preserve">l </w:t>
      </w:r>
      <w:r>
        <w:rPr>
          <w:rFonts w:ascii="Times New Roman" w:hAnsi="Times New Roman" w:cs="Times New Roman"/>
          <w:bCs/>
        </w:rPr>
        <w:t>Supremo Intérprete constitucional peruano</w:t>
      </w:r>
      <w:r w:rsidR="00C64133">
        <w:rPr>
          <w:rFonts w:ascii="Times New Roman" w:hAnsi="Times New Roman" w:cs="Times New Roman"/>
          <w:bCs/>
        </w:rPr>
        <w:t xml:space="preserve"> también ha </w:t>
      </w:r>
      <w:r w:rsidR="00EF18EB">
        <w:rPr>
          <w:rFonts w:ascii="Times New Roman" w:hAnsi="Times New Roman" w:cs="Times New Roman"/>
          <w:bCs/>
        </w:rPr>
        <w:t>mencionad</w:t>
      </w:r>
      <w:r w:rsidR="00C64133">
        <w:rPr>
          <w:rFonts w:ascii="Times New Roman" w:hAnsi="Times New Roman" w:cs="Times New Roman"/>
          <w:bCs/>
        </w:rPr>
        <w:t>o que los servicios de salud deben ser brindados con p</w:t>
      </w:r>
      <w:r w:rsidR="00C64133" w:rsidRPr="00C64133">
        <w:rPr>
          <w:rFonts w:ascii="Times New Roman" w:hAnsi="Times New Roman" w:cs="Times New Roman"/>
          <w:bCs/>
          <w:lang w:val="es-PE"/>
        </w:rPr>
        <w:t xml:space="preserve">restaciones que supongan la </w:t>
      </w:r>
      <w:r w:rsidR="00C64133" w:rsidRPr="00C64133">
        <w:rPr>
          <w:rFonts w:ascii="Times New Roman" w:hAnsi="Times New Roman" w:cs="Times New Roman"/>
          <w:bCs/>
          <w:u w:val="single"/>
          <w:lang w:val="es-PE"/>
        </w:rPr>
        <w:t>promoción, prevención, recuperación y rehabilitación de la salud</w:t>
      </w:r>
      <w:r w:rsidR="00C64133" w:rsidRPr="00C64133">
        <w:rPr>
          <w:rFonts w:ascii="Times New Roman" w:hAnsi="Times New Roman" w:cs="Times New Roman"/>
          <w:bCs/>
          <w:lang w:val="es-PE"/>
        </w:rPr>
        <w:t>, en condiciones adecuadas de calidad, oportunidad, aceptabilidad y accesibilidad física y económica, en tanto elementos esenciales de la atención sanitaria</w:t>
      </w:r>
      <w:r w:rsidR="00C64133">
        <w:rPr>
          <w:rStyle w:val="Refdenotaalpie"/>
          <w:rFonts w:ascii="Times New Roman" w:hAnsi="Times New Roman" w:cs="Times New Roman"/>
          <w:bCs/>
          <w:lang w:val="es-PE"/>
        </w:rPr>
        <w:footnoteReference w:id="15"/>
      </w:r>
      <w:r w:rsidR="00643DE0">
        <w:rPr>
          <w:rFonts w:ascii="Times New Roman" w:hAnsi="Times New Roman" w:cs="Times New Roman"/>
          <w:bCs/>
          <w:lang w:val="es-PE"/>
        </w:rPr>
        <w:t xml:space="preserve">. </w:t>
      </w:r>
      <w:r>
        <w:rPr>
          <w:rFonts w:ascii="Times New Roman" w:hAnsi="Times New Roman" w:cs="Times New Roman"/>
          <w:bCs/>
        </w:rPr>
        <w:t>Bajo dicho marco</w:t>
      </w:r>
      <w:r w:rsidR="00EC141A">
        <w:rPr>
          <w:rFonts w:ascii="Times New Roman" w:hAnsi="Times New Roman" w:cs="Times New Roman"/>
          <w:bCs/>
        </w:rPr>
        <w:t xml:space="preserve"> nacional</w:t>
      </w:r>
      <w:r w:rsidR="00643DE0">
        <w:rPr>
          <w:rFonts w:ascii="Times New Roman" w:hAnsi="Times New Roman" w:cs="Times New Roman"/>
          <w:bCs/>
        </w:rPr>
        <w:t>,</w:t>
      </w:r>
      <w:r>
        <w:rPr>
          <w:rFonts w:ascii="Times New Roman" w:hAnsi="Times New Roman" w:cs="Times New Roman"/>
          <w:bCs/>
        </w:rPr>
        <w:t xml:space="preserve"> desde el Estado peruano</w:t>
      </w:r>
      <w:r w:rsidR="00643DE0">
        <w:rPr>
          <w:rFonts w:ascii="Times New Roman" w:hAnsi="Times New Roman" w:cs="Times New Roman"/>
          <w:bCs/>
        </w:rPr>
        <w:t xml:space="preserve"> se propone la incorporación de lo siguiente</w:t>
      </w:r>
      <w:r w:rsidR="00643DE0">
        <w:rPr>
          <w:rStyle w:val="Refdenotaalpie"/>
          <w:rFonts w:ascii="Times New Roman" w:hAnsi="Times New Roman" w:cs="Times New Roman"/>
          <w:bCs/>
          <w:lang w:val="es-PE"/>
        </w:rPr>
        <w:footnoteReference w:id="16"/>
      </w:r>
      <w:r w:rsidR="00643DE0">
        <w:rPr>
          <w:rFonts w:ascii="Times New Roman" w:hAnsi="Times New Roman" w:cs="Times New Roman"/>
          <w:bCs/>
          <w:lang w:val="es-PE"/>
        </w:rPr>
        <w:t>:</w:t>
      </w:r>
    </w:p>
    <w:p w14:paraId="7D1708F6" w14:textId="77BFB71B" w:rsidR="00643DE0" w:rsidRDefault="00643DE0" w:rsidP="00643DE0">
      <w:pPr>
        <w:pStyle w:val="Prrafodelista"/>
        <w:tabs>
          <w:tab w:val="left" w:pos="426"/>
        </w:tabs>
        <w:spacing w:after="0"/>
        <w:ind w:left="0"/>
        <w:jc w:val="both"/>
        <w:rPr>
          <w:rFonts w:ascii="Times New Roman" w:hAnsi="Times New Roman" w:cs="Times New Roman"/>
          <w:bCs/>
        </w:rPr>
      </w:pPr>
    </w:p>
    <w:tbl>
      <w:tblPr>
        <w:tblStyle w:val="Tablaconcuadrcula"/>
        <w:tblW w:w="0" w:type="auto"/>
        <w:tblInd w:w="988" w:type="dxa"/>
        <w:tblLook w:val="04A0" w:firstRow="1" w:lastRow="0" w:firstColumn="1" w:lastColumn="0" w:noHBand="0" w:noVBand="1"/>
      </w:tblPr>
      <w:tblGrid>
        <w:gridCol w:w="7087"/>
      </w:tblGrid>
      <w:tr w:rsidR="00643DE0" w14:paraId="3A87DE29" w14:textId="77777777" w:rsidTr="00FF1312">
        <w:tc>
          <w:tcPr>
            <w:tcW w:w="7087" w:type="dxa"/>
          </w:tcPr>
          <w:p w14:paraId="3E4EB181" w14:textId="77777777" w:rsidR="00643DE0" w:rsidRDefault="00643DE0" w:rsidP="00643DE0">
            <w:pPr>
              <w:pStyle w:val="Prrafodelista"/>
              <w:numPr>
                <w:ilvl w:val="0"/>
                <w:numId w:val="12"/>
              </w:numPr>
              <w:tabs>
                <w:tab w:val="left" w:pos="426"/>
              </w:tabs>
              <w:spacing w:after="0"/>
              <w:jc w:val="both"/>
              <w:rPr>
                <w:rFonts w:ascii="Times New Roman" w:hAnsi="Times New Roman" w:cs="Times New Roman"/>
                <w:bCs/>
                <w:sz w:val="16"/>
                <w:lang w:val="es-ES_tradnl"/>
              </w:rPr>
            </w:pPr>
            <w:r w:rsidRPr="00C00964">
              <w:rPr>
                <w:rFonts w:ascii="Times New Roman" w:hAnsi="Times New Roman" w:cs="Times New Roman"/>
                <w:b/>
                <w:bCs/>
                <w:sz w:val="16"/>
                <w:lang w:val="es-ES_tradnl"/>
              </w:rPr>
              <w:t>Medidas legislativas y políticas</w:t>
            </w:r>
            <w:r>
              <w:rPr>
                <w:rFonts w:ascii="Times New Roman" w:hAnsi="Times New Roman" w:cs="Times New Roman"/>
                <w:b/>
                <w:bCs/>
                <w:sz w:val="16"/>
                <w:lang w:val="es-ES_tradnl"/>
              </w:rPr>
              <w:t>:</w:t>
            </w:r>
            <w:r w:rsidRPr="004769D9">
              <w:rPr>
                <w:rFonts w:ascii="Times New Roman" w:hAnsi="Times New Roman" w:cs="Times New Roman"/>
                <w:bCs/>
                <w:sz w:val="16"/>
                <w:lang w:val="es-ES_tradnl"/>
              </w:rPr>
              <w:t xml:space="preserve"> se deben incorporar obligaciones de </w:t>
            </w:r>
            <w:r w:rsidRPr="00643DE0">
              <w:rPr>
                <w:rFonts w:ascii="Times New Roman" w:hAnsi="Times New Roman" w:cs="Times New Roman"/>
                <w:b/>
                <w:bCs/>
                <w:sz w:val="16"/>
                <w:lang w:val="es-ES_tradnl"/>
              </w:rPr>
              <w:t>f</w:t>
            </w:r>
            <w:r w:rsidRPr="004769D9">
              <w:rPr>
                <w:rFonts w:ascii="Times New Roman" w:hAnsi="Times New Roman" w:cs="Times New Roman"/>
                <w:b/>
                <w:bCs/>
                <w:sz w:val="16"/>
                <w:lang w:val="es-ES_tradnl"/>
              </w:rPr>
              <w:t>acilitar, proporcionar y promover el derecho a la salud</w:t>
            </w:r>
            <w:r w:rsidRPr="004769D9">
              <w:rPr>
                <w:rFonts w:ascii="Times New Roman" w:hAnsi="Times New Roman" w:cs="Times New Roman"/>
                <w:bCs/>
                <w:sz w:val="16"/>
                <w:lang w:val="es-ES_tradnl"/>
              </w:rPr>
              <w:t xml:space="preserve">. </w:t>
            </w:r>
            <w:r>
              <w:rPr>
                <w:rFonts w:ascii="Times New Roman" w:hAnsi="Times New Roman" w:cs="Times New Roman"/>
                <w:bCs/>
                <w:sz w:val="16"/>
                <w:lang w:val="es-ES_tradnl"/>
              </w:rPr>
              <w:t>Es</w:t>
            </w:r>
            <w:r w:rsidRPr="004769D9">
              <w:rPr>
                <w:rFonts w:ascii="Times New Roman" w:hAnsi="Times New Roman" w:cs="Times New Roman"/>
                <w:bCs/>
                <w:sz w:val="16"/>
                <w:lang w:val="es-ES_tradnl"/>
              </w:rPr>
              <w:t xml:space="preserve"> importante considerar también las medidas para impedir que</w:t>
            </w:r>
            <w:r>
              <w:rPr>
                <w:rFonts w:ascii="Times New Roman" w:hAnsi="Times New Roman" w:cs="Times New Roman"/>
                <w:bCs/>
                <w:sz w:val="16"/>
                <w:lang w:val="es-ES_tradnl"/>
              </w:rPr>
              <w:t xml:space="preserve"> </w:t>
            </w:r>
            <w:r w:rsidRPr="004769D9">
              <w:rPr>
                <w:rFonts w:ascii="Times New Roman" w:hAnsi="Times New Roman" w:cs="Times New Roman"/>
                <w:bCs/>
                <w:sz w:val="16"/>
                <w:lang w:val="es-ES_tradnl"/>
              </w:rPr>
              <w:t>terceros interfieran u obstaculicen el disfrute del derecho a la salud. Los estados deben vigilar</w:t>
            </w:r>
            <w:r>
              <w:rPr>
                <w:rFonts w:ascii="Times New Roman" w:hAnsi="Times New Roman" w:cs="Times New Roman"/>
                <w:bCs/>
                <w:sz w:val="16"/>
                <w:lang w:val="es-ES_tradnl"/>
              </w:rPr>
              <w:t xml:space="preserve"> </w:t>
            </w:r>
            <w:r w:rsidRPr="004769D9">
              <w:rPr>
                <w:rFonts w:ascii="Times New Roman" w:hAnsi="Times New Roman" w:cs="Times New Roman"/>
                <w:bCs/>
                <w:sz w:val="16"/>
                <w:lang w:val="es-ES_tradnl"/>
              </w:rPr>
              <w:t>y controlar las actividades de agentes particulares y públicos encargados de la prestación de</w:t>
            </w:r>
            <w:r>
              <w:rPr>
                <w:rFonts w:ascii="Times New Roman" w:hAnsi="Times New Roman" w:cs="Times New Roman"/>
                <w:bCs/>
                <w:sz w:val="16"/>
                <w:lang w:val="es-ES_tradnl"/>
              </w:rPr>
              <w:t xml:space="preserve"> </w:t>
            </w:r>
            <w:r w:rsidRPr="004769D9">
              <w:rPr>
                <w:rFonts w:ascii="Times New Roman" w:hAnsi="Times New Roman" w:cs="Times New Roman"/>
                <w:bCs/>
                <w:sz w:val="16"/>
                <w:lang w:val="es-ES_tradnl"/>
              </w:rPr>
              <w:t>servicios de salud, así como de agentes cuya actividad genere efectos perjudiciales para la</w:t>
            </w:r>
            <w:r>
              <w:rPr>
                <w:rFonts w:ascii="Times New Roman" w:hAnsi="Times New Roman" w:cs="Times New Roman"/>
                <w:bCs/>
                <w:sz w:val="16"/>
                <w:lang w:val="es-ES_tradnl"/>
              </w:rPr>
              <w:t xml:space="preserve"> </w:t>
            </w:r>
            <w:r w:rsidRPr="004769D9">
              <w:rPr>
                <w:rFonts w:ascii="Times New Roman" w:hAnsi="Times New Roman" w:cs="Times New Roman"/>
                <w:bCs/>
                <w:sz w:val="16"/>
                <w:lang w:val="es-ES_tradnl"/>
              </w:rPr>
              <w:t>realización del derecho a la salud.</w:t>
            </w:r>
          </w:p>
          <w:p w14:paraId="128CB1A6" w14:textId="7B267541" w:rsidR="00643DE0" w:rsidRPr="004769D9" w:rsidRDefault="00643DE0" w:rsidP="00E26E0C">
            <w:pPr>
              <w:pStyle w:val="Prrafodelista"/>
              <w:tabs>
                <w:tab w:val="left" w:pos="426"/>
              </w:tabs>
              <w:spacing w:after="0"/>
              <w:ind w:left="360"/>
              <w:jc w:val="both"/>
              <w:rPr>
                <w:rFonts w:ascii="Times New Roman" w:hAnsi="Times New Roman" w:cs="Times New Roman"/>
                <w:bCs/>
                <w:sz w:val="16"/>
                <w:lang w:val="es-ES_tradnl"/>
              </w:rPr>
            </w:pPr>
            <w:r>
              <w:rPr>
                <w:rFonts w:ascii="Times New Roman" w:hAnsi="Times New Roman" w:cs="Times New Roman"/>
                <w:bCs/>
                <w:sz w:val="16"/>
                <w:lang w:val="es-ES_tradnl"/>
              </w:rPr>
              <w:t xml:space="preserve"> </w:t>
            </w:r>
          </w:p>
        </w:tc>
      </w:tr>
    </w:tbl>
    <w:p w14:paraId="10E07CD3" w14:textId="2613E7C4" w:rsidR="00643DE0" w:rsidRDefault="00643DE0" w:rsidP="00643DE0">
      <w:pPr>
        <w:pStyle w:val="Prrafodelista"/>
        <w:tabs>
          <w:tab w:val="left" w:pos="426"/>
        </w:tabs>
        <w:spacing w:after="0"/>
        <w:ind w:left="0"/>
        <w:jc w:val="both"/>
        <w:rPr>
          <w:rFonts w:ascii="Times New Roman" w:hAnsi="Times New Roman" w:cs="Times New Roman"/>
          <w:bCs/>
        </w:rPr>
      </w:pPr>
    </w:p>
    <w:p w14:paraId="64AF1D99" w14:textId="27CA7A62" w:rsidR="00FF1312" w:rsidRPr="00FF1312" w:rsidRDefault="00FF1312" w:rsidP="00FF1312">
      <w:pPr>
        <w:pStyle w:val="Prrafodelista"/>
        <w:numPr>
          <w:ilvl w:val="2"/>
          <w:numId w:val="1"/>
        </w:numPr>
        <w:jc w:val="both"/>
        <w:rPr>
          <w:rFonts w:ascii="Times New Roman" w:hAnsi="Times New Roman" w:cs="Times New Roman"/>
          <w:b/>
          <w:bCs/>
          <w:lang w:val="es-ES_tradnl"/>
        </w:rPr>
      </w:pPr>
      <w:r>
        <w:rPr>
          <w:rFonts w:ascii="Times New Roman" w:hAnsi="Times New Roman" w:cs="Times New Roman"/>
          <w:b/>
          <w:bCs/>
          <w:lang w:val="es-ES_tradnl"/>
        </w:rPr>
        <w:t>Incorporación de la recomendación de establecer mecanismos de presentación de insatisfacciones durante la atención en establecimientos de salud</w:t>
      </w:r>
    </w:p>
    <w:p w14:paraId="61D79249" w14:textId="77777777" w:rsidR="00FF1312" w:rsidRDefault="00FF1312" w:rsidP="00643DE0">
      <w:pPr>
        <w:pStyle w:val="Prrafodelista"/>
        <w:tabs>
          <w:tab w:val="left" w:pos="426"/>
        </w:tabs>
        <w:spacing w:after="0"/>
        <w:ind w:left="0"/>
        <w:jc w:val="both"/>
        <w:rPr>
          <w:rFonts w:ascii="Times New Roman" w:hAnsi="Times New Roman" w:cs="Times New Roman"/>
          <w:bCs/>
        </w:rPr>
      </w:pPr>
    </w:p>
    <w:p w14:paraId="6027D62C" w14:textId="372350F9" w:rsidR="00C00964" w:rsidRPr="00C00964" w:rsidRDefault="00FF1312" w:rsidP="00E60956">
      <w:pPr>
        <w:pStyle w:val="Prrafodelista"/>
        <w:numPr>
          <w:ilvl w:val="0"/>
          <w:numId w:val="2"/>
        </w:numPr>
        <w:tabs>
          <w:tab w:val="left" w:pos="426"/>
        </w:tabs>
        <w:spacing w:after="0"/>
        <w:ind w:left="0" w:firstLine="0"/>
        <w:jc w:val="both"/>
        <w:rPr>
          <w:rFonts w:ascii="Times New Roman" w:hAnsi="Times New Roman" w:cs="Times New Roman"/>
          <w:bCs/>
          <w:lang w:val="es-PE"/>
        </w:rPr>
      </w:pPr>
      <w:r>
        <w:rPr>
          <w:rFonts w:ascii="Times New Roman" w:hAnsi="Times New Roman" w:cs="Times New Roman"/>
          <w:bCs/>
          <w:lang w:val="es-PE"/>
        </w:rPr>
        <w:t xml:space="preserve">El Reglamento de la </w:t>
      </w:r>
      <w:r w:rsidRPr="00FF1312">
        <w:rPr>
          <w:rFonts w:ascii="Times New Roman" w:hAnsi="Times New Roman" w:cs="Times New Roman"/>
          <w:bCs/>
          <w:lang w:val="es-PE"/>
        </w:rPr>
        <w:t>Ley que establece los Derechos de las Personas Usuarias de los Servicios de Salud</w:t>
      </w:r>
      <w:r>
        <w:rPr>
          <w:rFonts w:ascii="Times New Roman" w:hAnsi="Times New Roman" w:cs="Times New Roman"/>
          <w:bCs/>
          <w:lang w:val="es-PE"/>
        </w:rPr>
        <w:t xml:space="preserve"> establece, a nivel nacional, el derecho de presentar reclamos y quejas en caso de disco</w:t>
      </w:r>
      <w:r w:rsidR="00CA7926">
        <w:rPr>
          <w:rFonts w:ascii="Times New Roman" w:hAnsi="Times New Roman" w:cs="Times New Roman"/>
          <w:bCs/>
          <w:lang w:val="es-PE"/>
        </w:rPr>
        <w:t>n</w:t>
      </w:r>
      <w:r>
        <w:rPr>
          <w:rFonts w:ascii="Times New Roman" w:hAnsi="Times New Roman" w:cs="Times New Roman"/>
          <w:bCs/>
          <w:lang w:val="es-PE"/>
        </w:rPr>
        <w:t>formidad con la atención recibida</w:t>
      </w:r>
      <w:r>
        <w:rPr>
          <w:rStyle w:val="Refdenotaalpie"/>
          <w:rFonts w:ascii="Times New Roman" w:hAnsi="Times New Roman" w:cs="Times New Roman"/>
          <w:bCs/>
          <w:lang w:val="es-PE"/>
        </w:rPr>
        <w:footnoteReference w:id="17"/>
      </w:r>
      <w:r>
        <w:rPr>
          <w:rFonts w:ascii="Times New Roman" w:hAnsi="Times New Roman" w:cs="Times New Roman"/>
          <w:bCs/>
          <w:lang w:val="es-PE"/>
        </w:rPr>
        <w:t xml:space="preserve">, derecho que debe poder ser ejercido sin discriminación. En dicha línea, </w:t>
      </w:r>
      <w:r>
        <w:rPr>
          <w:rFonts w:ascii="Times New Roman" w:hAnsi="Times New Roman" w:cs="Times New Roman"/>
          <w:bCs/>
        </w:rPr>
        <w:t>se propone la incorporación de lo siguiente</w:t>
      </w:r>
      <w:r>
        <w:rPr>
          <w:rStyle w:val="Refdenotaalpie"/>
          <w:rFonts w:ascii="Times New Roman" w:hAnsi="Times New Roman" w:cs="Times New Roman"/>
          <w:bCs/>
          <w:lang w:val="es-PE"/>
        </w:rPr>
        <w:footnoteReference w:id="18"/>
      </w:r>
      <w:r>
        <w:rPr>
          <w:rFonts w:ascii="Times New Roman" w:hAnsi="Times New Roman" w:cs="Times New Roman"/>
          <w:bCs/>
          <w:lang w:val="es-PE"/>
        </w:rPr>
        <w:t>:</w:t>
      </w:r>
    </w:p>
    <w:p w14:paraId="7B8F29D7" w14:textId="77777777" w:rsidR="00C00964" w:rsidRPr="00443468" w:rsidRDefault="00C00964" w:rsidP="00443468">
      <w:pPr>
        <w:tabs>
          <w:tab w:val="left" w:pos="426"/>
        </w:tabs>
        <w:spacing w:after="0"/>
        <w:jc w:val="both"/>
        <w:rPr>
          <w:rFonts w:ascii="Times New Roman" w:hAnsi="Times New Roman" w:cs="Times New Roman"/>
          <w:bCs/>
        </w:rPr>
      </w:pPr>
    </w:p>
    <w:tbl>
      <w:tblPr>
        <w:tblStyle w:val="Tablaconcuadrcula"/>
        <w:tblW w:w="0" w:type="auto"/>
        <w:tblInd w:w="988" w:type="dxa"/>
        <w:tblLook w:val="04A0" w:firstRow="1" w:lastRow="0" w:firstColumn="1" w:lastColumn="0" w:noHBand="0" w:noVBand="1"/>
      </w:tblPr>
      <w:tblGrid>
        <w:gridCol w:w="7087"/>
      </w:tblGrid>
      <w:tr w:rsidR="00443468" w14:paraId="64F4E499" w14:textId="77777777" w:rsidTr="00FF1312">
        <w:tc>
          <w:tcPr>
            <w:tcW w:w="7087" w:type="dxa"/>
          </w:tcPr>
          <w:p w14:paraId="34B6FBB8" w14:textId="77777777" w:rsidR="00443468" w:rsidRDefault="00443468" w:rsidP="00FF1312">
            <w:pPr>
              <w:pStyle w:val="Prrafodelista"/>
              <w:tabs>
                <w:tab w:val="left" w:pos="426"/>
              </w:tabs>
              <w:spacing w:after="0"/>
              <w:ind w:left="0"/>
              <w:jc w:val="both"/>
              <w:rPr>
                <w:rFonts w:ascii="Times New Roman" w:hAnsi="Times New Roman" w:cs="Times New Roman"/>
                <w:bCs/>
                <w:sz w:val="16"/>
                <w:lang w:val="es-ES_tradnl"/>
              </w:rPr>
            </w:pPr>
          </w:p>
          <w:p w14:paraId="6AE38F5B" w14:textId="38C4E0EF" w:rsidR="00443468" w:rsidRDefault="00FF1312" w:rsidP="00FF1312">
            <w:pPr>
              <w:pStyle w:val="Prrafodelista"/>
              <w:numPr>
                <w:ilvl w:val="0"/>
                <w:numId w:val="12"/>
              </w:numPr>
              <w:tabs>
                <w:tab w:val="left" w:pos="426"/>
              </w:tabs>
              <w:spacing w:after="0"/>
              <w:jc w:val="both"/>
              <w:rPr>
                <w:rFonts w:ascii="Times New Roman" w:hAnsi="Times New Roman" w:cs="Times New Roman"/>
                <w:bCs/>
                <w:sz w:val="16"/>
                <w:lang w:val="es-ES_tradnl"/>
              </w:rPr>
            </w:pPr>
            <w:r w:rsidRPr="00C00964">
              <w:rPr>
                <w:rFonts w:ascii="Times New Roman" w:hAnsi="Times New Roman" w:cs="Times New Roman"/>
                <w:b/>
                <w:bCs/>
                <w:sz w:val="16"/>
                <w:lang w:val="es-ES_tradnl"/>
              </w:rPr>
              <w:t>Medidas legislativas y políticas</w:t>
            </w:r>
            <w:r>
              <w:rPr>
                <w:rFonts w:ascii="Times New Roman" w:hAnsi="Times New Roman" w:cs="Times New Roman"/>
                <w:b/>
                <w:bCs/>
                <w:sz w:val="16"/>
                <w:lang w:val="es-ES_tradnl"/>
              </w:rPr>
              <w:t>:</w:t>
            </w:r>
            <w:r w:rsidRPr="004769D9">
              <w:rPr>
                <w:rFonts w:ascii="Times New Roman" w:hAnsi="Times New Roman" w:cs="Times New Roman"/>
                <w:bCs/>
                <w:sz w:val="16"/>
                <w:lang w:val="es-ES_tradnl"/>
              </w:rPr>
              <w:t xml:space="preserve"> </w:t>
            </w:r>
            <w:r>
              <w:rPr>
                <w:rFonts w:ascii="Times New Roman" w:hAnsi="Times New Roman" w:cs="Times New Roman"/>
                <w:bCs/>
                <w:sz w:val="16"/>
                <w:lang w:val="es-ES_tradnl"/>
              </w:rPr>
              <w:t>l</w:t>
            </w:r>
            <w:r w:rsidR="00443468" w:rsidRPr="004769D9">
              <w:rPr>
                <w:rFonts w:ascii="Times New Roman" w:hAnsi="Times New Roman" w:cs="Times New Roman"/>
                <w:bCs/>
                <w:sz w:val="16"/>
                <w:lang w:val="es-ES_tradnl"/>
              </w:rPr>
              <w:t>os Estados deberán establecer mecanismos de atención que permitan a los usuarios de los</w:t>
            </w:r>
            <w:r w:rsidR="00443468">
              <w:rPr>
                <w:rFonts w:ascii="Times New Roman" w:hAnsi="Times New Roman" w:cs="Times New Roman"/>
                <w:bCs/>
                <w:sz w:val="16"/>
                <w:lang w:val="es-ES_tradnl"/>
              </w:rPr>
              <w:t xml:space="preserve"> </w:t>
            </w:r>
            <w:r w:rsidR="00443468" w:rsidRPr="004769D9">
              <w:rPr>
                <w:rFonts w:ascii="Times New Roman" w:hAnsi="Times New Roman" w:cs="Times New Roman"/>
                <w:bCs/>
                <w:sz w:val="16"/>
                <w:lang w:val="es-ES_tradnl"/>
              </w:rPr>
              <w:t>servicios de salud, ciudadanos, no ciudadanos, migrantes, refugiados, solicitantes de asilo y</w:t>
            </w:r>
            <w:r w:rsidR="00443468">
              <w:rPr>
                <w:rFonts w:ascii="Times New Roman" w:hAnsi="Times New Roman" w:cs="Times New Roman"/>
                <w:bCs/>
                <w:sz w:val="16"/>
                <w:lang w:val="es-ES_tradnl"/>
              </w:rPr>
              <w:t xml:space="preserve"> </w:t>
            </w:r>
            <w:r w:rsidR="00443468" w:rsidRPr="004769D9">
              <w:rPr>
                <w:rFonts w:ascii="Times New Roman" w:hAnsi="Times New Roman" w:cs="Times New Roman"/>
                <w:bCs/>
                <w:sz w:val="16"/>
                <w:lang w:val="es-ES_tradnl"/>
              </w:rPr>
              <w:t xml:space="preserve">apátridas, </w:t>
            </w:r>
            <w:r w:rsidR="00443468" w:rsidRPr="00FA142A">
              <w:rPr>
                <w:rFonts w:ascii="Times New Roman" w:hAnsi="Times New Roman" w:cs="Times New Roman"/>
                <w:b/>
                <w:bCs/>
                <w:sz w:val="16"/>
                <w:lang w:val="es-ES_tradnl"/>
              </w:rPr>
              <w:t xml:space="preserve">presentar sus insatisfacciones y/o disconformidades durante la atención en establecimientos de salud </w:t>
            </w:r>
            <w:r w:rsidR="00443468" w:rsidRPr="004769D9">
              <w:rPr>
                <w:rFonts w:ascii="Times New Roman" w:hAnsi="Times New Roman" w:cs="Times New Roman"/>
                <w:bCs/>
                <w:sz w:val="16"/>
                <w:lang w:val="es-ES_tradnl"/>
              </w:rPr>
              <w:t xml:space="preserve">con el fin de garantizar el derecho a la salud, </w:t>
            </w:r>
            <w:r w:rsidR="00443468" w:rsidRPr="00FA142A">
              <w:rPr>
                <w:rFonts w:ascii="Times New Roman" w:hAnsi="Times New Roman" w:cs="Times New Roman"/>
                <w:b/>
                <w:bCs/>
                <w:sz w:val="16"/>
                <w:lang w:val="es-ES_tradnl"/>
              </w:rPr>
              <w:t>teniendo en cuenta el idioma y otras barreras culturales</w:t>
            </w:r>
            <w:r w:rsidR="00443468" w:rsidRPr="004769D9">
              <w:rPr>
                <w:rFonts w:ascii="Times New Roman" w:hAnsi="Times New Roman" w:cs="Times New Roman"/>
                <w:bCs/>
                <w:sz w:val="16"/>
                <w:lang w:val="es-ES_tradnl"/>
              </w:rPr>
              <w:t>.</w:t>
            </w:r>
          </w:p>
          <w:p w14:paraId="02CBF14E" w14:textId="57E891AE" w:rsidR="00443468" w:rsidRPr="004769D9" w:rsidRDefault="00443468" w:rsidP="00643DE0">
            <w:pPr>
              <w:pStyle w:val="Prrafodelista"/>
              <w:tabs>
                <w:tab w:val="left" w:pos="426"/>
              </w:tabs>
              <w:spacing w:after="0"/>
              <w:ind w:left="360"/>
              <w:jc w:val="both"/>
              <w:rPr>
                <w:rFonts w:ascii="Times New Roman" w:hAnsi="Times New Roman" w:cs="Times New Roman"/>
                <w:bCs/>
                <w:sz w:val="16"/>
                <w:lang w:val="es-ES_tradnl"/>
              </w:rPr>
            </w:pPr>
          </w:p>
        </w:tc>
      </w:tr>
    </w:tbl>
    <w:p w14:paraId="7A1EAEC1" w14:textId="77777777" w:rsidR="00FF1312" w:rsidRDefault="00FF1312" w:rsidP="00FF1312">
      <w:pPr>
        <w:pStyle w:val="Prrafodelista"/>
        <w:tabs>
          <w:tab w:val="left" w:pos="426"/>
        </w:tabs>
        <w:spacing w:after="0"/>
        <w:ind w:left="0"/>
        <w:jc w:val="both"/>
        <w:rPr>
          <w:rFonts w:ascii="Times New Roman" w:hAnsi="Times New Roman" w:cs="Times New Roman"/>
          <w:bCs/>
        </w:rPr>
      </w:pPr>
    </w:p>
    <w:p w14:paraId="4D305504" w14:textId="46E601BD" w:rsidR="00443468" w:rsidRPr="00FF1312" w:rsidRDefault="00FF1312" w:rsidP="00FF1312">
      <w:pPr>
        <w:pStyle w:val="Prrafodelista"/>
        <w:numPr>
          <w:ilvl w:val="2"/>
          <w:numId w:val="1"/>
        </w:numPr>
        <w:jc w:val="both"/>
        <w:rPr>
          <w:rFonts w:ascii="Times New Roman" w:hAnsi="Times New Roman" w:cs="Times New Roman"/>
          <w:b/>
          <w:bCs/>
          <w:lang w:val="es-ES_tradnl"/>
        </w:rPr>
      </w:pPr>
      <w:r>
        <w:rPr>
          <w:rFonts w:ascii="Times New Roman" w:hAnsi="Times New Roman" w:cs="Times New Roman"/>
          <w:b/>
          <w:bCs/>
          <w:lang w:val="es-ES_tradnl"/>
        </w:rPr>
        <w:t xml:space="preserve">Incorporación de la recomendación de facilitar </w:t>
      </w:r>
      <w:r w:rsidR="00F240CD">
        <w:rPr>
          <w:rFonts w:ascii="Times New Roman" w:hAnsi="Times New Roman" w:cs="Times New Roman"/>
          <w:b/>
          <w:bCs/>
          <w:lang w:val="es-ES_tradnl"/>
        </w:rPr>
        <w:t xml:space="preserve">el acceso </w:t>
      </w:r>
      <w:r>
        <w:rPr>
          <w:rFonts w:ascii="Times New Roman" w:hAnsi="Times New Roman" w:cs="Times New Roman"/>
          <w:b/>
          <w:bCs/>
          <w:lang w:val="es-ES_tradnl"/>
        </w:rPr>
        <w:t>mecanismos alternativos de solución de conflictos</w:t>
      </w:r>
    </w:p>
    <w:p w14:paraId="1BE2A682" w14:textId="77777777" w:rsidR="00FF1312" w:rsidRPr="00FF1312" w:rsidRDefault="00FF1312" w:rsidP="00FF1312">
      <w:pPr>
        <w:pStyle w:val="Prrafodelista"/>
        <w:tabs>
          <w:tab w:val="left" w:pos="426"/>
        </w:tabs>
        <w:spacing w:after="0"/>
        <w:ind w:left="0"/>
        <w:jc w:val="both"/>
        <w:rPr>
          <w:rFonts w:ascii="Times New Roman" w:hAnsi="Times New Roman" w:cs="Times New Roman"/>
          <w:bCs/>
          <w:lang w:val="es-PE"/>
        </w:rPr>
      </w:pPr>
    </w:p>
    <w:p w14:paraId="27F84125" w14:textId="6B051742" w:rsidR="00E60956" w:rsidRDefault="00E26E0C" w:rsidP="00E60956">
      <w:pPr>
        <w:pStyle w:val="Prrafodelista"/>
        <w:numPr>
          <w:ilvl w:val="0"/>
          <w:numId w:val="2"/>
        </w:numPr>
        <w:tabs>
          <w:tab w:val="left" w:pos="426"/>
        </w:tabs>
        <w:spacing w:after="0"/>
        <w:ind w:left="0" w:firstLine="0"/>
        <w:jc w:val="both"/>
        <w:rPr>
          <w:rFonts w:ascii="Times New Roman" w:hAnsi="Times New Roman" w:cs="Times New Roman"/>
          <w:bCs/>
          <w:lang w:val="es-PE"/>
        </w:rPr>
      </w:pPr>
      <w:r>
        <w:rPr>
          <w:rFonts w:ascii="Times New Roman" w:hAnsi="Times New Roman" w:cs="Times New Roman"/>
          <w:bCs/>
        </w:rPr>
        <w:t>La</w:t>
      </w:r>
      <w:r w:rsidR="00E60956">
        <w:rPr>
          <w:rFonts w:ascii="Times New Roman" w:hAnsi="Times New Roman" w:cs="Times New Roman"/>
          <w:bCs/>
          <w:lang w:val="es-PE"/>
        </w:rPr>
        <w:t xml:space="preserve"> Ley N° 26842, Ley General de Salud, </w:t>
      </w:r>
      <w:r w:rsidR="00F05B7A">
        <w:rPr>
          <w:rFonts w:ascii="Times New Roman" w:hAnsi="Times New Roman" w:cs="Times New Roman"/>
          <w:bCs/>
          <w:lang w:val="es-PE"/>
        </w:rPr>
        <w:t>menciona que t</w:t>
      </w:r>
      <w:r w:rsidR="00F05B7A" w:rsidRPr="00F05B7A">
        <w:rPr>
          <w:rFonts w:ascii="Times New Roman" w:hAnsi="Times New Roman" w:cs="Times New Roman"/>
          <w:bCs/>
          <w:lang w:val="es-PE"/>
        </w:rPr>
        <w:t xml:space="preserve">oda persona tiene derecho a </w:t>
      </w:r>
      <w:r w:rsidR="00F05B7A">
        <w:rPr>
          <w:rFonts w:ascii="Times New Roman" w:hAnsi="Times New Roman" w:cs="Times New Roman"/>
          <w:bCs/>
          <w:lang w:val="es-PE"/>
        </w:rPr>
        <w:t>“</w:t>
      </w:r>
      <w:r w:rsidR="00F05B7A" w:rsidRPr="00F05B7A">
        <w:rPr>
          <w:rFonts w:ascii="Times New Roman" w:hAnsi="Times New Roman" w:cs="Times New Roman"/>
          <w:bCs/>
          <w:lang w:val="es-PE"/>
        </w:rPr>
        <w:t xml:space="preserve">ser escuchada y recibir respuesta por la instancia correspondiente cuando se encuentre disconforme con la atención recibida, para estos efectos </w:t>
      </w:r>
      <w:r w:rsidR="00F05B7A" w:rsidRPr="00CE72B1">
        <w:rPr>
          <w:rFonts w:ascii="Times New Roman" w:hAnsi="Times New Roman" w:cs="Times New Roman"/>
          <w:bCs/>
          <w:u w:val="single"/>
          <w:lang w:val="es-PE"/>
        </w:rPr>
        <w:t>la Ley proveerá de mecanismos alternativos y previos al proceso judicial para la solución de conflictos en los servicios de salud</w:t>
      </w:r>
      <w:r w:rsidR="00F05B7A" w:rsidRPr="00F05B7A">
        <w:rPr>
          <w:rFonts w:ascii="Times New Roman" w:hAnsi="Times New Roman" w:cs="Times New Roman"/>
          <w:bCs/>
          <w:lang w:val="es-PE"/>
        </w:rPr>
        <w:t>”</w:t>
      </w:r>
      <w:r w:rsidR="00F05B7A">
        <w:rPr>
          <w:rStyle w:val="Refdenotaalpie"/>
          <w:rFonts w:ascii="Times New Roman" w:hAnsi="Times New Roman" w:cs="Times New Roman"/>
          <w:bCs/>
          <w:lang w:val="es-PE"/>
        </w:rPr>
        <w:footnoteReference w:id="19"/>
      </w:r>
      <w:r w:rsidR="00E60956" w:rsidRPr="00E60956">
        <w:rPr>
          <w:rFonts w:ascii="Times New Roman" w:hAnsi="Times New Roman" w:cs="Times New Roman"/>
          <w:bCs/>
          <w:lang w:val="es-PE"/>
        </w:rPr>
        <w:t xml:space="preserve"> </w:t>
      </w:r>
      <w:r w:rsidR="00CE72B1">
        <w:rPr>
          <w:rFonts w:ascii="Times New Roman" w:hAnsi="Times New Roman" w:cs="Times New Roman"/>
          <w:bCs/>
          <w:lang w:val="es-PE"/>
        </w:rPr>
        <w:t>(el subrayado es nuestro).</w:t>
      </w:r>
    </w:p>
    <w:p w14:paraId="046810A3" w14:textId="77777777" w:rsidR="00F05B7A" w:rsidRPr="00E60956" w:rsidRDefault="00F05B7A" w:rsidP="00F05B7A">
      <w:pPr>
        <w:pStyle w:val="Prrafodelista"/>
        <w:tabs>
          <w:tab w:val="left" w:pos="426"/>
        </w:tabs>
        <w:spacing w:after="0"/>
        <w:ind w:left="0"/>
        <w:jc w:val="both"/>
        <w:rPr>
          <w:rFonts w:ascii="Times New Roman" w:hAnsi="Times New Roman" w:cs="Times New Roman"/>
          <w:bCs/>
          <w:lang w:val="es-PE"/>
        </w:rPr>
      </w:pPr>
    </w:p>
    <w:p w14:paraId="29C2EC77" w14:textId="33507B07" w:rsidR="00E60956" w:rsidRPr="00E26E0C" w:rsidRDefault="00F05B7A" w:rsidP="00E26E0C">
      <w:pPr>
        <w:pStyle w:val="Prrafodelista"/>
        <w:numPr>
          <w:ilvl w:val="0"/>
          <w:numId w:val="2"/>
        </w:numPr>
        <w:tabs>
          <w:tab w:val="left" w:pos="426"/>
        </w:tabs>
        <w:spacing w:after="0"/>
        <w:ind w:left="0" w:firstLine="0"/>
        <w:jc w:val="both"/>
        <w:rPr>
          <w:rFonts w:ascii="Times New Roman" w:hAnsi="Times New Roman" w:cs="Times New Roman"/>
          <w:bCs/>
          <w:lang w:val="es-PE"/>
        </w:rPr>
      </w:pPr>
      <w:r w:rsidRPr="00F05B7A">
        <w:rPr>
          <w:rFonts w:ascii="Times New Roman" w:hAnsi="Times New Roman" w:cs="Times New Roman"/>
          <w:bCs/>
          <w:lang w:val="es-ES_tradnl"/>
        </w:rPr>
        <w:t xml:space="preserve">Asimismo, </w:t>
      </w:r>
      <w:r>
        <w:rPr>
          <w:rFonts w:ascii="Times New Roman" w:hAnsi="Times New Roman" w:cs="Times New Roman"/>
          <w:bCs/>
          <w:lang w:val="es-ES_tradnl"/>
        </w:rPr>
        <w:t xml:space="preserve">el reglamento de la </w:t>
      </w:r>
      <w:r w:rsidRPr="00F05B7A">
        <w:rPr>
          <w:rFonts w:ascii="Times New Roman" w:hAnsi="Times New Roman" w:cs="Times New Roman"/>
          <w:bCs/>
          <w:lang w:val="es-ES_tradnl"/>
        </w:rPr>
        <w:t>Ley que establece los Derechos de las Personas Usuarias de los Servicios de Salud</w:t>
      </w:r>
      <w:r>
        <w:rPr>
          <w:rFonts w:ascii="Times New Roman" w:hAnsi="Times New Roman" w:cs="Times New Roman"/>
          <w:bCs/>
          <w:lang w:val="es-ES_tradnl"/>
        </w:rPr>
        <w:t xml:space="preserve"> indica que en caso de que surjan controversias entre las </w:t>
      </w:r>
      <w:r w:rsidR="00C64EE6" w:rsidRPr="00C64EE6">
        <w:rPr>
          <w:rFonts w:ascii="Times New Roman" w:hAnsi="Times New Roman" w:cs="Times New Roman"/>
          <w:bCs/>
          <w:lang w:val="es-ES_tradnl"/>
        </w:rPr>
        <w:t>Instituciones Administradoras de Fondos de Aseguramiento en Salud</w:t>
      </w:r>
      <w:r w:rsidR="00C64EE6">
        <w:rPr>
          <w:rFonts w:ascii="Times New Roman" w:hAnsi="Times New Roman" w:cs="Times New Roman"/>
          <w:bCs/>
          <w:lang w:val="es-ES_tradnl"/>
        </w:rPr>
        <w:t xml:space="preserve">, </w:t>
      </w:r>
      <w:r w:rsidR="0076749F" w:rsidRPr="0076749F">
        <w:rPr>
          <w:rFonts w:ascii="Times New Roman" w:hAnsi="Times New Roman" w:cs="Times New Roman"/>
          <w:bCs/>
          <w:lang w:val="es-ES_tradnl"/>
        </w:rPr>
        <w:t>Instituciones Prestadoras de Servicios de Salud</w:t>
      </w:r>
      <w:r w:rsidR="0076749F">
        <w:rPr>
          <w:rFonts w:ascii="Times New Roman" w:hAnsi="Times New Roman" w:cs="Times New Roman"/>
          <w:bCs/>
          <w:lang w:val="es-ES_tradnl"/>
        </w:rPr>
        <w:t xml:space="preserve"> o </w:t>
      </w:r>
      <w:r w:rsidR="0076749F" w:rsidRPr="0076749F">
        <w:rPr>
          <w:rFonts w:ascii="Times New Roman" w:hAnsi="Times New Roman" w:cs="Times New Roman"/>
          <w:bCs/>
          <w:lang w:val="es-ES_tradnl"/>
        </w:rPr>
        <w:t>Unidades de Gestión de Instituciones Prestadoras de Servicios de Salud</w:t>
      </w:r>
      <w:r w:rsidR="0076749F">
        <w:rPr>
          <w:rFonts w:ascii="Times New Roman" w:hAnsi="Times New Roman" w:cs="Times New Roman"/>
          <w:bCs/>
          <w:lang w:val="es-ES_tradnl"/>
        </w:rPr>
        <w:t xml:space="preserve"> </w:t>
      </w:r>
      <w:r w:rsidR="0076749F" w:rsidRPr="0076749F">
        <w:rPr>
          <w:rFonts w:ascii="Times New Roman" w:hAnsi="Times New Roman" w:cs="Times New Roman"/>
          <w:bCs/>
          <w:lang w:val="es-ES_tradnl"/>
        </w:rPr>
        <w:t xml:space="preserve">y la persona usuaria de los servicios de salud, </w:t>
      </w:r>
      <w:r w:rsidR="0076749F" w:rsidRPr="00CE72B1">
        <w:rPr>
          <w:rFonts w:ascii="Times New Roman" w:hAnsi="Times New Roman" w:cs="Times New Roman"/>
          <w:bCs/>
          <w:u w:val="single"/>
          <w:lang w:val="es-ES_tradnl"/>
        </w:rPr>
        <w:t>aquellas deberán generar mecanismos ágiles y oportunos de solución mediante el trato directo o el uso de mecanismos alternativos de solución de controversias, sin perjuicio del acceso a la vía jurisdiccional</w:t>
      </w:r>
      <w:r w:rsidR="0076749F">
        <w:rPr>
          <w:rStyle w:val="Refdenotaalpie"/>
          <w:rFonts w:ascii="Times New Roman" w:hAnsi="Times New Roman" w:cs="Times New Roman"/>
          <w:bCs/>
          <w:lang w:val="es-ES_tradnl"/>
        </w:rPr>
        <w:footnoteReference w:id="20"/>
      </w:r>
      <w:r w:rsidR="0076749F">
        <w:rPr>
          <w:rFonts w:ascii="Times New Roman" w:hAnsi="Times New Roman" w:cs="Times New Roman"/>
          <w:bCs/>
          <w:lang w:val="es-ES_tradnl"/>
        </w:rPr>
        <w:t xml:space="preserve">, siendo la Superintendencia </w:t>
      </w:r>
      <w:r w:rsidR="0076749F">
        <w:rPr>
          <w:rFonts w:ascii="Times New Roman" w:hAnsi="Times New Roman" w:cs="Times New Roman"/>
          <w:bCs/>
          <w:lang w:val="es-ES_tradnl"/>
        </w:rPr>
        <w:lastRenderedPageBreak/>
        <w:t xml:space="preserve">Nacional de Salud, la entidad encargada de promover </w:t>
      </w:r>
      <w:r w:rsidR="0076749F" w:rsidRPr="0076749F">
        <w:rPr>
          <w:rFonts w:ascii="Times New Roman" w:hAnsi="Times New Roman" w:cs="Times New Roman"/>
          <w:bCs/>
          <w:lang w:val="es-PE"/>
        </w:rPr>
        <w:t>los mecanismos de conciliación y arbitraje para la solución de los conflictos suscitados entre los diferentes actores del Sistema Nacional de Salud</w:t>
      </w:r>
      <w:r w:rsidR="0076749F">
        <w:rPr>
          <w:rStyle w:val="Refdenotaalpie"/>
          <w:rFonts w:ascii="Times New Roman" w:hAnsi="Times New Roman" w:cs="Times New Roman"/>
          <w:bCs/>
          <w:lang w:val="es-ES_tradnl"/>
        </w:rPr>
        <w:footnoteReference w:id="21"/>
      </w:r>
      <w:r w:rsidR="0076749F" w:rsidRPr="0076749F">
        <w:rPr>
          <w:rFonts w:ascii="Times New Roman" w:hAnsi="Times New Roman" w:cs="Times New Roman"/>
          <w:bCs/>
          <w:lang w:val="es-ES_tradnl"/>
        </w:rPr>
        <w:t>.</w:t>
      </w:r>
      <w:r w:rsidR="00E26E0C">
        <w:rPr>
          <w:rFonts w:ascii="Times New Roman" w:hAnsi="Times New Roman" w:cs="Times New Roman"/>
          <w:bCs/>
          <w:lang w:val="es-PE"/>
        </w:rPr>
        <w:t xml:space="preserve"> </w:t>
      </w:r>
      <w:r w:rsidR="00CE72B1" w:rsidRPr="00E26E0C">
        <w:rPr>
          <w:rFonts w:ascii="Times New Roman" w:hAnsi="Times New Roman" w:cs="Times New Roman"/>
          <w:bCs/>
          <w:lang w:val="es-ES_tradnl"/>
        </w:rPr>
        <w:t>En base a la normativa peruana anteriormente descrita, se propone la incorporación de las siguientes medidas en el numeral 39 del literal A</w:t>
      </w:r>
      <w:r w:rsidR="00A8603A">
        <w:rPr>
          <w:rStyle w:val="Refdenotaalpie"/>
          <w:rFonts w:ascii="Times New Roman" w:hAnsi="Times New Roman" w:cs="Times New Roman"/>
          <w:bCs/>
          <w:lang w:val="es-ES_tradnl"/>
        </w:rPr>
        <w:footnoteReference w:id="22"/>
      </w:r>
      <w:r w:rsidR="00CE72B1" w:rsidRPr="00E26E0C">
        <w:rPr>
          <w:rFonts w:ascii="Times New Roman" w:hAnsi="Times New Roman" w:cs="Times New Roman"/>
          <w:bCs/>
          <w:lang w:val="es-ES_tradnl"/>
        </w:rPr>
        <w:t>:</w:t>
      </w:r>
    </w:p>
    <w:p w14:paraId="075488BF" w14:textId="510EAFEC" w:rsidR="00CE72B1" w:rsidRDefault="00CE72B1" w:rsidP="00CE72B1">
      <w:pPr>
        <w:pStyle w:val="Prrafodelista"/>
        <w:tabs>
          <w:tab w:val="left" w:pos="426"/>
        </w:tabs>
        <w:spacing w:after="0"/>
        <w:ind w:left="0"/>
        <w:jc w:val="both"/>
        <w:rPr>
          <w:rFonts w:ascii="Times New Roman" w:hAnsi="Times New Roman" w:cs="Times New Roman"/>
          <w:bCs/>
          <w:lang w:val="es-ES_tradnl"/>
        </w:rPr>
      </w:pPr>
    </w:p>
    <w:tbl>
      <w:tblPr>
        <w:tblStyle w:val="Tablaconcuadrcula"/>
        <w:tblW w:w="0" w:type="auto"/>
        <w:tblInd w:w="988" w:type="dxa"/>
        <w:tblLook w:val="04A0" w:firstRow="1" w:lastRow="0" w:firstColumn="1" w:lastColumn="0" w:noHBand="0" w:noVBand="1"/>
      </w:tblPr>
      <w:tblGrid>
        <w:gridCol w:w="7087"/>
      </w:tblGrid>
      <w:tr w:rsidR="00CE72B1" w14:paraId="7906EDBA" w14:textId="77777777" w:rsidTr="00A8603A">
        <w:tc>
          <w:tcPr>
            <w:tcW w:w="7087" w:type="dxa"/>
          </w:tcPr>
          <w:p w14:paraId="0B255DF6" w14:textId="77777777" w:rsidR="00CE72B1" w:rsidRPr="00A8603A" w:rsidRDefault="00CE72B1" w:rsidP="00A8603A">
            <w:pPr>
              <w:pStyle w:val="Prrafodelista"/>
              <w:tabs>
                <w:tab w:val="left" w:pos="426"/>
              </w:tabs>
              <w:spacing w:after="0"/>
              <w:ind w:left="0"/>
              <w:jc w:val="both"/>
              <w:rPr>
                <w:rFonts w:ascii="Times New Roman" w:hAnsi="Times New Roman" w:cs="Times New Roman"/>
                <w:b/>
                <w:bCs/>
                <w:sz w:val="16"/>
                <w:lang w:val="es-ES_tradnl"/>
              </w:rPr>
            </w:pPr>
            <w:bookmarkStart w:id="2" w:name="_Hlk141783550"/>
            <w:r w:rsidRPr="00A8603A">
              <w:rPr>
                <w:rFonts w:ascii="Times New Roman" w:hAnsi="Times New Roman" w:cs="Times New Roman"/>
                <w:b/>
                <w:bCs/>
                <w:sz w:val="16"/>
                <w:lang w:val="es-ES_tradnl"/>
              </w:rPr>
              <w:t>39. Puesta en práctica de la legislación contra la discriminación racial en el disfrute del derecho a la salud por:</w:t>
            </w:r>
          </w:p>
          <w:p w14:paraId="33926742" w14:textId="77777777" w:rsidR="00CE72B1" w:rsidRPr="00A8603A" w:rsidRDefault="00CE72B1" w:rsidP="00A8603A">
            <w:pPr>
              <w:pStyle w:val="Prrafodelista"/>
              <w:tabs>
                <w:tab w:val="left" w:pos="426"/>
              </w:tabs>
              <w:spacing w:after="0"/>
              <w:ind w:left="0"/>
              <w:jc w:val="both"/>
              <w:rPr>
                <w:rFonts w:ascii="Times New Roman" w:hAnsi="Times New Roman" w:cs="Times New Roman"/>
                <w:bCs/>
                <w:sz w:val="16"/>
                <w:lang w:val="es-ES_tradnl"/>
              </w:rPr>
            </w:pPr>
            <w:r w:rsidRPr="00A8603A">
              <w:rPr>
                <w:rFonts w:ascii="Times New Roman" w:hAnsi="Times New Roman" w:cs="Times New Roman"/>
                <w:bCs/>
                <w:sz w:val="16"/>
                <w:lang w:val="es-ES_tradnl"/>
              </w:rPr>
              <w:t>[…]</w:t>
            </w:r>
          </w:p>
          <w:p w14:paraId="1E248A3B" w14:textId="63058D6C" w:rsidR="00CE72B1" w:rsidRPr="00A8603A" w:rsidRDefault="00CE72B1" w:rsidP="00A8603A">
            <w:pPr>
              <w:pStyle w:val="Prrafodelista"/>
              <w:tabs>
                <w:tab w:val="left" w:pos="426"/>
              </w:tabs>
              <w:spacing w:after="0"/>
              <w:ind w:left="0"/>
              <w:jc w:val="both"/>
              <w:rPr>
                <w:rFonts w:ascii="Times New Roman" w:hAnsi="Times New Roman" w:cs="Times New Roman"/>
                <w:bCs/>
                <w:sz w:val="16"/>
                <w:lang w:val="es-ES_tradnl"/>
              </w:rPr>
            </w:pPr>
            <w:r w:rsidRPr="00A8603A">
              <w:rPr>
                <w:rFonts w:ascii="Times New Roman" w:hAnsi="Times New Roman" w:cs="Times New Roman"/>
                <w:bCs/>
                <w:sz w:val="16"/>
                <w:lang w:val="es-ES_tradnl"/>
              </w:rPr>
              <w:t>(v) Promover y facilitar el acceso a la justicia en salud, a través de mecanismos alternativos de solución de conflictos agiles y adecuados a las necesidades de la población a fin de garantizar el ejercicio y restitución de los derechos en salud de las personas usuarias de los servicios de salud, en consonancia con las normas y principios de derechos humanos relacionados con la igualdad y la prohibición de la discriminación racial.</w:t>
            </w:r>
          </w:p>
          <w:p w14:paraId="670F4571" w14:textId="77777777" w:rsidR="00A8603A" w:rsidRPr="00A8603A" w:rsidRDefault="00A8603A" w:rsidP="00A8603A">
            <w:pPr>
              <w:pStyle w:val="Prrafodelista"/>
              <w:tabs>
                <w:tab w:val="left" w:pos="426"/>
              </w:tabs>
              <w:spacing w:after="0"/>
              <w:ind w:left="0"/>
              <w:jc w:val="both"/>
              <w:rPr>
                <w:rFonts w:ascii="Times New Roman" w:hAnsi="Times New Roman" w:cs="Times New Roman"/>
                <w:bCs/>
                <w:sz w:val="16"/>
                <w:lang w:val="es-ES_tradnl"/>
              </w:rPr>
            </w:pPr>
          </w:p>
          <w:p w14:paraId="7A1454D2" w14:textId="266C2718" w:rsidR="00CE72B1" w:rsidRDefault="00CE72B1" w:rsidP="00A8603A">
            <w:pPr>
              <w:pStyle w:val="Prrafodelista"/>
              <w:tabs>
                <w:tab w:val="left" w:pos="426"/>
              </w:tabs>
              <w:spacing w:after="0"/>
              <w:ind w:left="0"/>
              <w:jc w:val="both"/>
              <w:rPr>
                <w:rFonts w:ascii="Times New Roman" w:hAnsi="Times New Roman" w:cs="Times New Roman"/>
                <w:bCs/>
                <w:lang w:val="es-ES_tradnl"/>
              </w:rPr>
            </w:pPr>
            <w:r w:rsidRPr="00A8603A">
              <w:rPr>
                <w:rFonts w:ascii="Times New Roman" w:hAnsi="Times New Roman" w:cs="Times New Roman"/>
                <w:bCs/>
                <w:sz w:val="16"/>
                <w:lang w:val="es-ES_tradnl"/>
              </w:rPr>
              <w:t>(vi) Definir e implementar políticas y medias legislativas en los gobiernos nacionales, regionales y locales a fin de priorizar la iniciativa de mejora normativa de instrumentos o dispositivos legales para fortalecer las instituciones de protección y restitución del derecho a la salud, así como garantizar su acceso y establecer medidas de priorización presupuestal.</w:t>
            </w:r>
          </w:p>
        </w:tc>
      </w:tr>
      <w:bookmarkEnd w:id="2"/>
    </w:tbl>
    <w:p w14:paraId="758277A0" w14:textId="77777777" w:rsidR="00E26E0C" w:rsidRDefault="00E26E0C" w:rsidP="00E26E0C">
      <w:pPr>
        <w:pStyle w:val="Prrafodelista"/>
        <w:ind w:left="1069"/>
        <w:jc w:val="both"/>
        <w:rPr>
          <w:rFonts w:ascii="Times New Roman" w:hAnsi="Times New Roman" w:cs="Times New Roman"/>
          <w:b/>
          <w:bCs/>
          <w:lang w:val="es-ES_tradnl"/>
        </w:rPr>
      </w:pPr>
    </w:p>
    <w:p w14:paraId="29342E70" w14:textId="3BE92B14" w:rsidR="00E26E0C" w:rsidRDefault="00E26E0C" w:rsidP="00E26E0C">
      <w:pPr>
        <w:pStyle w:val="Prrafodelista"/>
        <w:numPr>
          <w:ilvl w:val="1"/>
          <w:numId w:val="1"/>
        </w:numPr>
        <w:jc w:val="both"/>
        <w:rPr>
          <w:rFonts w:ascii="Times New Roman" w:hAnsi="Times New Roman" w:cs="Times New Roman"/>
          <w:b/>
          <w:bCs/>
          <w:lang w:val="es-ES_tradnl"/>
        </w:rPr>
      </w:pPr>
      <w:r>
        <w:rPr>
          <w:rFonts w:ascii="Times New Roman" w:hAnsi="Times New Roman" w:cs="Times New Roman"/>
          <w:b/>
          <w:bCs/>
          <w:lang w:val="es-ES_tradnl"/>
        </w:rPr>
        <w:t>Sobre el subapartado “</w:t>
      </w:r>
      <w:r w:rsidRPr="00E26E0C">
        <w:rPr>
          <w:rFonts w:ascii="Times New Roman" w:hAnsi="Times New Roman" w:cs="Times New Roman"/>
          <w:b/>
          <w:bCs/>
          <w:lang w:val="es-ES_tradnl"/>
        </w:rPr>
        <w:t>Educación, formación y acceso a la información</w:t>
      </w:r>
      <w:r>
        <w:rPr>
          <w:rFonts w:ascii="Times New Roman" w:hAnsi="Times New Roman" w:cs="Times New Roman"/>
          <w:b/>
          <w:bCs/>
          <w:lang w:val="es-ES_tradnl"/>
        </w:rPr>
        <w:t>”</w:t>
      </w:r>
    </w:p>
    <w:p w14:paraId="10F17D7B" w14:textId="77777777" w:rsidR="00E26E0C" w:rsidRDefault="00E26E0C" w:rsidP="00E26E0C">
      <w:pPr>
        <w:pStyle w:val="Prrafodelista"/>
        <w:spacing w:after="0"/>
        <w:rPr>
          <w:rFonts w:ascii="Times New Roman" w:hAnsi="Times New Roman" w:cs="Times New Roman"/>
          <w:bCs/>
        </w:rPr>
      </w:pPr>
    </w:p>
    <w:p w14:paraId="1B678E89" w14:textId="78FB14CB" w:rsidR="00E26E0C" w:rsidRDefault="00EC141A" w:rsidP="00E26E0C">
      <w:pPr>
        <w:pStyle w:val="Prrafodelista"/>
        <w:numPr>
          <w:ilvl w:val="0"/>
          <w:numId w:val="2"/>
        </w:numPr>
        <w:tabs>
          <w:tab w:val="left" w:pos="426"/>
        </w:tabs>
        <w:spacing w:after="0"/>
        <w:ind w:left="0" w:firstLine="0"/>
        <w:jc w:val="both"/>
        <w:rPr>
          <w:rFonts w:ascii="Times New Roman" w:hAnsi="Times New Roman" w:cs="Times New Roman"/>
          <w:bCs/>
        </w:rPr>
      </w:pPr>
      <w:r>
        <w:rPr>
          <w:rFonts w:ascii="Times New Roman" w:hAnsi="Times New Roman" w:cs="Times New Roman"/>
          <w:bCs/>
        </w:rPr>
        <w:t xml:space="preserve">La página 17 del Proyecto, en el </w:t>
      </w:r>
      <w:r w:rsidR="00DD6A79">
        <w:rPr>
          <w:rFonts w:ascii="Times New Roman" w:hAnsi="Times New Roman" w:cs="Times New Roman"/>
          <w:bCs/>
        </w:rPr>
        <w:t>sub</w:t>
      </w:r>
      <w:r>
        <w:rPr>
          <w:rFonts w:ascii="Times New Roman" w:hAnsi="Times New Roman" w:cs="Times New Roman"/>
          <w:bCs/>
        </w:rPr>
        <w:t>apartado “</w:t>
      </w:r>
      <w:r w:rsidRPr="00EC141A">
        <w:rPr>
          <w:rFonts w:ascii="Times New Roman" w:hAnsi="Times New Roman" w:cs="Times New Roman"/>
          <w:bCs/>
        </w:rPr>
        <w:t>Educación, formación y acceso a la información</w:t>
      </w:r>
      <w:r>
        <w:rPr>
          <w:rFonts w:ascii="Times New Roman" w:hAnsi="Times New Roman" w:cs="Times New Roman"/>
          <w:bCs/>
        </w:rPr>
        <w:t>”</w:t>
      </w:r>
      <w:r w:rsidR="003F5C22">
        <w:rPr>
          <w:rFonts w:ascii="Times New Roman" w:hAnsi="Times New Roman" w:cs="Times New Roman"/>
          <w:bCs/>
        </w:rPr>
        <w:t>,</w:t>
      </w:r>
      <w:r>
        <w:rPr>
          <w:rFonts w:ascii="Times New Roman" w:hAnsi="Times New Roman" w:cs="Times New Roman"/>
          <w:bCs/>
        </w:rPr>
        <w:t xml:space="preserve"> recomienda a los Estados “</w:t>
      </w:r>
      <w:r w:rsidRPr="00EC141A">
        <w:rPr>
          <w:rFonts w:ascii="Times New Roman" w:hAnsi="Times New Roman" w:cs="Times New Roman"/>
          <w:bCs/>
        </w:rPr>
        <w:t>llevar a cabo campañas de sensibilización específicas con información sobre los servicios sanitarios disponibles y los requisitos para la cobertura obligatoria del seguro de enfermedad</w:t>
      </w:r>
      <w:r>
        <w:rPr>
          <w:rFonts w:ascii="Times New Roman" w:hAnsi="Times New Roman" w:cs="Times New Roman"/>
          <w:bCs/>
        </w:rPr>
        <w:t>”.</w:t>
      </w:r>
    </w:p>
    <w:p w14:paraId="2BE80D08" w14:textId="77777777" w:rsidR="00EC141A" w:rsidRDefault="00EC141A" w:rsidP="00EC141A">
      <w:pPr>
        <w:pStyle w:val="Prrafodelista"/>
        <w:tabs>
          <w:tab w:val="left" w:pos="426"/>
        </w:tabs>
        <w:spacing w:after="0"/>
        <w:ind w:left="0"/>
        <w:jc w:val="both"/>
        <w:rPr>
          <w:rFonts w:ascii="Times New Roman" w:hAnsi="Times New Roman" w:cs="Times New Roman"/>
          <w:bCs/>
        </w:rPr>
      </w:pPr>
    </w:p>
    <w:p w14:paraId="72FC17A7" w14:textId="7F81FC1B" w:rsidR="00EC141A" w:rsidRDefault="00C51B9E" w:rsidP="00E26E0C">
      <w:pPr>
        <w:pStyle w:val="Prrafodelista"/>
        <w:numPr>
          <w:ilvl w:val="0"/>
          <w:numId w:val="2"/>
        </w:numPr>
        <w:tabs>
          <w:tab w:val="left" w:pos="426"/>
        </w:tabs>
        <w:spacing w:after="0"/>
        <w:ind w:left="0" w:firstLine="0"/>
        <w:jc w:val="both"/>
        <w:rPr>
          <w:rFonts w:ascii="Times New Roman" w:hAnsi="Times New Roman" w:cs="Times New Roman"/>
          <w:bCs/>
        </w:rPr>
      </w:pPr>
      <w:r>
        <w:rPr>
          <w:rFonts w:ascii="Times New Roman" w:hAnsi="Times New Roman" w:cs="Times New Roman"/>
          <w:bCs/>
        </w:rPr>
        <w:t>Al respecto, cabe señalar que el Estado peruano, en concordancia con sus obligaciones internacionales, ha establecido un conjunto de normas con la finalidad de incorporar el enfoque intercultural en los servicios que brinda, de manera específica, buscando brindar servicios públicos - como la salud – con pertinencia cultural. Es así como, en el año 2015</w:t>
      </w:r>
      <w:r w:rsidR="00EF18EB">
        <w:rPr>
          <w:rFonts w:ascii="Times New Roman" w:hAnsi="Times New Roman" w:cs="Times New Roman"/>
          <w:bCs/>
        </w:rPr>
        <w:t>, se</w:t>
      </w:r>
      <w:r>
        <w:rPr>
          <w:rFonts w:ascii="Times New Roman" w:hAnsi="Times New Roman" w:cs="Times New Roman"/>
          <w:bCs/>
        </w:rPr>
        <w:t xml:space="preserve"> aprobó la </w:t>
      </w:r>
      <w:r w:rsidRPr="00C51B9E">
        <w:rPr>
          <w:rFonts w:ascii="Times New Roman" w:hAnsi="Times New Roman" w:cs="Times New Roman"/>
          <w:bCs/>
        </w:rPr>
        <w:t>Política Nacional para la Transversalización del Enfoque Intercultural</w:t>
      </w:r>
      <w:r>
        <w:rPr>
          <w:rStyle w:val="Refdenotaalpie"/>
          <w:rFonts w:ascii="Times New Roman" w:hAnsi="Times New Roman" w:cs="Times New Roman"/>
          <w:bCs/>
        </w:rPr>
        <w:footnoteReference w:id="23"/>
      </w:r>
      <w:r>
        <w:rPr>
          <w:rFonts w:ascii="Times New Roman" w:hAnsi="Times New Roman" w:cs="Times New Roman"/>
          <w:bCs/>
        </w:rPr>
        <w:t xml:space="preserve"> y, recientemente, se aprobaron los </w:t>
      </w:r>
      <w:r w:rsidRPr="00C51B9E">
        <w:rPr>
          <w:rFonts w:ascii="Times New Roman" w:hAnsi="Times New Roman" w:cs="Times New Roman"/>
          <w:bCs/>
        </w:rPr>
        <w:t>Lineamientos para incorporar el enfoque intercultural en la prestación de los servicios públicos</w:t>
      </w:r>
      <w:r>
        <w:rPr>
          <w:rStyle w:val="Refdenotaalpie"/>
          <w:rFonts w:ascii="Times New Roman" w:hAnsi="Times New Roman" w:cs="Times New Roman"/>
          <w:bCs/>
        </w:rPr>
        <w:footnoteReference w:id="24"/>
      </w:r>
      <w:r>
        <w:rPr>
          <w:rFonts w:ascii="Times New Roman" w:hAnsi="Times New Roman" w:cs="Times New Roman"/>
          <w:bCs/>
        </w:rPr>
        <w:t xml:space="preserve">. En materia de salud, el año 2015, se publicó la </w:t>
      </w:r>
      <w:r w:rsidRPr="00C51B9E">
        <w:rPr>
          <w:rFonts w:ascii="Times New Roman" w:hAnsi="Times New Roman" w:cs="Times New Roman"/>
          <w:bCs/>
        </w:rPr>
        <w:t>Guía de lineamientos denominada “Servicios Públicos con Pertinencia Cultural. Guía para la Aplicación del Enfoque Intercultural en la Gestión de los Servicios Públicos”</w:t>
      </w:r>
      <w:r>
        <w:rPr>
          <w:rStyle w:val="Refdenotaalpie"/>
          <w:rFonts w:ascii="Times New Roman" w:hAnsi="Times New Roman" w:cs="Times New Roman"/>
          <w:bCs/>
        </w:rPr>
        <w:footnoteReference w:id="25"/>
      </w:r>
      <w:r>
        <w:rPr>
          <w:rFonts w:ascii="Times New Roman" w:hAnsi="Times New Roman" w:cs="Times New Roman"/>
          <w:bCs/>
        </w:rPr>
        <w:t xml:space="preserve">, mientras que el 2019, </w:t>
      </w:r>
      <w:r w:rsidR="00E50644">
        <w:rPr>
          <w:rFonts w:ascii="Times New Roman" w:hAnsi="Times New Roman" w:cs="Times New Roman"/>
          <w:bCs/>
        </w:rPr>
        <w:t xml:space="preserve">la </w:t>
      </w:r>
      <w:r w:rsidR="00E50644" w:rsidRPr="00E50644">
        <w:rPr>
          <w:rFonts w:ascii="Times New Roman" w:hAnsi="Times New Roman" w:cs="Times New Roman"/>
          <w:bCs/>
        </w:rPr>
        <w:t>Directiva Administrativa para la adecuación de los servicios de salud con pertinencia cultural en el primer nivel de atención</w:t>
      </w:r>
      <w:r w:rsidR="00E50644">
        <w:rPr>
          <w:rStyle w:val="Refdenotaalpie"/>
          <w:rFonts w:ascii="Times New Roman" w:hAnsi="Times New Roman" w:cs="Times New Roman"/>
          <w:bCs/>
        </w:rPr>
        <w:footnoteReference w:id="26"/>
      </w:r>
      <w:r w:rsidR="00E50644">
        <w:rPr>
          <w:rFonts w:ascii="Times New Roman" w:hAnsi="Times New Roman" w:cs="Times New Roman"/>
          <w:bCs/>
        </w:rPr>
        <w:t>.</w:t>
      </w:r>
    </w:p>
    <w:p w14:paraId="18B9438E" w14:textId="77777777" w:rsidR="00E50644" w:rsidRDefault="00E50644" w:rsidP="00E50644">
      <w:pPr>
        <w:pStyle w:val="Prrafodelista"/>
        <w:tabs>
          <w:tab w:val="left" w:pos="426"/>
        </w:tabs>
        <w:spacing w:after="0"/>
        <w:ind w:left="0"/>
        <w:jc w:val="both"/>
        <w:rPr>
          <w:rFonts w:ascii="Times New Roman" w:hAnsi="Times New Roman" w:cs="Times New Roman"/>
          <w:bCs/>
        </w:rPr>
      </w:pPr>
    </w:p>
    <w:p w14:paraId="3D8D3E8A" w14:textId="77777777" w:rsidR="00E50644" w:rsidRDefault="00E50644" w:rsidP="00E50644">
      <w:pPr>
        <w:pStyle w:val="Prrafodelista"/>
        <w:numPr>
          <w:ilvl w:val="0"/>
          <w:numId w:val="2"/>
        </w:numPr>
        <w:tabs>
          <w:tab w:val="left" w:pos="426"/>
        </w:tabs>
        <w:spacing w:after="0"/>
        <w:ind w:left="0" w:firstLine="0"/>
        <w:jc w:val="both"/>
        <w:rPr>
          <w:rFonts w:ascii="Times New Roman" w:hAnsi="Times New Roman" w:cs="Times New Roman"/>
          <w:bCs/>
          <w:lang w:val="es-PE"/>
        </w:rPr>
      </w:pPr>
      <w:r>
        <w:rPr>
          <w:rFonts w:ascii="Times New Roman" w:hAnsi="Times New Roman" w:cs="Times New Roman"/>
          <w:bCs/>
        </w:rPr>
        <w:t xml:space="preserve">En base a dichas consideraciones, se </w:t>
      </w:r>
      <w:r>
        <w:rPr>
          <w:rFonts w:ascii="Times New Roman" w:hAnsi="Times New Roman" w:cs="Times New Roman"/>
          <w:bCs/>
          <w:lang w:val="es-PE"/>
        </w:rPr>
        <w:t>recomienda la incorporación del siguiente aspecto</w:t>
      </w:r>
      <w:r>
        <w:rPr>
          <w:rStyle w:val="Refdenotaalpie"/>
          <w:rFonts w:ascii="Times New Roman" w:hAnsi="Times New Roman" w:cs="Times New Roman"/>
          <w:bCs/>
          <w:lang w:val="es-PE"/>
        </w:rPr>
        <w:footnoteReference w:id="27"/>
      </w:r>
      <w:r>
        <w:rPr>
          <w:rFonts w:ascii="Times New Roman" w:hAnsi="Times New Roman" w:cs="Times New Roman"/>
          <w:bCs/>
          <w:lang w:val="es-PE"/>
        </w:rPr>
        <w:t>:</w:t>
      </w:r>
    </w:p>
    <w:p w14:paraId="6EA51011" w14:textId="77777777" w:rsidR="00E50644" w:rsidRDefault="00E50644" w:rsidP="00E50644">
      <w:pPr>
        <w:pStyle w:val="Prrafodelista"/>
        <w:tabs>
          <w:tab w:val="left" w:pos="426"/>
        </w:tabs>
        <w:spacing w:after="0"/>
        <w:ind w:left="0"/>
        <w:jc w:val="both"/>
        <w:rPr>
          <w:rFonts w:ascii="Times New Roman" w:hAnsi="Times New Roman" w:cs="Times New Roman"/>
          <w:bCs/>
          <w:lang w:val="es-PE"/>
        </w:rPr>
      </w:pPr>
    </w:p>
    <w:tbl>
      <w:tblPr>
        <w:tblStyle w:val="Tablaconcuadrcula"/>
        <w:tblW w:w="0" w:type="auto"/>
        <w:tblLook w:val="04A0" w:firstRow="1" w:lastRow="0" w:firstColumn="1" w:lastColumn="0" w:noHBand="0" w:noVBand="1"/>
      </w:tblPr>
      <w:tblGrid>
        <w:gridCol w:w="4247"/>
        <w:gridCol w:w="4247"/>
      </w:tblGrid>
      <w:tr w:rsidR="00DD6A79" w14:paraId="03CAD56E" w14:textId="77777777" w:rsidTr="00492820">
        <w:tc>
          <w:tcPr>
            <w:tcW w:w="4247" w:type="dxa"/>
          </w:tcPr>
          <w:p w14:paraId="770AF0F7" w14:textId="13F16AA8" w:rsidR="00DD6A79" w:rsidRPr="009E743F" w:rsidRDefault="00DD6A79" w:rsidP="00492820">
            <w:pPr>
              <w:pStyle w:val="Prrafodelista"/>
              <w:tabs>
                <w:tab w:val="left" w:pos="426"/>
              </w:tabs>
              <w:spacing w:after="0"/>
              <w:ind w:left="0"/>
              <w:jc w:val="both"/>
              <w:rPr>
                <w:rFonts w:ascii="Times New Roman" w:hAnsi="Times New Roman" w:cs="Times New Roman"/>
                <w:b/>
                <w:bCs/>
                <w:sz w:val="16"/>
                <w:lang w:val="es-PE"/>
              </w:rPr>
            </w:pPr>
            <w:r w:rsidRPr="009E743F">
              <w:rPr>
                <w:rFonts w:ascii="Times New Roman" w:hAnsi="Times New Roman" w:cs="Times New Roman"/>
                <w:b/>
                <w:bCs/>
                <w:sz w:val="16"/>
                <w:lang w:val="es-PE"/>
              </w:rPr>
              <w:t>Dice:</w:t>
            </w:r>
          </w:p>
        </w:tc>
        <w:tc>
          <w:tcPr>
            <w:tcW w:w="4247" w:type="dxa"/>
          </w:tcPr>
          <w:p w14:paraId="79CB355B" w14:textId="735EA2E1" w:rsidR="00DD6A79" w:rsidRPr="00E50644" w:rsidRDefault="00DD6A79" w:rsidP="00492820">
            <w:pPr>
              <w:pStyle w:val="Prrafodelista"/>
              <w:tabs>
                <w:tab w:val="left" w:pos="426"/>
              </w:tabs>
              <w:spacing w:after="0"/>
              <w:ind w:left="0"/>
              <w:jc w:val="both"/>
              <w:rPr>
                <w:rFonts w:ascii="Times New Roman" w:hAnsi="Times New Roman" w:cs="Times New Roman"/>
                <w:b/>
                <w:bCs/>
                <w:sz w:val="16"/>
                <w:lang w:val="es-PE"/>
              </w:rPr>
            </w:pPr>
            <w:r w:rsidRPr="00E50644">
              <w:rPr>
                <w:rFonts w:ascii="Times New Roman" w:hAnsi="Times New Roman" w:cs="Times New Roman"/>
                <w:b/>
                <w:bCs/>
                <w:sz w:val="16"/>
                <w:lang w:val="es-PE"/>
              </w:rPr>
              <w:t>Debe decir:</w:t>
            </w:r>
          </w:p>
        </w:tc>
      </w:tr>
      <w:tr w:rsidR="00E50644" w14:paraId="6F140361" w14:textId="77777777" w:rsidTr="00492820">
        <w:tc>
          <w:tcPr>
            <w:tcW w:w="4247" w:type="dxa"/>
          </w:tcPr>
          <w:p w14:paraId="0FE872CD" w14:textId="77777777" w:rsidR="00DD6A79" w:rsidRDefault="00DD6A79" w:rsidP="00492820">
            <w:pPr>
              <w:pStyle w:val="Prrafodelista"/>
              <w:tabs>
                <w:tab w:val="left" w:pos="426"/>
              </w:tabs>
              <w:ind w:left="0"/>
              <w:jc w:val="both"/>
              <w:rPr>
                <w:rFonts w:ascii="Times New Roman" w:hAnsi="Times New Roman" w:cs="Times New Roman"/>
                <w:b/>
                <w:bCs/>
                <w:sz w:val="16"/>
                <w:lang w:val="es-PE"/>
              </w:rPr>
            </w:pPr>
          </w:p>
          <w:p w14:paraId="7EEA8EE1" w14:textId="2F955B9D" w:rsidR="00E50644" w:rsidRPr="009E743F" w:rsidRDefault="00E50644" w:rsidP="00492820">
            <w:pPr>
              <w:pStyle w:val="Prrafodelista"/>
              <w:tabs>
                <w:tab w:val="left" w:pos="426"/>
              </w:tabs>
              <w:ind w:left="0"/>
              <w:jc w:val="both"/>
              <w:rPr>
                <w:rFonts w:ascii="Times New Roman" w:hAnsi="Times New Roman" w:cs="Times New Roman"/>
                <w:bCs/>
                <w:sz w:val="16"/>
                <w:lang w:val="es-PE"/>
              </w:rPr>
            </w:pPr>
            <w:r w:rsidRPr="00E50644">
              <w:rPr>
                <w:rFonts w:ascii="Times New Roman" w:hAnsi="Times New Roman" w:cs="Times New Roman"/>
                <w:bCs/>
                <w:sz w:val="16"/>
                <w:lang w:val="es-PE"/>
              </w:rPr>
              <w:t>51. Los Estados deben llevar a cabo campañas de sensibilización específicas con información sobre los servicios sanitarios disponibles y los requisitos para la cobertura obligatoria del seguro de enfermedad</w:t>
            </w:r>
            <w:r>
              <w:rPr>
                <w:rFonts w:ascii="Times New Roman" w:hAnsi="Times New Roman" w:cs="Times New Roman"/>
                <w:bCs/>
                <w:sz w:val="16"/>
                <w:lang w:val="es-PE"/>
              </w:rPr>
              <w:t>.</w:t>
            </w:r>
          </w:p>
        </w:tc>
        <w:tc>
          <w:tcPr>
            <w:tcW w:w="4247" w:type="dxa"/>
          </w:tcPr>
          <w:p w14:paraId="3B8838E2" w14:textId="77777777" w:rsidR="00DD6A79" w:rsidRDefault="00DD6A79" w:rsidP="00E50644">
            <w:pPr>
              <w:pStyle w:val="Prrafodelista"/>
              <w:tabs>
                <w:tab w:val="left" w:pos="426"/>
              </w:tabs>
              <w:ind w:left="0"/>
              <w:jc w:val="both"/>
              <w:rPr>
                <w:rFonts w:ascii="Times New Roman" w:hAnsi="Times New Roman" w:cs="Times New Roman"/>
                <w:b/>
                <w:bCs/>
                <w:sz w:val="16"/>
                <w:lang w:val="es-PE"/>
              </w:rPr>
            </w:pPr>
          </w:p>
          <w:p w14:paraId="4732487F" w14:textId="109B93F8" w:rsidR="00E50644" w:rsidRPr="009E743F" w:rsidRDefault="00E50644" w:rsidP="00E50644">
            <w:pPr>
              <w:pStyle w:val="Prrafodelista"/>
              <w:tabs>
                <w:tab w:val="left" w:pos="426"/>
              </w:tabs>
              <w:ind w:left="0"/>
              <w:jc w:val="both"/>
              <w:rPr>
                <w:rFonts w:ascii="Times New Roman" w:hAnsi="Times New Roman" w:cs="Times New Roman"/>
                <w:bCs/>
                <w:sz w:val="16"/>
                <w:lang w:val="es-PE"/>
              </w:rPr>
            </w:pPr>
            <w:r w:rsidRPr="00E50644">
              <w:rPr>
                <w:rFonts w:ascii="Times New Roman" w:hAnsi="Times New Roman" w:cs="Times New Roman"/>
                <w:bCs/>
                <w:sz w:val="16"/>
                <w:lang w:val="es-PE"/>
              </w:rPr>
              <w:t>51. Los Estados deben llevar a cabo campañas de sensibilización específicas</w:t>
            </w:r>
            <w:r>
              <w:rPr>
                <w:rFonts w:ascii="Times New Roman" w:hAnsi="Times New Roman" w:cs="Times New Roman"/>
                <w:bCs/>
                <w:sz w:val="16"/>
                <w:lang w:val="es-PE"/>
              </w:rPr>
              <w:t xml:space="preserve">, </w:t>
            </w:r>
            <w:r w:rsidRPr="00E50644">
              <w:rPr>
                <w:rFonts w:ascii="Times New Roman" w:hAnsi="Times New Roman" w:cs="Times New Roman"/>
                <w:bCs/>
                <w:sz w:val="16"/>
                <w:u w:val="single"/>
                <w:lang w:val="es-PE"/>
              </w:rPr>
              <w:t>con pertinencia cultural para servicios sin estigmatización ni discriminación</w:t>
            </w:r>
            <w:r>
              <w:rPr>
                <w:rFonts w:ascii="Times New Roman" w:hAnsi="Times New Roman" w:cs="Times New Roman"/>
                <w:bCs/>
                <w:sz w:val="16"/>
                <w:lang w:val="es-PE"/>
              </w:rPr>
              <w:t>,</w:t>
            </w:r>
            <w:r w:rsidRPr="00E50644">
              <w:rPr>
                <w:rFonts w:ascii="Times New Roman" w:hAnsi="Times New Roman" w:cs="Times New Roman"/>
                <w:bCs/>
                <w:sz w:val="16"/>
                <w:lang w:val="es-PE"/>
              </w:rPr>
              <w:t xml:space="preserve"> con información sobre los servicios sanitarios disponibles y los requisitos para la cobertura obligatoria del seguro de enfermedad</w:t>
            </w:r>
            <w:r>
              <w:rPr>
                <w:rFonts w:ascii="Times New Roman" w:hAnsi="Times New Roman" w:cs="Times New Roman"/>
                <w:bCs/>
                <w:sz w:val="16"/>
                <w:lang w:val="es-PE"/>
              </w:rPr>
              <w:t xml:space="preserve">. </w:t>
            </w:r>
            <w:r w:rsidRPr="00E50644">
              <w:rPr>
                <w:rFonts w:ascii="Times New Roman" w:hAnsi="Times New Roman" w:cs="Times New Roman"/>
                <w:bCs/>
                <w:sz w:val="16"/>
                <w:lang w:val="es-PE"/>
              </w:rPr>
              <w:t>Deben impedir que se difunda información falsa o engañosa en entornos digitales y físicos</w:t>
            </w:r>
            <w:r>
              <w:rPr>
                <w:rFonts w:ascii="Times New Roman" w:hAnsi="Times New Roman" w:cs="Times New Roman"/>
                <w:bCs/>
                <w:sz w:val="16"/>
                <w:lang w:val="es-PE"/>
              </w:rPr>
              <w:t xml:space="preserve">, </w:t>
            </w:r>
            <w:r w:rsidRPr="00E50644">
              <w:rPr>
                <w:rFonts w:ascii="Times New Roman" w:hAnsi="Times New Roman" w:cs="Times New Roman"/>
                <w:bCs/>
                <w:sz w:val="16"/>
                <w:u w:val="single"/>
                <w:lang w:val="es-PE"/>
              </w:rPr>
              <w:t>deberá considerarse las características de los grupos étnicos de especial protección.</w:t>
            </w:r>
          </w:p>
        </w:tc>
      </w:tr>
    </w:tbl>
    <w:p w14:paraId="18A81639" w14:textId="77777777" w:rsidR="00A5668C" w:rsidRDefault="00A5668C" w:rsidP="00DD6A79">
      <w:pPr>
        <w:pStyle w:val="Prrafodelista"/>
        <w:spacing w:after="0"/>
        <w:ind w:left="352"/>
        <w:jc w:val="both"/>
        <w:rPr>
          <w:rFonts w:ascii="Times New Roman" w:hAnsi="Times New Roman" w:cs="Times New Roman"/>
          <w:b/>
          <w:bCs/>
        </w:rPr>
      </w:pPr>
    </w:p>
    <w:bookmarkEnd w:id="1"/>
    <w:p w14:paraId="04F26B90" w14:textId="1705AA1A" w:rsidR="00FF1312" w:rsidRPr="001D4543" w:rsidRDefault="00FF1312" w:rsidP="001D4543">
      <w:pPr>
        <w:pStyle w:val="Prrafodelista"/>
        <w:tabs>
          <w:tab w:val="left" w:pos="426"/>
        </w:tabs>
        <w:ind w:left="437"/>
        <w:jc w:val="both"/>
        <w:rPr>
          <w:rFonts w:ascii="Times New Roman" w:hAnsi="Times New Roman" w:cs="Times New Roman"/>
          <w:bCs/>
        </w:rPr>
      </w:pPr>
    </w:p>
    <w:sectPr w:rsidR="00FF1312" w:rsidRPr="001D454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47B42" w14:textId="77777777" w:rsidR="00303A45" w:rsidRDefault="00303A45" w:rsidP="00F44C29">
      <w:pPr>
        <w:spacing w:after="0" w:line="240" w:lineRule="auto"/>
      </w:pPr>
      <w:r>
        <w:separator/>
      </w:r>
    </w:p>
  </w:endnote>
  <w:endnote w:type="continuationSeparator" w:id="0">
    <w:p w14:paraId="78DBF3E2" w14:textId="77777777" w:rsidR="00303A45" w:rsidRDefault="00303A45" w:rsidP="00F44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7A9CF" w14:textId="77777777" w:rsidR="00303A45" w:rsidRDefault="00303A45" w:rsidP="00F44C29">
      <w:pPr>
        <w:spacing w:after="0" w:line="240" w:lineRule="auto"/>
      </w:pPr>
      <w:r>
        <w:separator/>
      </w:r>
    </w:p>
  </w:footnote>
  <w:footnote w:type="continuationSeparator" w:id="0">
    <w:p w14:paraId="63557104" w14:textId="77777777" w:rsidR="00303A45" w:rsidRDefault="00303A45" w:rsidP="00F44C29">
      <w:pPr>
        <w:spacing w:after="0" w:line="240" w:lineRule="auto"/>
      </w:pPr>
      <w:r>
        <w:continuationSeparator/>
      </w:r>
    </w:p>
  </w:footnote>
  <w:footnote w:id="1">
    <w:p w14:paraId="0586FFFE" w14:textId="77777777" w:rsidR="00FF1312" w:rsidRPr="00DD6A79" w:rsidRDefault="00FF1312" w:rsidP="00DD6A79">
      <w:pPr>
        <w:pStyle w:val="Textonotapie"/>
        <w:jc w:val="both"/>
        <w:rPr>
          <w:rFonts w:ascii="Times New Roman" w:hAnsi="Times New Roman" w:cs="Times New Roman"/>
          <w:sz w:val="18"/>
        </w:rPr>
      </w:pPr>
      <w:r w:rsidRPr="00DD6A79">
        <w:rPr>
          <w:rStyle w:val="Refdenotaalpie"/>
          <w:rFonts w:ascii="Times New Roman" w:hAnsi="Times New Roman" w:cs="Times New Roman"/>
          <w:sz w:val="18"/>
        </w:rPr>
        <w:footnoteRef/>
      </w:r>
      <w:r w:rsidRPr="00DD6A79">
        <w:rPr>
          <w:rFonts w:ascii="Times New Roman" w:hAnsi="Times New Roman" w:cs="Times New Roman"/>
          <w:sz w:val="18"/>
        </w:rPr>
        <w:t xml:space="preserve"> Tribunal Constitucional. Exp. 02566-2014-PA/TC. Fundamento jurídico 14.</w:t>
      </w:r>
    </w:p>
  </w:footnote>
  <w:footnote w:id="2">
    <w:p w14:paraId="7250853F" w14:textId="77777777" w:rsidR="00FF1312" w:rsidRPr="00DD6A79" w:rsidRDefault="00FF1312" w:rsidP="00DD6A79">
      <w:pPr>
        <w:pStyle w:val="Textonotapie"/>
        <w:jc w:val="both"/>
        <w:rPr>
          <w:rFonts w:ascii="Times New Roman" w:hAnsi="Times New Roman" w:cs="Times New Roman"/>
          <w:sz w:val="18"/>
        </w:rPr>
      </w:pPr>
      <w:r w:rsidRPr="00DD6A79">
        <w:rPr>
          <w:rStyle w:val="Refdenotaalpie"/>
          <w:rFonts w:ascii="Times New Roman" w:hAnsi="Times New Roman" w:cs="Times New Roman"/>
          <w:sz w:val="18"/>
        </w:rPr>
        <w:footnoteRef/>
      </w:r>
      <w:r w:rsidRPr="00DD6A79">
        <w:rPr>
          <w:rFonts w:ascii="Times New Roman" w:hAnsi="Times New Roman" w:cs="Times New Roman"/>
          <w:sz w:val="18"/>
        </w:rPr>
        <w:t xml:space="preserve"> Tribunal Constitucional. Exp. 0298-2020-PA/TC. Fundamento jurídico 7. </w:t>
      </w:r>
    </w:p>
  </w:footnote>
  <w:footnote w:id="3">
    <w:p w14:paraId="60319FF6" w14:textId="24113686" w:rsidR="00FF1312" w:rsidRPr="00DD6A79" w:rsidRDefault="00FF1312" w:rsidP="00DD6A79">
      <w:pPr>
        <w:pStyle w:val="Textonotapie"/>
        <w:jc w:val="both"/>
        <w:rPr>
          <w:rFonts w:ascii="Times New Roman" w:hAnsi="Times New Roman" w:cs="Times New Roman"/>
          <w:sz w:val="18"/>
        </w:rPr>
      </w:pPr>
      <w:r w:rsidRPr="00DD6A79">
        <w:rPr>
          <w:rStyle w:val="Refdenotaalpie"/>
          <w:rFonts w:ascii="Times New Roman" w:hAnsi="Times New Roman" w:cs="Times New Roman"/>
          <w:sz w:val="18"/>
        </w:rPr>
        <w:footnoteRef/>
      </w:r>
      <w:r w:rsidRPr="00DD6A79">
        <w:rPr>
          <w:rFonts w:ascii="Times New Roman" w:hAnsi="Times New Roman" w:cs="Times New Roman"/>
          <w:sz w:val="18"/>
        </w:rPr>
        <w:t xml:space="preserve"> Tribunal Constitucional. Exp. 0298-2020-PA/TC. Fundamento jurídico 8. </w:t>
      </w:r>
    </w:p>
  </w:footnote>
  <w:footnote w:id="4">
    <w:p w14:paraId="1614C577" w14:textId="6EC019CE" w:rsidR="00FF1312" w:rsidRPr="00DD6A79" w:rsidRDefault="00FF1312" w:rsidP="00DD6A79">
      <w:pPr>
        <w:pStyle w:val="Textonotapie"/>
        <w:jc w:val="both"/>
        <w:rPr>
          <w:rFonts w:ascii="Times New Roman" w:hAnsi="Times New Roman" w:cs="Times New Roman"/>
          <w:sz w:val="18"/>
        </w:rPr>
      </w:pPr>
      <w:r w:rsidRPr="00DD6A79">
        <w:rPr>
          <w:rStyle w:val="Refdenotaalpie"/>
          <w:rFonts w:ascii="Times New Roman" w:hAnsi="Times New Roman" w:cs="Times New Roman"/>
          <w:sz w:val="18"/>
        </w:rPr>
        <w:footnoteRef/>
      </w:r>
      <w:r w:rsidRPr="00DD6A79">
        <w:rPr>
          <w:rFonts w:ascii="Times New Roman" w:hAnsi="Times New Roman" w:cs="Times New Roman"/>
          <w:sz w:val="18"/>
        </w:rPr>
        <w:t xml:space="preserve"> CONGRESO. Ley N° 26842. Artículo 15.3. </w:t>
      </w:r>
    </w:p>
  </w:footnote>
  <w:footnote w:id="5">
    <w:p w14:paraId="1738D303" w14:textId="44A89AB1" w:rsidR="00FF1312" w:rsidRPr="00DD6A79" w:rsidRDefault="00FF1312" w:rsidP="00DD6A79">
      <w:pPr>
        <w:pStyle w:val="Textonotapie"/>
        <w:jc w:val="both"/>
        <w:rPr>
          <w:rFonts w:ascii="Times New Roman" w:hAnsi="Times New Roman" w:cs="Times New Roman"/>
          <w:sz w:val="18"/>
        </w:rPr>
      </w:pPr>
      <w:r w:rsidRPr="00DD6A79">
        <w:rPr>
          <w:rStyle w:val="Refdenotaalpie"/>
          <w:rFonts w:ascii="Times New Roman" w:hAnsi="Times New Roman" w:cs="Times New Roman"/>
          <w:sz w:val="18"/>
        </w:rPr>
        <w:footnoteRef/>
      </w:r>
      <w:r w:rsidRPr="00DD6A79">
        <w:rPr>
          <w:rFonts w:ascii="Times New Roman" w:hAnsi="Times New Roman" w:cs="Times New Roman"/>
          <w:sz w:val="18"/>
        </w:rPr>
        <w:t xml:space="preserve"> MINSA. D.S. N° 027-2015-SA. Artículo 19</w:t>
      </w:r>
    </w:p>
  </w:footnote>
  <w:footnote w:id="6">
    <w:p w14:paraId="35E81835" w14:textId="77777777" w:rsidR="00FF1312" w:rsidRPr="00DD6A79" w:rsidRDefault="00FF1312" w:rsidP="00DD6A79">
      <w:pPr>
        <w:pStyle w:val="Textonotapie"/>
        <w:jc w:val="both"/>
        <w:rPr>
          <w:rFonts w:ascii="Times New Roman" w:hAnsi="Times New Roman" w:cs="Times New Roman"/>
          <w:sz w:val="18"/>
        </w:rPr>
      </w:pPr>
      <w:r w:rsidRPr="00DD6A79">
        <w:rPr>
          <w:rStyle w:val="Refdenotaalpie"/>
          <w:rFonts w:ascii="Times New Roman" w:hAnsi="Times New Roman" w:cs="Times New Roman"/>
          <w:sz w:val="18"/>
        </w:rPr>
        <w:footnoteRef/>
      </w:r>
      <w:r w:rsidRPr="00DD6A79">
        <w:rPr>
          <w:rFonts w:ascii="Times New Roman" w:hAnsi="Times New Roman" w:cs="Times New Roman"/>
          <w:sz w:val="18"/>
        </w:rPr>
        <w:t xml:space="preserve"> MINSA. D.S. N° 026-2020-SA. Publicado: 24.08.2020. </w:t>
      </w:r>
    </w:p>
  </w:footnote>
  <w:footnote w:id="7">
    <w:p w14:paraId="00256931" w14:textId="0267B047" w:rsidR="00FF1312" w:rsidRPr="00DD6A79" w:rsidRDefault="00FF1312" w:rsidP="00DD6A79">
      <w:pPr>
        <w:pStyle w:val="Textonotapie"/>
        <w:jc w:val="both"/>
        <w:rPr>
          <w:rFonts w:ascii="Times New Roman" w:hAnsi="Times New Roman" w:cs="Times New Roman"/>
          <w:sz w:val="18"/>
        </w:rPr>
      </w:pPr>
      <w:r w:rsidRPr="00DD6A79">
        <w:rPr>
          <w:rStyle w:val="Refdenotaalpie"/>
          <w:rFonts w:ascii="Times New Roman" w:hAnsi="Times New Roman" w:cs="Times New Roman"/>
          <w:sz w:val="18"/>
        </w:rPr>
        <w:footnoteRef/>
      </w:r>
      <w:r w:rsidRPr="00DD6A79">
        <w:rPr>
          <w:rFonts w:ascii="Times New Roman" w:hAnsi="Times New Roman" w:cs="Times New Roman"/>
          <w:sz w:val="18"/>
        </w:rPr>
        <w:t xml:space="preserve"> MINSA. R.M. N° 228-2019-MINSA. Publicado: 09.03.2019. </w:t>
      </w:r>
    </w:p>
  </w:footnote>
  <w:footnote w:id="8">
    <w:p w14:paraId="4E71A274" w14:textId="0B6CBCCE" w:rsidR="004D6AD5" w:rsidRPr="00DD6A79" w:rsidRDefault="004D6AD5" w:rsidP="00DD6A79">
      <w:pPr>
        <w:pStyle w:val="Textonotapie"/>
        <w:jc w:val="both"/>
        <w:rPr>
          <w:rFonts w:ascii="Times New Roman" w:hAnsi="Times New Roman" w:cs="Times New Roman"/>
          <w:sz w:val="18"/>
        </w:rPr>
      </w:pPr>
      <w:r w:rsidRPr="00DD6A79">
        <w:rPr>
          <w:rStyle w:val="Refdenotaalpie"/>
          <w:rFonts w:ascii="Times New Roman" w:hAnsi="Times New Roman" w:cs="Times New Roman"/>
          <w:sz w:val="18"/>
        </w:rPr>
        <w:footnoteRef/>
      </w:r>
      <w:r w:rsidRPr="00DD6A79">
        <w:rPr>
          <w:rFonts w:ascii="Times New Roman" w:hAnsi="Times New Roman" w:cs="Times New Roman"/>
          <w:sz w:val="18"/>
        </w:rPr>
        <w:t xml:space="preserve"> Tribunal Constitucional. Exp. N° 00889-2017-PA/TC</w:t>
      </w:r>
      <w:r w:rsidR="006C7ABB" w:rsidRPr="00DD6A79">
        <w:rPr>
          <w:rFonts w:ascii="Times New Roman" w:hAnsi="Times New Roman" w:cs="Times New Roman"/>
          <w:sz w:val="18"/>
        </w:rPr>
        <w:t xml:space="preserve">. </w:t>
      </w:r>
      <w:r w:rsidRPr="00DD6A79">
        <w:rPr>
          <w:rFonts w:ascii="Times New Roman" w:hAnsi="Times New Roman" w:cs="Times New Roman"/>
          <w:sz w:val="18"/>
        </w:rPr>
        <w:t xml:space="preserve">Fundamento jurídico 21. </w:t>
      </w:r>
    </w:p>
  </w:footnote>
  <w:footnote w:id="9">
    <w:p w14:paraId="42680040" w14:textId="7BFCD6FE" w:rsidR="004D6AD5" w:rsidRPr="00DD6A79" w:rsidRDefault="004D6AD5" w:rsidP="00DD6A79">
      <w:pPr>
        <w:pStyle w:val="Textonotapie"/>
        <w:jc w:val="both"/>
        <w:rPr>
          <w:rFonts w:ascii="Times New Roman" w:hAnsi="Times New Roman" w:cs="Times New Roman"/>
          <w:sz w:val="18"/>
        </w:rPr>
      </w:pPr>
      <w:r w:rsidRPr="00DD6A79">
        <w:rPr>
          <w:rStyle w:val="Refdenotaalpie"/>
          <w:rFonts w:ascii="Times New Roman" w:hAnsi="Times New Roman" w:cs="Times New Roman"/>
          <w:sz w:val="18"/>
        </w:rPr>
        <w:footnoteRef/>
      </w:r>
      <w:r w:rsidRPr="00DD6A79">
        <w:rPr>
          <w:rFonts w:ascii="Times New Roman" w:hAnsi="Times New Roman" w:cs="Times New Roman"/>
          <w:sz w:val="18"/>
        </w:rPr>
        <w:t xml:space="preserve"> </w:t>
      </w:r>
      <w:r w:rsidR="006C7ABB" w:rsidRPr="00DD6A79">
        <w:rPr>
          <w:rFonts w:ascii="Times New Roman" w:hAnsi="Times New Roman" w:cs="Times New Roman"/>
          <w:sz w:val="18"/>
        </w:rPr>
        <w:t xml:space="preserve">Tribunal Constitucional. Exp. N° 00889-2017-PA/TC. </w:t>
      </w:r>
      <w:r w:rsidRPr="00DD6A79">
        <w:rPr>
          <w:rFonts w:ascii="Times New Roman" w:hAnsi="Times New Roman" w:cs="Times New Roman"/>
          <w:sz w:val="18"/>
        </w:rPr>
        <w:t xml:space="preserve">Resolución. </w:t>
      </w:r>
    </w:p>
  </w:footnote>
  <w:footnote w:id="10">
    <w:p w14:paraId="675A5316" w14:textId="6547B230" w:rsidR="006C7ABB" w:rsidRPr="00DD6A79" w:rsidRDefault="006C7ABB" w:rsidP="00DD6A79">
      <w:pPr>
        <w:pStyle w:val="Textonotapie"/>
        <w:jc w:val="both"/>
        <w:rPr>
          <w:rFonts w:ascii="Times New Roman" w:hAnsi="Times New Roman" w:cs="Times New Roman"/>
          <w:sz w:val="18"/>
        </w:rPr>
      </w:pPr>
      <w:r w:rsidRPr="00DD6A79">
        <w:rPr>
          <w:rStyle w:val="Refdenotaalpie"/>
          <w:rFonts w:ascii="Times New Roman" w:hAnsi="Times New Roman" w:cs="Times New Roman"/>
          <w:sz w:val="18"/>
        </w:rPr>
        <w:footnoteRef/>
      </w:r>
      <w:r w:rsidRPr="00DD6A79">
        <w:rPr>
          <w:rFonts w:ascii="Times New Roman" w:hAnsi="Times New Roman" w:cs="Times New Roman"/>
          <w:sz w:val="18"/>
        </w:rPr>
        <w:t xml:space="preserve"> MINCUL. Informe N° 000048-2023-DGCI-FPC/MC. Fecha: 18.07.2023. Página 7.</w:t>
      </w:r>
    </w:p>
  </w:footnote>
  <w:footnote w:id="11">
    <w:p w14:paraId="6D36BCBB" w14:textId="77777777" w:rsidR="00FF1312" w:rsidRPr="00DD6A79" w:rsidRDefault="00FF1312" w:rsidP="00DD6A79">
      <w:pPr>
        <w:pStyle w:val="Textonotapie"/>
        <w:jc w:val="both"/>
        <w:rPr>
          <w:rFonts w:ascii="Times New Roman" w:hAnsi="Times New Roman" w:cs="Times New Roman"/>
          <w:sz w:val="18"/>
        </w:rPr>
      </w:pPr>
      <w:r w:rsidRPr="00DD6A79">
        <w:rPr>
          <w:rStyle w:val="Refdenotaalpie"/>
          <w:rFonts w:ascii="Times New Roman" w:hAnsi="Times New Roman" w:cs="Times New Roman"/>
          <w:sz w:val="18"/>
        </w:rPr>
        <w:footnoteRef/>
      </w:r>
      <w:r w:rsidRPr="00DD6A79">
        <w:rPr>
          <w:rFonts w:ascii="Times New Roman" w:hAnsi="Times New Roman" w:cs="Times New Roman"/>
          <w:sz w:val="18"/>
        </w:rPr>
        <w:t xml:space="preserve"> Tribunal Constitucional. Exp. 02566-2014-PA/TC. Fundamento jurídico 14.</w:t>
      </w:r>
    </w:p>
  </w:footnote>
  <w:footnote w:id="12">
    <w:p w14:paraId="67F33942" w14:textId="77777777" w:rsidR="00FF1312" w:rsidRPr="00DD6A79" w:rsidRDefault="00FF1312" w:rsidP="00DD6A79">
      <w:pPr>
        <w:pStyle w:val="Textonotapie"/>
        <w:jc w:val="both"/>
        <w:rPr>
          <w:rFonts w:ascii="Times New Roman" w:hAnsi="Times New Roman" w:cs="Times New Roman"/>
          <w:sz w:val="18"/>
        </w:rPr>
      </w:pPr>
      <w:r w:rsidRPr="00DD6A79">
        <w:rPr>
          <w:rStyle w:val="Refdenotaalpie"/>
          <w:rFonts w:ascii="Times New Roman" w:hAnsi="Times New Roman" w:cs="Times New Roman"/>
          <w:sz w:val="18"/>
        </w:rPr>
        <w:footnoteRef/>
      </w:r>
      <w:r w:rsidRPr="00DD6A79">
        <w:rPr>
          <w:rFonts w:ascii="Times New Roman" w:hAnsi="Times New Roman" w:cs="Times New Roman"/>
          <w:sz w:val="18"/>
        </w:rPr>
        <w:t xml:space="preserve"> Tribunal Constitucional. Exp. 2016-2004-AA/TC. Fundamento jurídico 43.</w:t>
      </w:r>
    </w:p>
  </w:footnote>
  <w:footnote w:id="13">
    <w:p w14:paraId="78E88565" w14:textId="77777777" w:rsidR="00FF1312" w:rsidRPr="00DD6A79" w:rsidRDefault="00FF1312" w:rsidP="00DD6A79">
      <w:pPr>
        <w:pStyle w:val="Textonotapie"/>
        <w:jc w:val="both"/>
        <w:rPr>
          <w:rFonts w:ascii="Times New Roman" w:hAnsi="Times New Roman" w:cs="Times New Roman"/>
          <w:sz w:val="18"/>
        </w:rPr>
      </w:pPr>
      <w:r w:rsidRPr="00DD6A79">
        <w:rPr>
          <w:rStyle w:val="Refdenotaalpie"/>
          <w:rFonts w:ascii="Times New Roman" w:hAnsi="Times New Roman" w:cs="Times New Roman"/>
          <w:sz w:val="18"/>
        </w:rPr>
        <w:footnoteRef/>
      </w:r>
      <w:r w:rsidRPr="00DD6A79">
        <w:rPr>
          <w:rFonts w:ascii="Times New Roman" w:hAnsi="Times New Roman" w:cs="Times New Roman"/>
          <w:sz w:val="18"/>
        </w:rPr>
        <w:t xml:space="preserve"> Tribunal Constitucional. Exp. 2016-2004-AA/TC. Fundamento jurídico 29. </w:t>
      </w:r>
    </w:p>
  </w:footnote>
  <w:footnote w:id="14">
    <w:p w14:paraId="7F4999C4" w14:textId="77777777" w:rsidR="00FF1312" w:rsidRPr="00DD6A79" w:rsidRDefault="00FF1312" w:rsidP="00DD6A79">
      <w:pPr>
        <w:pStyle w:val="Textonotapie"/>
        <w:jc w:val="both"/>
        <w:rPr>
          <w:rFonts w:ascii="Times New Roman" w:hAnsi="Times New Roman" w:cs="Times New Roman"/>
          <w:sz w:val="18"/>
        </w:rPr>
      </w:pPr>
      <w:r w:rsidRPr="00DD6A79">
        <w:rPr>
          <w:rStyle w:val="Refdenotaalpie"/>
          <w:rFonts w:ascii="Times New Roman" w:hAnsi="Times New Roman" w:cs="Times New Roman"/>
          <w:sz w:val="18"/>
        </w:rPr>
        <w:footnoteRef/>
      </w:r>
      <w:r w:rsidRPr="00DD6A79">
        <w:rPr>
          <w:rFonts w:ascii="Times New Roman" w:hAnsi="Times New Roman" w:cs="Times New Roman"/>
          <w:sz w:val="18"/>
        </w:rPr>
        <w:t xml:space="preserve"> SUSALUD. Informe N° 000055-2023-SUSALUD-IPROM. Fecha: 23.06.2023. </w:t>
      </w:r>
    </w:p>
  </w:footnote>
  <w:footnote w:id="15">
    <w:p w14:paraId="1376E04E" w14:textId="101D0115" w:rsidR="00FF1312" w:rsidRPr="00DD6A79" w:rsidRDefault="00FF1312" w:rsidP="00DD6A79">
      <w:pPr>
        <w:pStyle w:val="Textonotapie"/>
        <w:jc w:val="both"/>
        <w:rPr>
          <w:rFonts w:ascii="Times New Roman" w:hAnsi="Times New Roman" w:cs="Times New Roman"/>
          <w:sz w:val="18"/>
        </w:rPr>
      </w:pPr>
      <w:r w:rsidRPr="00DD6A79">
        <w:rPr>
          <w:rStyle w:val="Refdenotaalpie"/>
          <w:rFonts w:ascii="Times New Roman" w:hAnsi="Times New Roman" w:cs="Times New Roman"/>
          <w:sz w:val="18"/>
        </w:rPr>
        <w:footnoteRef/>
      </w:r>
      <w:r w:rsidRPr="00DD6A79">
        <w:rPr>
          <w:rFonts w:ascii="Times New Roman" w:hAnsi="Times New Roman" w:cs="Times New Roman"/>
          <w:sz w:val="18"/>
        </w:rPr>
        <w:t xml:space="preserve"> Tribunal Constitucional. Exp. N° 0033-2010-PI. Fundamento jurídico 34.c.</w:t>
      </w:r>
    </w:p>
  </w:footnote>
  <w:footnote w:id="16">
    <w:p w14:paraId="5AE9D6F6" w14:textId="77777777" w:rsidR="00FF1312" w:rsidRPr="00DD6A79" w:rsidRDefault="00FF1312" w:rsidP="00DD6A79">
      <w:pPr>
        <w:pStyle w:val="Textonotapie"/>
        <w:jc w:val="both"/>
        <w:rPr>
          <w:rFonts w:ascii="Times New Roman" w:hAnsi="Times New Roman" w:cs="Times New Roman"/>
          <w:sz w:val="18"/>
        </w:rPr>
      </w:pPr>
      <w:r w:rsidRPr="00DD6A79">
        <w:rPr>
          <w:rStyle w:val="Refdenotaalpie"/>
          <w:rFonts w:ascii="Times New Roman" w:hAnsi="Times New Roman" w:cs="Times New Roman"/>
          <w:sz w:val="18"/>
        </w:rPr>
        <w:footnoteRef/>
      </w:r>
      <w:r w:rsidRPr="00DD6A79">
        <w:rPr>
          <w:rFonts w:ascii="Times New Roman" w:hAnsi="Times New Roman" w:cs="Times New Roman"/>
          <w:sz w:val="18"/>
        </w:rPr>
        <w:t xml:space="preserve"> SUSALUD. Informe N° 000055-2023-SUSALUD-IPROM. Fecha: 23.06.2023. </w:t>
      </w:r>
    </w:p>
  </w:footnote>
  <w:footnote w:id="17">
    <w:p w14:paraId="7C99E284" w14:textId="1A5C5A4A" w:rsidR="00FF1312" w:rsidRPr="00DD6A79" w:rsidRDefault="00FF1312" w:rsidP="00DD6A79">
      <w:pPr>
        <w:pStyle w:val="Textonotapie"/>
        <w:jc w:val="both"/>
        <w:rPr>
          <w:rFonts w:ascii="Times New Roman" w:hAnsi="Times New Roman" w:cs="Times New Roman"/>
          <w:sz w:val="18"/>
        </w:rPr>
      </w:pPr>
      <w:r w:rsidRPr="00DD6A79">
        <w:rPr>
          <w:rStyle w:val="Refdenotaalpie"/>
          <w:rFonts w:ascii="Times New Roman" w:hAnsi="Times New Roman" w:cs="Times New Roman"/>
          <w:sz w:val="18"/>
        </w:rPr>
        <w:footnoteRef/>
      </w:r>
      <w:r w:rsidRPr="00DD6A79">
        <w:rPr>
          <w:rFonts w:ascii="Times New Roman" w:hAnsi="Times New Roman" w:cs="Times New Roman"/>
          <w:sz w:val="18"/>
        </w:rPr>
        <w:t xml:space="preserve"> MINSA. D.S. N° 027-2015-SA. Publicado: 13.08.2015. Artículo 28. </w:t>
      </w:r>
    </w:p>
  </w:footnote>
  <w:footnote w:id="18">
    <w:p w14:paraId="2D93E068" w14:textId="77777777" w:rsidR="00FF1312" w:rsidRPr="00DD6A79" w:rsidRDefault="00FF1312" w:rsidP="00DD6A79">
      <w:pPr>
        <w:pStyle w:val="Textonotapie"/>
        <w:jc w:val="both"/>
        <w:rPr>
          <w:rFonts w:ascii="Times New Roman" w:hAnsi="Times New Roman" w:cs="Times New Roman"/>
          <w:sz w:val="18"/>
        </w:rPr>
      </w:pPr>
      <w:r w:rsidRPr="00DD6A79">
        <w:rPr>
          <w:rStyle w:val="Refdenotaalpie"/>
          <w:rFonts w:ascii="Times New Roman" w:hAnsi="Times New Roman" w:cs="Times New Roman"/>
          <w:sz w:val="18"/>
        </w:rPr>
        <w:footnoteRef/>
      </w:r>
      <w:r w:rsidRPr="00DD6A79">
        <w:rPr>
          <w:rFonts w:ascii="Times New Roman" w:hAnsi="Times New Roman" w:cs="Times New Roman"/>
          <w:sz w:val="18"/>
        </w:rPr>
        <w:t xml:space="preserve"> SUSALUD. Informe N° 000055-2023-SUSALUD-IPROM. Fecha: 23.06.2023. </w:t>
      </w:r>
    </w:p>
  </w:footnote>
  <w:footnote w:id="19">
    <w:p w14:paraId="71259F4F" w14:textId="1F6FA9B2" w:rsidR="00FF1312" w:rsidRPr="00DD6A79" w:rsidRDefault="00FF1312" w:rsidP="00DD6A79">
      <w:pPr>
        <w:pStyle w:val="Textonotapie"/>
        <w:jc w:val="both"/>
        <w:rPr>
          <w:rFonts w:ascii="Times New Roman" w:hAnsi="Times New Roman" w:cs="Times New Roman"/>
          <w:sz w:val="18"/>
        </w:rPr>
      </w:pPr>
      <w:r w:rsidRPr="00DD6A79">
        <w:rPr>
          <w:rStyle w:val="Refdenotaalpie"/>
          <w:rFonts w:ascii="Times New Roman" w:hAnsi="Times New Roman" w:cs="Times New Roman"/>
          <w:sz w:val="18"/>
        </w:rPr>
        <w:footnoteRef/>
      </w:r>
      <w:r w:rsidRPr="00DD6A79">
        <w:rPr>
          <w:rFonts w:ascii="Times New Roman" w:hAnsi="Times New Roman" w:cs="Times New Roman"/>
          <w:sz w:val="18"/>
        </w:rPr>
        <w:t xml:space="preserve"> CR. Ley N° 26842. Publicada: 20.07.1997. Artículo 15.3. </w:t>
      </w:r>
    </w:p>
  </w:footnote>
  <w:footnote w:id="20">
    <w:p w14:paraId="083F504E" w14:textId="77777777" w:rsidR="00FF1312" w:rsidRPr="00DD6A79" w:rsidRDefault="00FF1312" w:rsidP="00DD6A79">
      <w:pPr>
        <w:pStyle w:val="Textonotapie"/>
        <w:jc w:val="both"/>
        <w:rPr>
          <w:rFonts w:ascii="Times New Roman" w:hAnsi="Times New Roman" w:cs="Times New Roman"/>
          <w:sz w:val="18"/>
        </w:rPr>
      </w:pPr>
      <w:r w:rsidRPr="00DD6A79">
        <w:rPr>
          <w:rStyle w:val="Refdenotaalpie"/>
          <w:rFonts w:ascii="Times New Roman" w:hAnsi="Times New Roman" w:cs="Times New Roman"/>
          <w:sz w:val="18"/>
        </w:rPr>
        <w:footnoteRef/>
      </w:r>
      <w:r w:rsidRPr="00DD6A79">
        <w:rPr>
          <w:rFonts w:ascii="Times New Roman" w:hAnsi="Times New Roman" w:cs="Times New Roman"/>
          <w:sz w:val="18"/>
        </w:rPr>
        <w:t xml:space="preserve"> MINSA. D.S. N° 027-2015-SA. Publicado: 13.08.2015. Artículo 29.</w:t>
      </w:r>
    </w:p>
  </w:footnote>
  <w:footnote w:id="21">
    <w:p w14:paraId="5957A27F" w14:textId="75C73E50" w:rsidR="00FF1312" w:rsidRPr="00DD6A79" w:rsidRDefault="00FF1312" w:rsidP="00DD6A79">
      <w:pPr>
        <w:pStyle w:val="Textonotapie"/>
        <w:jc w:val="both"/>
        <w:rPr>
          <w:rFonts w:ascii="Times New Roman" w:hAnsi="Times New Roman" w:cs="Times New Roman"/>
          <w:sz w:val="18"/>
        </w:rPr>
      </w:pPr>
      <w:r w:rsidRPr="00DD6A79">
        <w:rPr>
          <w:rStyle w:val="Refdenotaalpie"/>
          <w:rFonts w:ascii="Times New Roman" w:hAnsi="Times New Roman" w:cs="Times New Roman"/>
          <w:sz w:val="18"/>
        </w:rPr>
        <w:footnoteRef/>
      </w:r>
      <w:r w:rsidRPr="00DD6A79">
        <w:rPr>
          <w:rFonts w:ascii="Times New Roman" w:hAnsi="Times New Roman" w:cs="Times New Roman"/>
          <w:sz w:val="18"/>
        </w:rPr>
        <w:t xml:space="preserve"> PODER EJECUTIVO. D.L. N° 1158. Publicado: 06.12.2013. Artículo 8.</w:t>
      </w:r>
    </w:p>
  </w:footnote>
  <w:footnote w:id="22">
    <w:p w14:paraId="1157B3DD" w14:textId="328D4815" w:rsidR="00FF1312" w:rsidRPr="00DD6A79" w:rsidRDefault="00FF1312" w:rsidP="00DD6A79">
      <w:pPr>
        <w:pStyle w:val="Textonotapie"/>
        <w:jc w:val="both"/>
        <w:rPr>
          <w:rFonts w:ascii="Times New Roman" w:hAnsi="Times New Roman" w:cs="Times New Roman"/>
          <w:sz w:val="18"/>
        </w:rPr>
      </w:pPr>
      <w:r w:rsidRPr="00DD6A79">
        <w:rPr>
          <w:rStyle w:val="Refdenotaalpie"/>
          <w:rFonts w:ascii="Times New Roman" w:hAnsi="Times New Roman" w:cs="Times New Roman"/>
          <w:sz w:val="18"/>
        </w:rPr>
        <w:footnoteRef/>
      </w:r>
      <w:r w:rsidRPr="00DD6A79">
        <w:rPr>
          <w:rFonts w:ascii="Times New Roman" w:hAnsi="Times New Roman" w:cs="Times New Roman"/>
          <w:sz w:val="18"/>
        </w:rPr>
        <w:t xml:space="preserve"> SUSALUD. Memorandum N° 000216-2023-SUSALUD-CECONAR. Fecha: 07.07.2023.</w:t>
      </w:r>
    </w:p>
  </w:footnote>
  <w:footnote w:id="23">
    <w:p w14:paraId="3833DE35" w14:textId="56B81EF2" w:rsidR="00C51B9E" w:rsidRPr="00DD6A79" w:rsidRDefault="00C51B9E" w:rsidP="00DD6A79">
      <w:pPr>
        <w:pStyle w:val="Textonotapie"/>
        <w:jc w:val="both"/>
        <w:rPr>
          <w:rFonts w:ascii="Times New Roman" w:hAnsi="Times New Roman" w:cs="Times New Roman"/>
          <w:sz w:val="18"/>
        </w:rPr>
      </w:pPr>
      <w:r w:rsidRPr="00DD6A79">
        <w:rPr>
          <w:rStyle w:val="Refdenotaalpie"/>
          <w:rFonts w:ascii="Times New Roman" w:hAnsi="Times New Roman" w:cs="Times New Roman"/>
          <w:sz w:val="18"/>
        </w:rPr>
        <w:footnoteRef/>
      </w:r>
      <w:r w:rsidRPr="00DD6A79">
        <w:rPr>
          <w:rFonts w:ascii="Times New Roman" w:hAnsi="Times New Roman" w:cs="Times New Roman"/>
          <w:sz w:val="18"/>
        </w:rPr>
        <w:t xml:space="preserve"> MINCUL. D.S. N° 003-2015-MC. Publicado: 28.10.2015.</w:t>
      </w:r>
    </w:p>
  </w:footnote>
  <w:footnote w:id="24">
    <w:p w14:paraId="0730DFB1" w14:textId="08AD7C19" w:rsidR="00C51B9E" w:rsidRPr="00DD6A79" w:rsidRDefault="00C51B9E" w:rsidP="00DD6A79">
      <w:pPr>
        <w:pStyle w:val="Textonotapie"/>
        <w:jc w:val="both"/>
        <w:rPr>
          <w:rFonts w:ascii="Times New Roman" w:hAnsi="Times New Roman" w:cs="Times New Roman"/>
          <w:sz w:val="18"/>
        </w:rPr>
      </w:pPr>
      <w:r w:rsidRPr="00DD6A79">
        <w:rPr>
          <w:rStyle w:val="Refdenotaalpie"/>
          <w:rFonts w:ascii="Times New Roman" w:hAnsi="Times New Roman" w:cs="Times New Roman"/>
          <w:sz w:val="18"/>
        </w:rPr>
        <w:footnoteRef/>
      </w:r>
      <w:r w:rsidRPr="00DD6A79">
        <w:rPr>
          <w:rFonts w:ascii="Times New Roman" w:hAnsi="Times New Roman" w:cs="Times New Roman"/>
          <w:sz w:val="18"/>
        </w:rPr>
        <w:t xml:space="preserve"> MINCUL. D.S. N° 001-2023-MC. Publicado: 08.02.2023. </w:t>
      </w:r>
    </w:p>
  </w:footnote>
  <w:footnote w:id="25">
    <w:p w14:paraId="277014C2" w14:textId="032E4269" w:rsidR="00C51B9E" w:rsidRPr="00DD6A79" w:rsidRDefault="00C51B9E" w:rsidP="00DD6A79">
      <w:pPr>
        <w:pStyle w:val="Textonotapie"/>
        <w:jc w:val="both"/>
        <w:rPr>
          <w:rFonts w:ascii="Times New Roman" w:hAnsi="Times New Roman" w:cs="Times New Roman"/>
          <w:sz w:val="18"/>
        </w:rPr>
      </w:pPr>
      <w:r w:rsidRPr="00DD6A79">
        <w:rPr>
          <w:rStyle w:val="Refdenotaalpie"/>
          <w:rFonts w:ascii="Times New Roman" w:hAnsi="Times New Roman" w:cs="Times New Roman"/>
          <w:sz w:val="18"/>
        </w:rPr>
        <w:footnoteRef/>
      </w:r>
      <w:r w:rsidRPr="00DD6A79">
        <w:rPr>
          <w:rFonts w:ascii="Times New Roman" w:hAnsi="Times New Roman" w:cs="Times New Roman"/>
          <w:sz w:val="18"/>
        </w:rPr>
        <w:t xml:space="preserve"> MINCUL. R.M. N° 124-2015-MC. Publicado: 10.04.2015. </w:t>
      </w:r>
    </w:p>
  </w:footnote>
  <w:footnote w:id="26">
    <w:p w14:paraId="379B8E51" w14:textId="3A3908E6" w:rsidR="00E50644" w:rsidRPr="00DD6A79" w:rsidRDefault="00E50644" w:rsidP="00DD6A79">
      <w:pPr>
        <w:pStyle w:val="Textonotapie"/>
        <w:jc w:val="both"/>
        <w:rPr>
          <w:rFonts w:ascii="Times New Roman" w:hAnsi="Times New Roman" w:cs="Times New Roman"/>
          <w:sz w:val="18"/>
        </w:rPr>
      </w:pPr>
      <w:r w:rsidRPr="00DD6A79">
        <w:rPr>
          <w:rStyle w:val="Refdenotaalpie"/>
          <w:rFonts w:ascii="Times New Roman" w:hAnsi="Times New Roman" w:cs="Times New Roman"/>
          <w:sz w:val="18"/>
        </w:rPr>
        <w:footnoteRef/>
      </w:r>
      <w:r w:rsidRPr="00DD6A79">
        <w:rPr>
          <w:rFonts w:ascii="Times New Roman" w:hAnsi="Times New Roman" w:cs="Times New Roman"/>
          <w:sz w:val="18"/>
        </w:rPr>
        <w:t xml:space="preserve"> MINSA. R.M. N° 228-2019-MINSA. Publicado: 09.03.2019.</w:t>
      </w:r>
    </w:p>
  </w:footnote>
  <w:footnote w:id="27">
    <w:p w14:paraId="6DD298DF" w14:textId="55336023" w:rsidR="00E50644" w:rsidRPr="00DD6A79" w:rsidRDefault="00E50644" w:rsidP="00DD6A79">
      <w:pPr>
        <w:pStyle w:val="Textonotapie"/>
        <w:jc w:val="both"/>
        <w:rPr>
          <w:rFonts w:ascii="Times New Roman" w:hAnsi="Times New Roman" w:cs="Times New Roman"/>
          <w:sz w:val="18"/>
        </w:rPr>
      </w:pPr>
      <w:r w:rsidRPr="00DD6A79">
        <w:rPr>
          <w:rStyle w:val="Refdenotaalpie"/>
          <w:rFonts w:ascii="Times New Roman" w:hAnsi="Times New Roman" w:cs="Times New Roman"/>
          <w:sz w:val="18"/>
        </w:rPr>
        <w:footnoteRef/>
      </w:r>
      <w:r w:rsidRPr="00DD6A79">
        <w:rPr>
          <w:rFonts w:ascii="Times New Roman" w:hAnsi="Times New Roman" w:cs="Times New Roman"/>
          <w:sz w:val="18"/>
        </w:rPr>
        <w:t xml:space="preserve"> MINCUL. Informe N° 000048-2023-DGCI-FPC/MC. Fecha: 18.07.2023. Página 9 y 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6550"/>
    <w:multiLevelType w:val="multilevel"/>
    <w:tmpl w:val="ED905E08"/>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C12932C"/>
    <w:multiLevelType w:val="hybridMultilevel"/>
    <w:tmpl w:val="790565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F35A4E"/>
    <w:multiLevelType w:val="multilevel"/>
    <w:tmpl w:val="ED905E08"/>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1A4E54A5"/>
    <w:multiLevelType w:val="hybridMultilevel"/>
    <w:tmpl w:val="95A21718"/>
    <w:lvl w:ilvl="0" w:tplc="6706D05C">
      <w:start w:val="1"/>
      <w:numFmt w:val="decimal"/>
      <w:lvlText w:val="%1."/>
      <w:lvlJc w:val="left"/>
      <w:pPr>
        <w:ind w:left="437" w:hanging="360"/>
      </w:pPr>
      <w:rPr>
        <w:rFonts w:ascii="Times New Roman" w:hAnsi="Times New Roman" w:cs="Times New Roman" w:hint="default"/>
        <w:sz w:val="24"/>
        <w:szCs w:val="24"/>
      </w:rPr>
    </w:lvl>
    <w:lvl w:ilvl="1" w:tplc="280A0019" w:tentative="1">
      <w:start w:val="1"/>
      <w:numFmt w:val="lowerLetter"/>
      <w:lvlText w:val="%2."/>
      <w:lvlJc w:val="left"/>
      <w:pPr>
        <w:ind w:left="1157" w:hanging="360"/>
      </w:pPr>
    </w:lvl>
    <w:lvl w:ilvl="2" w:tplc="280A001B" w:tentative="1">
      <w:start w:val="1"/>
      <w:numFmt w:val="lowerRoman"/>
      <w:lvlText w:val="%3."/>
      <w:lvlJc w:val="right"/>
      <w:pPr>
        <w:ind w:left="1877" w:hanging="180"/>
      </w:pPr>
    </w:lvl>
    <w:lvl w:ilvl="3" w:tplc="280A000F" w:tentative="1">
      <w:start w:val="1"/>
      <w:numFmt w:val="decimal"/>
      <w:lvlText w:val="%4."/>
      <w:lvlJc w:val="left"/>
      <w:pPr>
        <w:ind w:left="2597" w:hanging="360"/>
      </w:pPr>
    </w:lvl>
    <w:lvl w:ilvl="4" w:tplc="280A0019" w:tentative="1">
      <w:start w:val="1"/>
      <w:numFmt w:val="lowerLetter"/>
      <w:lvlText w:val="%5."/>
      <w:lvlJc w:val="left"/>
      <w:pPr>
        <w:ind w:left="3317" w:hanging="360"/>
      </w:pPr>
    </w:lvl>
    <w:lvl w:ilvl="5" w:tplc="280A001B" w:tentative="1">
      <w:start w:val="1"/>
      <w:numFmt w:val="lowerRoman"/>
      <w:lvlText w:val="%6."/>
      <w:lvlJc w:val="right"/>
      <w:pPr>
        <w:ind w:left="4037" w:hanging="180"/>
      </w:pPr>
    </w:lvl>
    <w:lvl w:ilvl="6" w:tplc="280A000F" w:tentative="1">
      <w:start w:val="1"/>
      <w:numFmt w:val="decimal"/>
      <w:lvlText w:val="%7."/>
      <w:lvlJc w:val="left"/>
      <w:pPr>
        <w:ind w:left="4757" w:hanging="360"/>
      </w:pPr>
    </w:lvl>
    <w:lvl w:ilvl="7" w:tplc="280A0019" w:tentative="1">
      <w:start w:val="1"/>
      <w:numFmt w:val="lowerLetter"/>
      <w:lvlText w:val="%8."/>
      <w:lvlJc w:val="left"/>
      <w:pPr>
        <w:ind w:left="5477" w:hanging="360"/>
      </w:pPr>
    </w:lvl>
    <w:lvl w:ilvl="8" w:tplc="280A001B" w:tentative="1">
      <w:start w:val="1"/>
      <w:numFmt w:val="lowerRoman"/>
      <w:lvlText w:val="%9."/>
      <w:lvlJc w:val="right"/>
      <w:pPr>
        <w:ind w:left="6197" w:hanging="180"/>
      </w:pPr>
    </w:lvl>
  </w:abstractNum>
  <w:abstractNum w:abstractNumId="4" w15:restartNumberingAfterBreak="0">
    <w:nsid w:val="1FA82A17"/>
    <w:multiLevelType w:val="multilevel"/>
    <w:tmpl w:val="ED905E08"/>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231769FE"/>
    <w:multiLevelType w:val="hybridMultilevel"/>
    <w:tmpl w:val="17E63868"/>
    <w:lvl w:ilvl="0" w:tplc="1A92BA36">
      <w:start w:val="1"/>
      <w:numFmt w:val="lowerRoman"/>
      <w:lvlText w:val="%1)"/>
      <w:lvlJc w:val="left"/>
      <w:pPr>
        <w:ind w:left="1428" w:hanging="72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6" w15:restartNumberingAfterBreak="0">
    <w:nsid w:val="24C55BCD"/>
    <w:multiLevelType w:val="multilevel"/>
    <w:tmpl w:val="ED905E08"/>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26596E63"/>
    <w:multiLevelType w:val="multilevel"/>
    <w:tmpl w:val="ED905E08"/>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281A09F1"/>
    <w:multiLevelType w:val="hybridMultilevel"/>
    <w:tmpl w:val="71A224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2A17BD1"/>
    <w:multiLevelType w:val="hybridMultilevel"/>
    <w:tmpl w:val="10D61D9A"/>
    <w:lvl w:ilvl="0" w:tplc="E2846B00">
      <w:start w:val="1"/>
      <w:numFmt w:val="decimal"/>
      <w:lvlText w:val="%1."/>
      <w:lvlJc w:val="left"/>
      <w:pPr>
        <w:ind w:left="437" w:hanging="360"/>
      </w:pPr>
      <w:rPr>
        <w:rFonts w:ascii="Times New Roman" w:hAnsi="Times New Roman" w:cs="Times New Roman" w:hint="default"/>
        <w:b w:val="0"/>
        <w:color w:val="000000" w:themeColor="text1"/>
        <w:sz w:val="22"/>
        <w:szCs w:val="22"/>
      </w:rPr>
    </w:lvl>
    <w:lvl w:ilvl="1" w:tplc="280A0019" w:tentative="1">
      <w:start w:val="1"/>
      <w:numFmt w:val="lowerLetter"/>
      <w:lvlText w:val="%2."/>
      <w:lvlJc w:val="left"/>
      <w:pPr>
        <w:ind w:left="1157" w:hanging="360"/>
      </w:pPr>
    </w:lvl>
    <w:lvl w:ilvl="2" w:tplc="280A001B" w:tentative="1">
      <w:start w:val="1"/>
      <w:numFmt w:val="lowerRoman"/>
      <w:lvlText w:val="%3."/>
      <w:lvlJc w:val="right"/>
      <w:pPr>
        <w:ind w:left="1877" w:hanging="180"/>
      </w:pPr>
    </w:lvl>
    <w:lvl w:ilvl="3" w:tplc="280A000F" w:tentative="1">
      <w:start w:val="1"/>
      <w:numFmt w:val="decimal"/>
      <w:lvlText w:val="%4."/>
      <w:lvlJc w:val="left"/>
      <w:pPr>
        <w:ind w:left="2597" w:hanging="360"/>
      </w:pPr>
    </w:lvl>
    <w:lvl w:ilvl="4" w:tplc="280A0019" w:tentative="1">
      <w:start w:val="1"/>
      <w:numFmt w:val="lowerLetter"/>
      <w:lvlText w:val="%5."/>
      <w:lvlJc w:val="left"/>
      <w:pPr>
        <w:ind w:left="3317" w:hanging="360"/>
      </w:pPr>
    </w:lvl>
    <w:lvl w:ilvl="5" w:tplc="280A001B" w:tentative="1">
      <w:start w:val="1"/>
      <w:numFmt w:val="lowerRoman"/>
      <w:lvlText w:val="%6."/>
      <w:lvlJc w:val="right"/>
      <w:pPr>
        <w:ind w:left="4037" w:hanging="180"/>
      </w:pPr>
    </w:lvl>
    <w:lvl w:ilvl="6" w:tplc="280A000F" w:tentative="1">
      <w:start w:val="1"/>
      <w:numFmt w:val="decimal"/>
      <w:lvlText w:val="%7."/>
      <w:lvlJc w:val="left"/>
      <w:pPr>
        <w:ind w:left="4757" w:hanging="360"/>
      </w:pPr>
    </w:lvl>
    <w:lvl w:ilvl="7" w:tplc="280A0019" w:tentative="1">
      <w:start w:val="1"/>
      <w:numFmt w:val="lowerLetter"/>
      <w:lvlText w:val="%8."/>
      <w:lvlJc w:val="left"/>
      <w:pPr>
        <w:ind w:left="5477" w:hanging="360"/>
      </w:pPr>
    </w:lvl>
    <w:lvl w:ilvl="8" w:tplc="280A001B" w:tentative="1">
      <w:start w:val="1"/>
      <w:numFmt w:val="lowerRoman"/>
      <w:lvlText w:val="%9."/>
      <w:lvlJc w:val="right"/>
      <w:pPr>
        <w:ind w:left="6197" w:hanging="180"/>
      </w:pPr>
    </w:lvl>
  </w:abstractNum>
  <w:abstractNum w:abstractNumId="10" w15:restartNumberingAfterBreak="0">
    <w:nsid w:val="3C1D6D97"/>
    <w:multiLevelType w:val="hybridMultilevel"/>
    <w:tmpl w:val="E6062F8E"/>
    <w:lvl w:ilvl="0" w:tplc="280A000F">
      <w:start w:val="1"/>
      <w:numFmt w:val="decimal"/>
      <w:lvlText w:val="%1."/>
      <w:lvlJc w:val="left"/>
      <w:pPr>
        <w:ind w:left="797" w:hanging="360"/>
      </w:pPr>
    </w:lvl>
    <w:lvl w:ilvl="1" w:tplc="280A0019" w:tentative="1">
      <w:start w:val="1"/>
      <w:numFmt w:val="lowerLetter"/>
      <w:lvlText w:val="%2."/>
      <w:lvlJc w:val="left"/>
      <w:pPr>
        <w:ind w:left="1517" w:hanging="360"/>
      </w:pPr>
    </w:lvl>
    <w:lvl w:ilvl="2" w:tplc="280A001B" w:tentative="1">
      <w:start w:val="1"/>
      <w:numFmt w:val="lowerRoman"/>
      <w:lvlText w:val="%3."/>
      <w:lvlJc w:val="right"/>
      <w:pPr>
        <w:ind w:left="2237" w:hanging="180"/>
      </w:pPr>
    </w:lvl>
    <w:lvl w:ilvl="3" w:tplc="280A000F" w:tentative="1">
      <w:start w:val="1"/>
      <w:numFmt w:val="decimal"/>
      <w:lvlText w:val="%4."/>
      <w:lvlJc w:val="left"/>
      <w:pPr>
        <w:ind w:left="2957" w:hanging="360"/>
      </w:pPr>
    </w:lvl>
    <w:lvl w:ilvl="4" w:tplc="280A0019" w:tentative="1">
      <w:start w:val="1"/>
      <w:numFmt w:val="lowerLetter"/>
      <w:lvlText w:val="%5."/>
      <w:lvlJc w:val="left"/>
      <w:pPr>
        <w:ind w:left="3677" w:hanging="360"/>
      </w:pPr>
    </w:lvl>
    <w:lvl w:ilvl="5" w:tplc="280A001B" w:tentative="1">
      <w:start w:val="1"/>
      <w:numFmt w:val="lowerRoman"/>
      <w:lvlText w:val="%6."/>
      <w:lvlJc w:val="right"/>
      <w:pPr>
        <w:ind w:left="4397" w:hanging="180"/>
      </w:pPr>
    </w:lvl>
    <w:lvl w:ilvl="6" w:tplc="280A000F" w:tentative="1">
      <w:start w:val="1"/>
      <w:numFmt w:val="decimal"/>
      <w:lvlText w:val="%7."/>
      <w:lvlJc w:val="left"/>
      <w:pPr>
        <w:ind w:left="5117" w:hanging="360"/>
      </w:pPr>
    </w:lvl>
    <w:lvl w:ilvl="7" w:tplc="280A0019" w:tentative="1">
      <w:start w:val="1"/>
      <w:numFmt w:val="lowerLetter"/>
      <w:lvlText w:val="%8."/>
      <w:lvlJc w:val="left"/>
      <w:pPr>
        <w:ind w:left="5837" w:hanging="360"/>
      </w:pPr>
    </w:lvl>
    <w:lvl w:ilvl="8" w:tplc="280A001B" w:tentative="1">
      <w:start w:val="1"/>
      <w:numFmt w:val="lowerRoman"/>
      <w:lvlText w:val="%9."/>
      <w:lvlJc w:val="right"/>
      <w:pPr>
        <w:ind w:left="6557" w:hanging="180"/>
      </w:pPr>
    </w:lvl>
  </w:abstractNum>
  <w:abstractNum w:abstractNumId="11" w15:restartNumberingAfterBreak="0">
    <w:nsid w:val="502846AD"/>
    <w:multiLevelType w:val="multilevel"/>
    <w:tmpl w:val="ED905E08"/>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51852FA7"/>
    <w:multiLevelType w:val="hybridMultilevel"/>
    <w:tmpl w:val="17E63868"/>
    <w:lvl w:ilvl="0" w:tplc="FFFFFFFF">
      <w:start w:val="1"/>
      <w:numFmt w:val="low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518E189C"/>
    <w:multiLevelType w:val="hybridMultilevel"/>
    <w:tmpl w:val="296E49A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837010F"/>
    <w:multiLevelType w:val="multilevel"/>
    <w:tmpl w:val="ED905E08"/>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6A047842"/>
    <w:multiLevelType w:val="hybridMultilevel"/>
    <w:tmpl w:val="028274F0"/>
    <w:lvl w:ilvl="0" w:tplc="966E8CC0">
      <w:start w:val="1"/>
      <w:numFmt w:val="decimal"/>
      <w:lvlText w:val="%1."/>
      <w:lvlJc w:val="left"/>
      <w:pPr>
        <w:ind w:left="720" w:hanging="360"/>
      </w:pPr>
      <w:rPr>
        <w:rFonts w:ascii="Times New Roman" w:hAnsi="Times New Roman" w:cs="Times New Roman" w:hint="default"/>
        <w:b w:val="0"/>
        <w:sz w:val="20"/>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5C58C7"/>
    <w:multiLevelType w:val="hybridMultilevel"/>
    <w:tmpl w:val="18B665C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70677AAA"/>
    <w:multiLevelType w:val="multilevel"/>
    <w:tmpl w:val="ED905E08"/>
    <w:lvl w:ilvl="0">
      <w:start w:val="1"/>
      <w:numFmt w:val="upperRoman"/>
      <w:lvlText w:val="%1."/>
      <w:lvlJc w:val="left"/>
      <w:pPr>
        <w:ind w:left="720" w:hanging="720"/>
      </w:pPr>
      <w:rPr>
        <w:rFonts w:hint="default"/>
      </w:rPr>
    </w:lvl>
    <w:lvl w:ilvl="1">
      <w:start w:val="1"/>
      <w:numFmt w:val="decimal"/>
      <w:isLgl/>
      <w:lvlText w:val="%1.%2."/>
      <w:lvlJc w:val="left"/>
      <w:pPr>
        <w:ind w:left="709" w:hanging="360"/>
      </w:pPr>
      <w:rPr>
        <w:rFonts w:hint="default"/>
        <w:color w:val="auto"/>
      </w:rPr>
    </w:lvl>
    <w:lvl w:ilvl="2">
      <w:start w:val="1"/>
      <w:numFmt w:val="decimal"/>
      <w:isLgl/>
      <w:lvlText w:val="%1.%2.%3."/>
      <w:lvlJc w:val="left"/>
      <w:pPr>
        <w:ind w:left="141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825"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883" w:hanging="1440"/>
      </w:pPr>
      <w:rPr>
        <w:rFonts w:hint="default"/>
      </w:rPr>
    </w:lvl>
    <w:lvl w:ilvl="8">
      <w:start w:val="1"/>
      <w:numFmt w:val="decimal"/>
      <w:isLgl/>
      <w:lvlText w:val="%1.%2.%3.%4.%5.%6.%7.%8.%9."/>
      <w:lvlJc w:val="left"/>
      <w:pPr>
        <w:ind w:left="4592" w:hanging="1800"/>
      </w:pPr>
      <w:rPr>
        <w:rFonts w:hint="default"/>
      </w:rPr>
    </w:lvl>
  </w:abstractNum>
  <w:num w:numId="1" w16cid:durableId="126551737">
    <w:abstractNumId w:val="2"/>
  </w:num>
  <w:num w:numId="2" w16cid:durableId="125394001">
    <w:abstractNumId w:val="9"/>
  </w:num>
  <w:num w:numId="3" w16cid:durableId="111630230">
    <w:abstractNumId w:val="14"/>
  </w:num>
  <w:num w:numId="4" w16cid:durableId="971712732">
    <w:abstractNumId w:val="11"/>
  </w:num>
  <w:num w:numId="5" w16cid:durableId="63450433">
    <w:abstractNumId w:val="10"/>
  </w:num>
  <w:num w:numId="6" w16cid:durableId="834997768">
    <w:abstractNumId w:val="5"/>
  </w:num>
  <w:num w:numId="7" w16cid:durableId="747654761">
    <w:abstractNumId w:val="12"/>
  </w:num>
  <w:num w:numId="8" w16cid:durableId="939028289">
    <w:abstractNumId w:val="17"/>
  </w:num>
  <w:num w:numId="9" w16cid:durableId="1477139781">
    <w:abstractNumId w:val="8"/>
  </w:num>
  <w:num w:numId="10" w16cid:durableId="269163050">
    <w:abstractNumId w:val="15"/>
  </w:num>
  <w:num w:numId="11" w16cid:durableId="1303002327">
    <w:abstractNumId w:val="3"/>
  </w:num>
  <w:num w:numId="12" w16cid:durableId="637876117">
    <w:abstractNumId w:val="16"/>
  </w:num>
  <w:num w:numId="13" w16cid:durableId="1147282755">
    <w:abstractNumId w:val="7"/>
  </w:num>
  <w:num w:numId="14" w16cid:durableId="1095900868">
    <w:abstractNumId w:val="4"/>
  </w:num>
  <w:num w:numId="15" w16cid:durableId="125583964">
    <w:abstractNumId w:val="0"/>
  </w:num>
  <w:num w:numId="16" w16cid:durableId="236667279">
    <w:abstractNumId w:val="1"/>
  </w:num>
  <w:num w:numId="17" w16cid:durableId="652875851">
    <w:abstractNumId w:val="13"/>
  </w:num>
  <w:num w:numId="18" w16cid:durableId="320752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29"/>
    <w:rsid w:val="0000213C"/>
    <w:rsid w:val="00023A4F"/>
    <w:rsid w:val="000A6961"/>
    <w:rsid w:val="000E2C2F"/>
    <w:rsid w:val="000E4877"/>
    <w:rsid w:val="000F3F11"/>
    <w:rsid w:val="00134C03"/>
    <w:rsid w:val="00145A7E"/>
    <w:rsid w:val="001A2F6A"/>
    <w:rsid w:val="001B1E43"/>
    <w:rsid w:val="001D4543"/>
    <w:rsid w:val="00230916"/>
    <w:rsid w:val="00245A25"/>
    <w:rsid w:val="00273324"/>
    <w:rsid w:val="002A684D"/>
    <w:rsid w:val="002E3A76"/>
    <w:rsid w:val="002E3BA7"/>
    <w:rsid w:val="002F355A"/>
    <w:rsid w:val="0030129B"/>
    <w:rsid w:val="00303A45"/>
    <w:rsid w:val="00312B20"/>
    <w:rsid w:val="00343AFA"/>
    <w:rsid w:val="003850C9"/>
    <w:rsid w:val="003B3AC0"/>
    <w:rsid w:val="003E4546"/>
    <w:rsid w:val="003F5C22"/>
    <w:rsid w:val="0040128E"/>
    <w:rsid w:val="00443468"/>
    <w:rsid w:val="004769D9"/>
    <w:rsid w:val="0049075E"/>
    <w:rsid w:val="004C1626"/>
    <w:rsid w:val="004C1E3B"/>
    <w:rsid w:val="004D4C63"/>
    <w:rsid w:val="004D6AD5"/>
    <w:rsid w:val="004E7A5B"/>
    <w:rsid w:val="0051626D"/>
    <w:rsid w:val="00564A25"/>
    <w:rsid w:val="00590F6B"/>
    <w:rsid w:val="00616485"/>
    <w:rsid w:val="00617F03"/>
    <w:rsid w:val="00643DE0"/>
    <w:rsid w:val="00682AC4"/>
    <w:rsid w:val="006C7ABB"/>
    <w:rsid w:val="006C7EFC"/>
    <w:rsid w:val="006E77BD"/>
    <w:rsid w:val="006F3237"/>
    <w:rsid w:val="00720E36"/>
    <w:rsid w:val="00740F9C"/>
    <w:rsid w:val="0075338D"/>
    <w:rsid w:val="007652E3"/>
    <w:rsid w:val="0076749F"/>
    <w:rsid w:val="00784EBC"/>
    <w:rsid w:val="007A6202"/>
    <w:rsid w:val="007B6074"/>
    <w:rsid w:val="00800948"/>
    <w:rsid w:val="00805559"/>
    <w:rsid w:val="0082775F"/>
    <w:rsid w:val="008555DC"/>
    <w:rsid w:val="00857AEB"/>
    <w:rsid w:val="0087458C"/>
    <w:rsid w:val="0089179C"/>
    <w:rsid w:val="008955DD"/>
    <w:rsid w:val="00926677"/>
    <w:rsid w:val="00973B9F"/>
    <w:rsid w:val="009900D1"/>
    <w:rsid w:val="0099140D"/>
    <w:rsid w:val="00994057"/>
    <w:rsid w:val="00996266"/>
    <w:rsid w:val="009B3F1B"/>
    <w:rsid w:val="009B79BC"/>
    <w:rsid w:val="009C5063"/>
    <w:rsid w:val="009E743F"/>
    <w:rsid w:val="009F6960"/>
    <w:rsid w:val="00A31802"/>
    <w:rsid w:val="00A456DB"/>
    <w:rsid w:val="00A5668C"/>
    <w:rsid w:val="00A8603A"/>
    <w:rsid w:val="00A92314"/>
    <w:rsid w:val="00AB380B"/>
    <w:rsid w:val="00AE0D9F"/>
    <w:rsid w:val="00AF4E43"/>
    <w:rsid w:val="00B01E2B"/>
    <w:rsid w:val="00B055F1"/>
    <w:rsid w:val="00B11336"/>
    <w:rsid w:val="00B34E7E"/>
    <w:rsid w:val="00B61CC4"/>
    <w:rsid w:val="00B77AE5"/>
    <w:rsid w:val="00BF742E"/>
    <w:rsid w:val="00C00964"/>
    <w:rsid w:val="00C3458B"/>
    <w:rsid w:val="00C51B9E"/>
    <w:rsid w:val="00C56FF5"/>
    <w:rsid w:val="00C64133"/>
    <w:rsid w:val="00C64EE6"/>
    <w:rsid w:val="00C968A6"/>
    <w:rsid w:val="00CA7926"/>
    <w:rsid w:val="00CC47F8"/>
    <w:rsid w:val="00CE72B1"/>
    <w:rsid w:val="00D15C8B"/>
    <w:rsid w:val="00D53F3B"/>
    <w:rsid w:val="00D81D8F"/>
    <w:rsid w:val="00D92061"/>
    <w:rsid w:val="00D96823"/>
    <w:rsid w:val="00DA5DF3"/>
    <w:rsid w:val="00DC1C69"/>
    <w:rsid w:val="00DD6A79"/>
    <w:rsid w:val="00DF2350"/>
    <w:rsid w:val="00E20949"/>
    <w:rsid w:val="00E26E0C"/>
    <w:rsid w:val="00E4116C"/>
    <w:rsid w:val="00E50644"/>
    <w:rsid w:val="00E555AA"/>
    <w:rsid w:val="00E60956"/>
    <w:rsid w:val="00EA77FC"/>
    <w:rsid w:val="00EC0394"/>
    <w:rsid w:val="00EC0824"/>
    <w:rsid w:val="00EC10DD"/>
    <w:rsid w:val="00EC141A"/>
    <w:rsid w:val="00ED490D"/>
    <w:rsid w:val="00EF18EB"/>
    <w:rsid w:val="00EF5183"/>
    <w:rsid w:val="00F03009"/>
    <w:rsid w:val="00F05B7A"/>
    <w:rsid w:val="00F12577"/>
    <w:rsid w:val="00F240CD"/>
    <w:rsid w:val="00F44C29"/>
    <w:rsid w:val="00F81CCF"/>
    <w:rsid w:val="00F822C5"/>
    <w:rsid w:val="00F92F31"/>
    <w:rsid w:val="00FA142A"/>
    <w:rsid w:val="00FD56D5"/>
    <w:rsid w:val="00FE1B3F"/>
    <w:rsid w:val="00FF131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AC0A"/>
  <w15:chartTrackingRefBased/>
  <w15:docId w15:val="{BCF0270C-11EE-4B3E-98FD-55D3B794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C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ootnote,List Paragraph1,Fundamentacion,NUMBERED PARAGRAPH,List Paragraph 1,References,ReferencesCxSpLast,lp1,NIVEL ONE,Lista 123,Párrafo Normal,Bulleted List,Cita Pie de Página,titulo,Titulo 1,SubPárrafo de lista,Cuadro 2-1,paul2,Ha"/>
    <w:basedOn w:val="Normal"/>
    <w:link w:val="PrrafodelistaCar"/>
    <w:uiPriority w:val="34"/>
    <w:qFormat/>
    <w:rsid w:val="00F44C29"/>
    <w:pPr>
      <w:spacing w:after="200" w:line="240" w:lineRule="auto"/>
      <w:ind w:left="720"/>
      <w:contextualSpacing/>
      <w:jc w:val="center"/>
    </w:pPr>
    <w:rPr>
      <w:color w:val="00000A"/>
      <w:lang w:val="es-ES"/>
    </w:rPr>
  </w:style>
  <w:style w:type="character" w:customStyle="1" w:styleId="PrrafodelistaCar">
    <w:name w:val="Párrafo de lista Car"/>
    <w:aliases w:val="Footnote Car,List Paragraph1 Car,Fundamentacion Car,NUMBERED PARAGRAPH Car,List Paragraph 1 Car,References Car,ReferencesCxSpLast Car,lp1 Car,NIVEL ONE Car,Lista 123 Car,Párrafo Normal Car,Bulleted List Car,Cita Pie de Página Car"/>
    <w:link w:val="Prrafodelista"/>
    <w:uiPriority w:val="34"/>
    <w:qFormat/>
    <w:rsid w:val="00F44C29"/>
    <w:rPr>
      <w:color w:val="00000A"/>
      <w:lang w:val="es-ES"/>
    </w:rPr>
  </w:style>
  <w:style w:type="paragraph" w:styleId="Textonotapie">
    <w:name w:val="footnote text"/>
    <w:aliases w:val="Car,FN,FN Car,Normal2,Footnote Text Char Char Char Char Char,Footnote Text Char Char Char Char,Footnote reference,FA Fu,Footnote Text Char Char Char,Footnote Text Cha,FA Fußnotentext,FA Fu?notentext,Footnote Text Char Char,FA Fuﬂnotentext"/>
    <w:basedOn w:val="Normal"/>
    <w:link w:val="TextonotapieCar"/>
    <w:uiPriority w:val="99"/>
    <w:unhideWhenUsed/>
    <w:qFormat/>
    <w:rsid w:val="00F44C29"/>
    <w:pPr>
      <w:spacing w:after="0" w:line="240" w:lineRule="auto"/>
    </w:pPr>
    <w:rPr>
      <w:sz w:val="20"/>
      <w:szCs w:val="20"/>
    </w:rPr>
  </w:style>
  <w:style w:type="character" w:customStyle="1" w:styleId="TextonotapieCar">
    <w:name w:val="Texto nota pie Car"/>
    <w:aliases w:val="Car Car,FN Car1,FN Car Car,Normal2 Car,Footnote Text Char Char Char Char Char Car,Footnote Text Char Char Char Char Car,Footnote reference Car,FA Fu Car,Footnote Text Char Char Char Car,Footnote Text Cha Car,FA Fußnotentext Car"/>
    <w:basedOn w:val="Fuentedeprrafopredeter"/>
    <w:link w:val="Textonotapie"/>
    <w:uiPriority w:val="99"/>
    <w:qFormat/>
    <w:rsid w:val="00F44C29"/>
    <w:rPr>
      <w:sz w:val="20"/>
      <w:szCs w:val="20"/>
    </w:rPr>
  </w:style>
  <w:style w:type="character" w:styleId="Refdenotaalpie">
    <w:name w:val="footnote reference"/>
    <w:aliases w:val="16 Point,Superscript 6 Point,Footnotes refss,Texto de nota al pie,Appel note de bas de page,BVI fnr,CVR Ref. de nota al pie, BVI fnr,Footnote number,referencia nota al pie,4_G,Footnote Reference Char3,Footnote Reference Char1 Char,f"/>
    <w:basedOn w:val="Fuentedeprrafopredeter"/>
    <w:link w:val="BVIfnrCar1CarCarCarCar"/>
    <w:uiPriority w:val="99"/>
    <w:unhideWhenUsed/>
    <w:qFormat/>
    <w:rsid w:val="00F44C29"/>
    <w:rPr>
      <w:vertAlign w:val="superscript"/>
    </w:rPr>
  </w:style>
  <w:style w:type="character" w:styleId="Hipervnculo">
    <w:name w:val="Hyperlink"/>
    <w:basedOn w:val="Fuentedeprrafopredeter"/>
    <w:uiPriority w:val="99"/>
    <w:unhideWhenUsed/>
    <w:rsid w:val="00F44C29"/>
    <w:rPr>
      <w:color w:val="0563C1" w:themeColor="hyperlink"/>
      <w:u w:val="single"/>
    </w:rPr>
  </w:style>
  <w:style w:type="paragraph" w:styleId="Revisin">
    <w:name w:val="Revision"/>
    <w:hidden/>
    <w:uiPriority w:val="99"/>
    <w:semiHidden/>
    <w:rsid w:val="009F6960"/>
    <w:pPr>
      <w:spacing w:after="0" w:line="240" w:lineRule="auto"/>
    </w:pPr>
  </w:style>
  <w:style w:type="character" w:styleId="Mencinsinresolver">
    <w:name w:val="Unresolved Mention"/>
    <w:basedOn w:val="Fuentedeprrafopredeter"/>
    <w:uiPriority w:val="99"/>
    <w:semiHidden/>
    <w:unhideWhenUsed/>
    <w:rsid w:val="009900D1"/>
    <w:rPr>
      <w:color w:val="605E5C"/>
      <w:shd w:val="clear" w:color="auto" w:fill="E1DFDD"/>
    </w:r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link w:val="Refdenotaalpie"/>
    <w:uiPriority w:val="99"/>
    <w:rsid w:val="00800948"/>
    <w:pPr>
      <w:spacing w:before="200" w:line="240" w:lineRule="exact"/>
    </w:pPr>
    <w:rPr>
      <w:vertAlign w:val="superscript"/>
    </w:rPr>
  </w:style>
  <w:style w:type="table" w:styleId="Tablaconcuadrcula">
    <w:name w:val="Table Grid"/>
    <w:basedOn w:val="Tablanormal"/>
    <w:uiPriority w:val="39"/>
    <w:rsid w:val="00CE7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74899">
      <w:bodyDiv w:val="1"/>
      <w:marLeft w:val="0"/>
      <w:marRight w:val="0"/>
      <w:marTop w:val="0"/>
      <w:marBottom w:val="0"/>
      <w:divBdr>
        <w:top w:val="none" w:sz="0" w:space="0" w:color="auto"/>
        <w:left w:val="none" w:sz="0" w:space="0" w:color="auto"/>
        <w:bottom w:val="none" w:sz="0" w:space="0" w:color="auto"/>
        <w:right w:val="none" w:sz="0" w:space="0" w:color="auto"/>
      </w:divBdr>
    </w:div>
    <w:div w:id="230040326">
      <w:bodyDiv w:val="1"/>
      <w:marLeft w:val="0"/>
      <w:marRight w:val="0"/>
      <w:marTop w:val="0"/>
      <w:marBottom w:val="0"/>
      <w:divBdr>
        <w:top w:val="none" w:sz="0" w:space="0" w:color="auto"/>
        <w:left w:val="none" w:sz="0" w:space="0" w:color="auto"/>
        <w:bottom w:val="none" w:sz="0" w:space="0" w:color="auto"/>
        <w:right w:val="none" w:sz="0" w:space="0" w:color="auto"/>
      </w:divBdr>
    </w:div>
    <w:div w:id="545408280">
      <w:bodyDiv w:val="1"/>
      <w:marLeft w:val="0"/>
      <w:marRight w:val="0"/>
      <w:marTop w:val="0"/>
      <w:marBottom w:val="0"/>
      <w:divBdr>
        <w:top w:val="none" w:sz="0" w:space="0" w:color="auto"/>
        <w:left w:val="none" w:sz="0" w:space="0" w:color="auto"/>
        <w:bottom w:val="none" w:sz="0" w:space="0" w:color="auto"/>
        <w:right w:val="none" w:sz="0" w:space="0" w:color="auto"/>
      </w:divBdr>
    </w:div>
    <w:div w:id="675034571">
      <w:bodyDiv w:val="1"/>
      <w:marLeft w:val="0"/>
      <w:marRight w:val="0"/>
      <w:marTop w:val="0"/>
      <w:marBottom w:val="0"/>
      <w:divBdr>
        <w:top w:val="none" w:sz="0" w:space="0" w:color="auto"/>
        <w:left w:val="none" w:sz="0" w:space="0" w:color="auto"/>
        <w:bottom w:val="none" w:sz="0" w:space="0" w:color="auto"/>
        <w:right w:val="none" w:sz="0" w:space="0" w:color="auto"/>
      </w:divBdr>
    </w:div>
    <w:div w:id="789475914">
      <w:bodyDiv w:val="1"/>
      <w:marLeft w:val="0"/>
      <w:marRight w:val="0"/>
      <w:marTop w:val="0"/>
      <w:marBottom w:val="0"/>
      <w:divBdr>
        <w:top w:val="none" w:sz="0" w:space="0" w:color="auto"/>
        <w:left w:val="none" w:sz="0" w:space="0" w:color="auto"/>
        <w:bottom w:val="none" w:sz="0" w:space="0" w:color="auto"/>
        <w:right w:val="none" w:sz="0" w:space="0" w:color="auto"/>
      </w:divBdr>
    </w:div>
    <w:div w:id="964119649">
      <w:bodyDiv w:val="1"/>
      <w:marLeft w:val="0"/>
      <w:marRight w:val="0"/>
      <w:marTop w:val="0"/>
      <w:marBottom w:val="0"/>
      <w:divBdr>
        <w:top w:val="none" w:sz="0" w:space="0" w:color="auto"/>
        <w:left w:val="none" w:sz="0" w:space="0" w:color="auto"/>
        <w:bottom w:val="none" w:sz="0" w:space="0" w:color="auto"/>
        <w:right w:val="none" w:sz="0" w:space="0" w:color="auto"/>
      </w:divBdr>
    </w:div>
    <w:div w:id="983267677">
      <w:bodyDiv w:val="1"/>
      <w:marLeft w:val="0"/>
      <w:marRight w:val="0"/>
      <w:marTop w:val="0"/>
      <w:marBottom w:val="0"/>
      <w:divBdr>
        <w:top w:val="none" w:sz="0" w:space="0" w:color="auto"/>
        <w:left w:val="none" w:sz="0" w:space="0" w:color="auto"/>
        <w:bottom w:val="none" w:sz="0" w:space="0" w:color="auto"/>
        <w:right w:val="none" w:sz="0" w:space="0" w:color="auto"/>
      </w:divBdr>
    </w:div>
    <w:div w:id="1159539469">
      <w:bodyDiv w:val="1"/>
      <w:marLeft w:val="0"/>
      <w:marRight w:val="0"/>
      <w:marTop w:val="0"/>
      <w:marBottom w:val="0"/>
      <w:divBdr>
        <w:top w:val="none" w:sz="0" w:space="0" w:color="auto"/>
        <w:left w:val="none" w:sz="0" w:space="0" w:color="auto"/>
        <w:bottom w:val="none" w:sz="0" w:space="0" w:color="auto"/>
        <w:right w:val="none" w:sz="0" w:space="0" w:color="auto"/>
      </w:divBdr>
    </w:div>
    <w:div w:id="1282345633">
      <w:bodyDiv w:val="1"/>
      <w:marLeft w:val="0"/>
      <w:marRight w:val="0"/>
      <w:marTop w:val="0"/>
      <w:marBottom w:val="0"/>
      <w:divBdr>
        <w:top w:val="none" w:sz="0" w:space="0" w:color="auto"/>
        <w:left w:val="none" w:sz="0" w:space="0" w:color="auto"/>
        <w:bottom w:val="none" w:sz="0" w:space="0" w:color="auto"/>
        <w:right w:val="none" w:sz="0" w:space="0" w:color="auto"/>
      </w:divBdr>
    </w:div>
    <w:div w:id="1364355722">
      <w:bodyDiv w:val="1"/>
      <w:marLeft w:val="0"/>
      <w:marRight w:val="0"/>
      <w:marTop w:val="0"/>
      <w:marBottom w:val="0"/>
      <w:divBdr>
        <w:top w:val="none" w:sz="0" w:space="0" w:color="auto"/>
        <w:left w:val="none" w:sz="0" w:space="0" w:color="auto"/>
        <w:bottom w:val="none" w:sz="0" w:space="0" w:color="auto"/>
        <w:right w:val="none" w:sz="0" w:space="0" w:color="auto"/>
      </w:divBdr>
    </w:div>
    <w:div w:id="1488670319">
      <w:bodyDiv w:val="1"/>
      <w:marLeft w:val="0"/>
      <w:marRight w:val="0"/>
      <w:marTop w:val="0"/>
      <w:marBottom w:val="0"/>
      <w:divBdr>
        <w:top w:val="none" w:sz="0" w:space="0" w:color="auto"/>
        <w:left w:val="none" w:sz="0" w:space="0" w:color="auto"/>
        <w:bottom w:val="none" w:sz="0" w:space="0" w:color="auto"/>
        <w:right w:val="none" w:sz="0" w:space="0" w:color="auto"/>
      </w:divBdr>
    </w:div>
    <w:div w:id="1650788145">
      <w:bodyDiv w:val="1"/>
      <w:marLeft w:val="0"/>
      <w:marRight w:val="0"/>
      <w:marTop w:val="0"/>
      <w:marBottom w:val="0"/>
      <w:divBdr>
        <w:top w:val="none" w:sz="0" w:space="0" w:color="auto"/>
        <w:left w:val="none" w:sz="0" w:space="0" w:color="auto"/>
        <w:bottom w:val="none" w:sz="0" w:space="0" w:color="auto"/>
        <w:right w:val="none" w:sz="0" w:space="0" w:color="auto"/>
      </w:divBdr>
    </w:div>
    <w:div w:id="166050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d42e65b2-cf21-49c1-b27d-d23f90380c0e">States</Category>
    <Doctype xmlns="d42e65b2-cf21-49c1-b27d-d23f90380c0e">input</Doctype>
    <Contributor xmlns="d42e65b2-cf21-49c1-b27d-d23f90380c0e">Peru</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6A18EE4C-2780-42CE-AF82-89F054BADDC1}">
  <ds:schemaRefs>
    <ds:schemaRef ds:uri="http://schemas.openxmlformats.org/officeDocument/2006/bibliography"/>
  </ds:schemaRefs>
</ds:datastoreItem>
</file>

<file path=customXml/itemProps2.xml><?xml version="1.0" encoding="utf-8"?>
<ds:datastoreItem xmlns:ds="http://schemas.openxmlformats.org/officeDocument/2006/customXml" ds:itemID="{486A1357-9841-459A-89AE-C99687F7B4A5}"/>
</file>

<file path=customXml/itemProps3.xml><?xml version="1.0" encoding="utf-8"?>
<ds:datastoreItem xmlns:ds="http://schemas.openxmlformats.org/officeDocument/2006/customXml" ds:itemID="{DA0AB124-5E78-4C55-AC08-287CCE86D459}"/>
</file>

<file path=customXml/itemProps4.xml><?xml version="1.0" encoding="utf-8"?>
<ds:datastoreItem xmlns:ds="http://schemas.openxmlformats.org/officeDocument/2006/customXml" ds:itemID="{6D8F3F4F-4498-4B65-B3B9-F1FC30A14BBE}"/>
</file>

<file path=docProps/app.xml><?xml version="1.0" encoding="utf-8"?>
<Properties xmlns="http://schemas.openxmlformats.org/officeDocument/2006/extended-properties" xmlns:vt="http://schemas.openxmlformats.org/officeDocument/2006/docPropsVTypes">
  <Template>Normal</Template>
  <TotalTime>0</TotalTime>
  <Pages>4</Pages>
  <Words>2048</Words>
  <Characters>11270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Yetzabel Paucar Barrientos</dc:creator>
  <cp:keywords/>
  <dc:description/>
  <cp:lastModifiedBy>Philip Ponce</cp:lastModifiedBy>
  <cp:revision>2</cp:revision>
  <dcterms:created xsi:type="dcterms:W3CDTF">2023-08-09T07:48:00Z</dcterms:created>
  <dcterms:modified xsi:type="dcterms:W3CDTF">2023-08-09T07:48:00Z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