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0328F5" w14:paraId="194CD4FD" w14:textId="77777777" w:rsidTr="0043536E">
        <w:trPr>
          <w:trHeight w:val="851"/>
        </w:trPr>
        <w:tc>
          <w:tcPr>
            <w:tcW w:w="1276" w:type="dxa"/>
            <w:tcBorders>
              <w:top w:val="nil"/>
              <w:left w:val="nil"/>
              <w:bottom w:val="single" w:sz="4" w:space="0" w:color="auto"/>
              <w:right w:val="nil"/>
            </w:tcBorders>
          </w:tcPr>
          <w:p w14:paraId="167F01BE" w14:textId="77777777" w:rsidR="00446DE4" w:rsidRPr="000328F5" w:rsidRDefault="00446DE4" w:rsidP="0043536E">
            <w:pPr>
              <w:spacing w:after="80" w:line="340" w:lineRule="exact"/>
            </w:pPr>
          </w:p>
        </w:tc>
        <w:tc>
          <w:tcPr>
            <w:tcW w:w="2268" w:type="dxa"/>
            <w:tcBorders>
              <w:top w:val="nil"/>
              <w:left w:val="nil"/>
              <w:bottom w:val="single" w:sz="4" w:space="0" w:color="auto"/>
              <w:right w:val="nil"/>
            </w:tcBorders>
            <w:vAlign w:val="bottom"/>
          </w:tcPr>
          <w:p w14:paraId="21728BD3" w14:textId="37C6471A" w:rsidR="00446DE4" w:rsidRPr="000328F5" w:rsidRDefault="00446DE4" w:rsidP="0043536E">
            <w:pPr>
              <w:spacing w:after="80" w:line="300" w:lineRule="exact"/>
              <w:rPr>
                <w:sz w:val="28"/>
                <w:szCs w:val="28"/>
              </w:rPr>
            </w:pPr>
          </w:p>
        </w:tc>
        <w:tc>
          <w:tcPr>
            <w:tcW w:w="6232" w:type="dxa"/>
            <w:gridSpan w:val="2"/>
            <w:tcBorders>
              <w:top w:val="nil"/>
              <w:left w:val="nil"/>
              <w:bottom w:val="single" w:sz="4" w:space="0" w:color="auto"/>
              <w:right w:val="nil"/>
            </w:tcBorders>
            <w:vAlign w:val="bottom"/>
          </w:tcPr>
          <w:p w14:paraId="426AE12A" w14:textId="31EC7CAF" w:rsidR="00446DE4" w:rsidRPr="00477B09" w:rsidRDefault="00477B09" w:rsidP="00477B09">
            <w:pPr>
              <w:jc w:val="right"/>
            </w:pPr>
            <w:r w:rsidRPr="00477B09">
              <w:rPr>
                <w:sz w:val="40"/>
              </w:rPr>
              <w:t>A</w:t>
            </w:r>
            <w:r>
              <w:t>/HRC/52/25</w:t>
            </w:r>
          </w:p>
        </w:tc>
      </w:tr>
      <w:tr w:rsidR="003107FA" w:rsidRPr="000328F5" w14:paraId="56BDBA88" w14:textId="77777777" w:rsidTr="0043536E">
        <w:trPr>
          <w:trHeight w:val="2835"/>
        </w:trPr>
        <w:tc>
          <w:tcPr>
            <w:tcW w:w="1276" w:type="dxa"/>
            <w:tcBorders>
              <w:top w:val="single" w:sz="4" w:space="0" w:color="auto"/>
              <w:left w:val="nil"/>
              <w:bottom w:val="single" w:sz="12" w:space="0" w:color="auto"/>
              <w:right w:val="nil"/>
            </w:tcBorders>
          </w:tcPr>
          <w:p w14:paraId="3393A163" w14:textId="3F5194CD" w:rsidR="003107FA" w:rsidRPr="000328F5" w:rsidRDefault="003107FA" w:rsidP="0043536E">
            <w:pPr>
              <w:spacing w:before="120"/>
              <w:jc w:val="center"/>
            </w:pPr>
          </w:p>
        </w:tc>
        <w:tc>
          <w:tcPr>
            <w:tcW w:w="5528" w:type="dxa"/>
            <w:gridSpan w:val="2"/>
            <w:tcBorders>
              <w:top w:val="single" w:sz="4" w:space="0" w:color="auto"/>
              <w:left w:val="nil"/>
              <w:bottom w:val="single" w:sz="12" w:space="0" w:color="auto"/>
              <w:right w:val="nil"/>
            </w:tcBorders>
          </w:tcPr>
          <w:p w14:paraId="41A324A3" w14:textId="7E01C49D" w:rsidR="003107FA" w:rsidRPr="000328F5" w:rsidRDefault="00F36303" w:rsidP="00AE04FD">
            <w:pPr>
              <w:spacing w:before="120" w:line="420" w:lineRule="exact"/>
              <w:rPr>
                <w:b/>
                <w:sz w:val="40"/>
                <w:szCs w:val="40"/>
              </w:rPr>
            </w:pPr>
            <w:proofErr w:type="spellStart"/>
            <w:r>
              <w:rPr>
                <w:b/>
                <w:sz w:val="40"/>
                <w:szCs w:val="40"/>
              </w:rPr>
              <w:t>Advance</w:t>
            </w:r>
            <w:proofErr w:type="spellEnd"/>
            <w:r>
              <w:rPr>
                <w:b/>
                <w:sz w:val="40"/>
                <w:szCs w:val="40"/>
              </w:rPr>
              <w:t xml:space="preserve"> </w:t>
            </w:r>
            <w:proofErr w:type="spellStart"/>
            <w:r>
              <w:rPr>
                <w:b/>
                <w:sz w:val="40"/>
                <w:szCs w:val="40"/>
              </w:rPr>
              <w:t>edited</w:t>
            </w:r>
            <w:proofErr w:type="spellEnd"/>
            <w:r>
              <w:rPr>
                <w:b/>
                <w:sz w:val="40"/>
                <w:szCs w:val="40"/>
              </w:rPr>
              <w:t xml:space="preserve"> </w:t>
            </w:r>
            <w:proofErr w:type="spellStart"/>
            <w:r>
              <w:rPr>
                <w:b/>
                <w:sz w:val="40"/>
                <w:szCs w:val="40"/>
              </w:rPr>
              <w:t>version</w:t>
            </w:r>
            <w:proofErr w:type="spellEnd"/>
          </w:p>
        </w:tc>
        <w:tc>
          <w:tcPr>
            <w:tcW w:w="2835" w:type="dxa"/>
            <w:tcBorders>
              <w:top w:val="single" w:sz="4" w:space="0" w:color="auto"/>
              <w:left w:val="nil"/>
              <w:bottom w:val="single" w:sz="12" w:space="0" w:color="auto"/>
              <w:right w:val="nil"/>
            </w:tcBorders>
          </w:tcPr>
          <w:p w14:paraId="5E191646" w14:textId="77777777" w:rsidR="003107FA" w:rsidRDefault="00E80EC7" w:rsidP="00E80EC7">
            <w:pPr>
              <w:spacing w:before="240" w:line="240" w:lineRule="exact"/>
            </w:pPr>
            <w:r>
              <w:t>Distr. general</w:t>
            </w:r>
          </w:p>
          <w:p w14:paraId="65B758A0" w14:textId="5A37E2F7" w:rsidR="00E80EC7" w:rsidRDefault="00BF1DC1" w:rsidP="00E80EC7">
            <w:pPr>
              <w:spacing w:line="240" w:lineRule="exact"/>
            </w:pPr>
            <w:r>
              <w:t>2</w:t>
            </w:r>
            <w:r w:rsidR="00AB3D5F">
              <w:t>1</w:t>
            </w:r>
            <w:r w:rsidR="001C6BAE" w:rsidRPr="00DA7024">
              <w:t xml:space="preserve"> </w:t>
            </w:r>
            <w:r w:rsidR="0026367A" w:rsidRPr="00DA7024">
              <w:t xml:space="preserve">de </w:t>
            </w:r>
            <w:r w:rsidR="001C6BAE">
              <w:t>junio</w:t>
            </w:r>
            <w:r w:rsidR="001C6BAE" w:rsidRPr="00DA7024">
              <w:t xml:space="preserve"> </w:t>
            </w:r>
            <w:r w:rsidR="00AE04FD">
              <w:t xml:space="preserve">de </w:t>
            </w:r>
            <w:r w:rsidR="00E80EC7">
              <w:t>2023</w:t>
            </w:r>
          </w:p>
          <w:p w14:paraId="50F5C736" w14:textId="77777777" w:rsidR="00E80EC7" w:rsidRDefault="00E80EC7" w:rsidP="00E80EC7">
            <w:pPr>
              <w:spacing w:line="240" w:lineRule="exact"/>
            </w:pPr>
          </w:p>
          <w:p w14:paraId="2AC15A9B" w14:textId="7FE83DA7" w:rsidR="00E80EC7" w:rsidRPr="000328F5" w:rsidRDefault="00E80EC7" w:rsidP="00E80EC7">
            <w:pPr>
              <w:spacing w:line="240" w:lineRule="exact"/>
            </w:pPr>
            <w:r>
              <w:t>Original: español</w:t>
            </w:r>
          </w:p>
        </w:tc>
      </w:tr>
    </w:tbl>
    <w:p w14:paraId="7B3525B9" w14:textId="77777777" w:rsidR="00DA7024" w:rsidRPr="00DA7024" w:rsidRDefault="00DA7024" w:rsidP="00BE18E6">
      <w:pPr>
        <w:spacing w:before="120"/>
        <w:rPr>
          <w:b/>
          <w:sz w:val="24"/>
          <w:szCs w:val="24"/>
        </w:rPr>
      </w:pPr>
      <w:r w:rsidRPr="00DA7024">
        <w:rPr>
          <w:b/>
          <w:sz w:val="24"/>
          <w:szCs w:val="24"/>
        </w:rPr>
        <w:t>Consejo de Derechos Humanos</w:t>
      </w:r>
    </w:p>
    <w:p w14:paraId="40F51D39" w14:textId="6995120F" w:rsidR="00DA7024" w:rsidRPr="00DA7024" w:rsidRDefault="00DA7024" w:rsidP="00DA7024">
      <w:pPr>
        <w:rPr>
          <w:b/>
        </w:rPr>
      </w:pPr>
      <w:r w:rsidRPr="00DA7024">
        <w:rPr>
          <w:b/>
        </w:rPr>
        <w:t>52</w:t>
      </w:r>
      <w:r w:rsidR="00AB3D5F">
        <w:rPr>
          <w:b/>
        </w:rPr>
        <w:t>º</w:t>
      </w:r>
      <w:r w:rsidRPr="00DA7024">
        <w:rPr>
          <w:b/>
        </w:rPr>
        <w:t xml:space="preserve"> período de sesiones</w:t>
      </w:r>
    </w:p>
    <w:p w14:paraId="166EE6A8" w14:textId="6657B2A2" w:rsidR="00DA7024" w:rsidRPr="00DA7024" w:rsidRDefault="00DA7024" w:rsidP="00DA7024">
      <w:r w:rsidRPr="00DA7024">
        <w:t xml:space="preserve">27 de febrero a </w:t>
      </w:r>
      <w:r w:rsidR="001C6BAE" w:rsidRPr="001C6BAE">
        <w:t xml:space="preserve">4 </w:t>
      </w:r>
      <w:r w:rsidR="00096338" w:rsidRPr="001C6BAE">
        <w:t xml:space="preserve">de </w:t>
      </w:r>
      <w:r w:rsidR="001C6BAE" w:rsidRPr="001C6BAE">
        <w:t>abril</w:t>
      </w:r>
      <w:r w:rsidR="001C6BAE" w:rsidRPr="00DA7024">
        <w:t xml:space="preserve"> </w:t>
      </w:r>
      <w:r w:rsidRPr="00DA7024">
        <w:t>de 2023</w:t>
      </w:r>
    </w:p>
    <w:p w14:paraId="3793716E" w14:textId="77777777" w:rsidR="00DA7024" w:rsidRPr="00DA7024" w:rsidRDefault="00DA7024" w:rsidP="00DA7024">
      <w:r w:rsidRPr="00DA7024">
        <w:t>Tema 2 de la agenda</w:t>
      </w:r>
    </w:p>
    <w:p w14:paraId="482A2C0C" w14:textId="48927754" w:rsidR="00DA7024" w:rsidRPr="00DA7024" w:rsidRDefault="00DA7024" w:rsidP="00AB3D5F">
      <w:pPr>
        <w:rPr>
          <w:b/>
        </w:rPr>
      </w:pPr>
      <w:r w:rsidRPr="00DA7024">
        <w:rPr>
          <w:b/>
        </w:rPr>
        <w:t>Informe anual del Alto Comisionado de las Naciones Unidas</w:t>
      </w:r>
      <w:r w:rsidR="00AB3D5F">
        <w:rPr>
          <w:b/>
        </w:rPr>
        <w:br/>
      </w:r>
      <w:r w:rsidRPr="00DA7024">
        <w:rPr>
          <w:b/>
        </w:rPr>
        <w:t>para los Derechos Humanos e informes de la Oficina</w:t>
      </w:r>
      <w:r w:rsidR="00AB3D5F">
        <w:rPr>
          <w:b/>
        </w:rPr>
        <w:br/>
      </w:r>
      <w:r w:rsidRPr="00DA7024">
        <w:rPr>
          <w:b/>
        </w:rPr>
        <w:t>del Alto Comisionado y del Secretario General</w:t>
      </w:r>
    </w:p>
    <w:p w14:paraId="14E8A439" w14:textId="77777777" w:rsidR="00DA7024" w:rsidRPr="00DA7024" w:rsidRDefault="00DA7024" w:rsidP="00AB3D5F">
      <w:pPr>
        <w:pStyle w:val="HChG"/>
        <w:rPr>
          <w:lang w:val="es-CO"/>
        </w:rPr>
      </w:pPr>
      <w:r w:rsidRPr="00DA7024">
        <w:rPr>
          <w:lang w:val="es-CO"/>
        </w:rPr>
        <w:tab/>
      </w:r>
      <w:r w:rsidRPr="00DA7024">
        <w:rPr>
          <w:lang w:val="es-CO"/>
        </w:rPr>
        <w:tab/>
        <w:t>Situación de los derechos humanos en Colombia</w:t>
      </w:r>
    </w:p>
    <w:p w14:paraId="3BF0ECB5" w14:textId="6E67CAB6" w:rsidR="00DA7024" w:rsidRDefault="00DA7024" w:rsidP="00AB3D5F">
      <w:pPr>
        <w:pStyle w:val="H1G"/>
        <w:rPr>
          <w:rStyle w:val="FootnoteReference"/>
          <w:b w:val="0"/>
          <w:bCs/>
          <w:sz w:val="20"/>
          <w:vertAlign w:val="baseline"/>
          <w:lang w:val="es-CO"/>
        </w:rPr>
      </w:pPr>
      <w:r w:rsidRPr="00DA7024">
        <w:rPr>
          <w:lang w:val="es-CO"/>
        </w:rPr>
        <w:tab/>
      </w:r>
      <w:r w:rsidRPr="00DA7024">
        <w:rPr>
          <w:lang w:val="es-CO"/>
        </w:rPr>
        <w:tab/>
        <w:t>Informe del Alto Comisionado de las Naciones Unidas para</w:t>
      </w:r>
      <w:r w:rsidR="00AB3D5F">
        <w:rPr>
          <w:lang w:val="es-CO"/>
        </w:rPr>
        <w:br/>
      </w:r>
      <w:r w:rsidRPr="00DA7024">
        <w:rPr>
          <w:lang w:val="es-CO"/>
        </w:rPr>
        <w:t>los Derechos Humanos</w:t>
      </w:r>
      <w:r w:rsidR="00AB3D5F" w:rsidRPr="00AB3D5F">
        <w:rPr>
          <w:rStyle w:val="FootnoteReference"/>
          <w:b w:val="0"/>
          <w:bCs/>
          <w:sz w:val="20"/>
          <w:vertAlign w:val="baseline"/>
          <w:lang w:val="es-CO"/>
        </w:rPr>
        <w:footnoteReference w:customMarkFollows="1" w:id="2"/>
        <w:t xml:space="preserve">* </w:t>
      </w:r>
      <w:r w:rsidR="00AB3D5F" w:rsidRPr="00AB3D5F">
        <w:rPr>
          <w:rStyle w:val="FootnoteReference"/>
          <w:b w:val="0"/>
          <w:bCs/>
          <w:sz w:val="20"/>
          <w:vertAlign w:val="baseline"/>
          <w:lang w:val="es-CO"/>
        </w:rPr>
        <w:footnoteReference w:customMarkFollows="1" w:id="3"/>
        <w:t>**</w:t>
      </w:r>
    </w:p>
    <w:tbl>
      <w:tblPr>
        <w:tblStyle w:val="TableGrid"/>
        <w:tblW w:w="0" w:type="auto"/>
        <w:jc w:val="center"/>
        <w:tblLook w:val="05E0" w:firstRow="1" w:lastRow="1" w:firstColumn="1" w:lastColumn="1" w:noHBand="0" w:noVBand="1"/>
      </w:tblPr>
      <w:tblGrid>
        <w:gridCol w:w="9629"/>
      </w:tblGrid>
      <w:tr w:rsidR="00AB3D5F" w14:paraId="12527BA4" w14:textId="77777777">
        <w:trPr>
          <w:jc w:val="center"/>
        </w:trPr>
        <w:tc>
          <w:tcPr>
            <w:tcW w:w="9637" w:type="dxa"/>
            <w:tcBorders>
              <w:bottom w:val="nil"/>
            </w:tcBorders>
          </w:tcPr>
          <w:p w14:paraId="4B9AF269" w14:textId="77777777" w:rsidR="00AB3D5F" w:rsidRDefault="00AB3D5F">
            <w:pPr>
              <w:tabs>
                <w:tab w:val="left" w:pos="255"/>
              </w:tabs>
              <w:spacing w:before="240" w:after="120"/>
              <w:rPr>
                <w:sz w:val="24"/>
              </w:rPr>
            </w:pPr>
            <w:r>
              <w:tab/>
            </w:r>
            <w:r>
              <w:rPr>
                <w:i/>
                <w:sz w:val="24"/>
              </w:rPr>
              <w:t>Resumen</w:t>
            </w:r>
          </w:p>
        </w:tc>
      </w:tr>
      <w:tr w:rsidR="00AB3D5F" w14:paraId="0E281814" w14:textId="77777777">
        <w:trPr>
          <w:jc w:val="center"/>
        </w:trPr>
        <w:tc>
          <w:tcPr>
            <w:tcW w:w="9637" w:type="dxa"/>
            <w:tcBorders>
              <w:top w:val="nil"/>
              <w:bottom w:val="nil"/>
            </w:tcBorders>
            <w:shd w:val="clear" w:color="auto" w:fill="auto"/>
          </w:tcPr>
          <w:p w14:paraId="015DFFB9" w14:textId="1E67BB78" w:rsidR="00AB3D5F" w:rsidRDefault="00AB3D5F">
            <w:pPr>
              <w:pStyle w:val="SingleTxtG"/>
            </w:pPr>
            <w:r>
              <w:rPr>
                <w:lang w:eastAsia="es-ES"/>
              </w:rPr>
              <w:tab/>
            </w:r>
            <w:r>
              <w:rPr>
                <w:lang w:eastAsia="es-ES"/>
              </w:rPr>
              <w:tab/>
            </w:r>
            <w:r w:rsidRPr="00FA61EE">
              <w:rPr>
                <w:lang w:eastAsia="es-ES"/>
              </w:rPr>
              <w:t>En</w:t>
            </w:r>
            <w:r w:rsidRPr="00FA61EE">
              <w:t xml:space="preserve"> el presente informe, el Alto Comisionado de las Naciones Unidas para los Derechos Humanos analiza la situación de los derechos humanos en Colombia en 2022. Hace énfasis en el impacto de la violencia territorial en los derechos humanos, el estado de implementación del Acuerdo </w:t>
            </w:r>
            <w:r>
              <w:t>Final</w:t>
            </w:r>
            <w:r w:rsidRPr="00FA61EE">
              <w:t xml:space="preserve"> </w:t>
            </w:r>
            <w:r w:rsidRPr="00FA61EE">
              <w:rPr>
                <w:lang w:val="es-419"/>
              </w:rPr>
              <w:t xml:space="preserve">para la Terminación del Conflicto y la Construcción de una Paz Estable y Duradera </w:t>
            </w:r>
            <w:r w:rsidRPr="00FA61EE">
              <w:t>en materia de derechos humanos, incluyendo la reforma rural y la justicia transicional, y el espacio cívico. Además, aborda la nueva política de “paz total” y la transición hacia un modelo de seguridad humana.</w:t>
            </w:r>
          </w:p>
        </w:tc>
      </w:tr>
      <w:tr w:rsidR="00AB3D5F" w14:paraId="643C6F88" w14:textId="77777777">
        <w:trPr>
          <w:jc w:val="center"/>
        </w:trPr>
        <w:tc>
          <w:tcPr>
            <w:tcW w:w="9637" w:type="dxa"/>
            <w:tcBorders>
              <w:top w:val="nil"/>
            </w:tcBorders>
          </w:tcPr>
          <w:p w14:paraId="33306FC4" w14:textId="77777777" w:rsidR="00AB3D5F" w:rsidRDefault="00AB3D5F"/>
        </w:tc>
      </w:tr>
    </w:tbl>
    <w:p w14:paraId="12E08D57" w14:textId="77777777" w:rsidR="00AB3D5F" w:rsidRPr="00AB3D5F" w:rsidRDefault="00AB3D5F" w:rsidP="00AB3D5F">
      <w:pPr>
        <w:rPr>
          <w:lang w:val="es-CO"/>
        </w:rPr>
      </w:pPr>
    </w:p>
    <w:p w14:paraId="05B11741" w14:textId="5BFF7F56" w:rsidR="00F6153C" w:rsidRDefault="00F6153C">
      <w:pPr>
        <w:suppressAutoHyphens w:val="0"/>
        <w:spacing w:line="240" w:lineRule="auto"/>
      </w:pPr>
      <w:r>
        <w:br w:type="page"/>
      </w:r>
    </w:p>
    <w:p w14:paraId="45FD1AB8" w14:textId="6569BD3F" w:rsidR="00BE18E6" w:rsidRDefault="00BE18E6" w:rsidP="00AB3D5F">
      <w:pPr>
        <w:pStyle w:val="HChG"/>
      </w:pPr>
      <w:r>
        <w:lastRenderedPageBreak/>
        <w:t>Anexo</w:t>
      </w:r>
    </w:p>
    <w:p w14:paraId="0EDC1E3E" w14:textId="3F220256" w:rsidR="00D54536" w:rsidRPr="00FA61EE" w:rsidRDefault="00F90764" w:rsidP="00AB3D5F">
      <w:pPr>
        <w:pStyle w:val="HChG"/>
      </w:pPr>
      <w:r>
        <w:tab/>
      </w:r>
      <w:r>
        <w:tab/>
      </w:r>
      <w:r>
        <w:tab/>
      </w:r>
      <w:r w:rsidR="00D54536" w:rsidRPr="00FA61EE">
        <w:t>Informe del Alto Comisionado de las Naciones Unidas para</w:t>
      </w:r>
      <w:r w:rsidR="00AB3D5F">
        <w:t> </w:t>
      </w:r>
      <w:r w:rsidR="00D54536" w:rsidRPr="00FA61EE">
        <w:t>los Derechos Humanos sobre la situación de los</w:t>
      </w:r>
      <w:r w:rsidR="00AB3D5F">
        <w:t> </w:t>
      </w:r>
      <w:r w:rsidR="00D54536" w:rsidRPr="00FA61EE">
        <w:t xml:space="preserve">derechos humanos en </w:t>
      </w:r>
      <w:r w:rsidR="00D54536" w:rsidRPr="00FA61EE">
        <w:rPr>
          <w:lang w:val="es-CO"/>
        </w:rPr>
        <w:t>Colombia</w:t>
      </w:r>
    </w:p>
    <w:p w14:paraId="45A35B11" w14:textId="2FA78E6F" w:rsidR="00D54536" w:rsidRPr="00FA61EE" w:rsidRDefault="00B272DD" w:rsidP="00AB3D5F">
      <w:pPr>
        <w:pStyle w:val="HChG"/>
        <w:rPr>
          <w:lang w:val="es-419"/>
        </w:rPr>
      </w:pPr>
      <w:r>
        <w:rPr>
          <w:lang w:val="es-419"/>
        </w:rPr>
        <w:tab/>
        <w:t>I.</w:t>
      </w:r>
      <w:r>
        <w:rPr>
          <w:lang w:val="es-419"/>
        </w:rPr>
        <w:tab/>
      </w:r>
      <w:r w:rsidR="00CD4E82">
        <w:rPr>
          <w:lang w:val="es-419"/>
        </w:rPr>
        <w:t>Introducción</w:t>
      </w:r>
    </w:p>
    <w:p w14:paraId="41CF6EF5" w14:textId="7D556DF4" w:rsidR="00D54536" w:rsidRPr="00FA61EE" w:rsidRDefault="002658F4" w:rsidP="002658F4">
      <w:pPr>
        <w:pStyle w:val="SingleTxtG"/>
        <w:rPr>
          <w:lang w:val="es-CO"/>
        </w:rPr>
      </w:pPr>
      <w:r>
        <w:rPr>
          <w:lang w:val="es-CO"/>
        </w:rPr>
        <w:t>1.</w:t>
      </w:r>
      <w:r>
        <w:rPr>
          <w:lang w:val="es-CO"/>
        </w:rPr>
        <w:tab/>
      </w:r>
      <w:r w:rsidR="00D54536" w:rsidRPr="00FA61EE">
        <w:rPr>
          <w:lang w:val="es-CO"/>
        </w:rPr>
        <w:t xml:space="preserve">En el presente informe, el Alto Comisionado de las Naciones Unidas para los Derechos Humanos analiza la situación de los derechos humanos en Colombia entre el 1 de enero y el 31 de diciembre de 2022. </w:t>
      </w:r>
    </w:p>
    <w:p w14:paraId="374ED8E9" w14:textId="302581A5" w:rsidR="00D54536" w:rsidRPr="00FA61EE" w:rsidRDefault="00657BEB" w:rsidP="00657BEB">
      <w:pPr>
        <w:pStyle w:val="SingleTxtG"/>
        <w:rPr>
          <w:lang w:val="es-419"/>
        </w:rPr>
      </w:pPr>
      <w:r>
        <w:rPr>
          <w:lang w:val="es-419"/>
        </w:rPr>
        <w:t>2.</w:t>
      </w:r>
      <w:r>
        <w:rPr>
          <w:lang w:val="es-419"/>
        </w:rPr>
        <w:tab/>
      </w:r>
      <w:r w:rsidR="00D54536" w:rsidRPr="00FA61EE">
        <w:rPr>
          <w:lang w:val="es-419"/>
        </w:rPr>
        <w:t xml:space="preserve">El 13 de marzo, tuvieron lugar elecciones legislativas, </w:t>
      </w:r>
      <w:r w:rsidR="007D7CEC">
        <w:rPr>
          <w:lang w:val="es-419"/>
        </w:rPr>
        <w:t>y se realizó</w:t>
      </w:r>
      <w:r w:rsidR="007D7CEC" w:rsidRPr="00FA61EE">
        <w:rPr>
          <w:lang w:val="es-419"/>
        </w:rPr>
        <w:t xml:space="preserve"> </w:t>
      </w:r>
      <w:r w:rsidR="00D54536" w:rsidRPr="00FA61EE">
        <w:rPr>
          <w:lang w:val="es-419"/>
        </w:rPr>
        <w:t xml:space="preserve">la primera elección de </w:t>
      </w:r>
      <w:r w:rsidR="007D7CEC">
        <w:rPr>
          <w:lang w:val="es-419"/>
        </w:rPr>
        <w:t xml:space="preserve">las </w:t>
      </w:r>
      <w:r w:rsidR="00D54536" w:rsidRPr="00FA61EE">
        <w:rPr>
          <w:lang w:val="es-419"/>
        </w:rPr>
        <w:t xml:space="preserve">16 </w:t>
      </w:r>
      <w:r w:rsidR="00607483">
        <w:rPr>
          <w:lang w:val="es-419"/>
        </w:rPr>
        <w:t>c</w:t>
      </w:r>
      <w:r w:rsidR="00D54536" w:rsidRPr="00FA61EE">
        <w:rPr>
          <w:lang w:val="es-419"/>
        </w:rPr>
        <w:t xml:space="preserve">ircunscripciones </w:t>
      </w:r>
      <w:r w:rsidR="00607483">
        <w:rPr>
          <w:lang w:val="es-419"/>
        </w:rPr>
        <w:t>t</w:t>
      </w:r>
      <w:r w:rsidR="00D54536" w:rsidRPr="00FA61EE">
        <w:rPr>
          <w:lang w:val="es-419"/>
        </w:rPr>
        <w:t xml:space="preserve">ransitorias </w:t>
      </w:r>
      <w:r w:rsidR="00607483">
        <w:rPr>
          <w:lang w:val="es-419"/>
        </w:rPr>
        <w:t>e</w:t>
      </w:r>
      <w:r w:rsidR="00D54536" w:rsidRPr="00FA61EE">
        <w:rPr>
          <w:lang w:val="es-419"/>
        </w:rPr>
        <w:t xml:space="preserve">speciales </w:t>
      </w:r>
      <w:r w:rsidR="00607483">
        <w:rPr>
          <w:lang w:val="es-419"/>
        </w:rPr>
        <w:t>de</w:t>
      </w:r>
      <w:r w:rsidR="00D54536" w:rsidRPr="00FA61EE">
        <w:rPr>
          <w:lang w:val="es-419"/>
        </w:rPr>
        <w:t xml:space="preserve"> </w:t>
      </w:r>
      <w:r w:rsidR="00607483">
        <w:rPr>
          <w:lang w:val="es-419"/>
        </w:rPr>
        <w:t>p</w:t>
      </w:r>
      <w:r w:rsidR="00D54536" w:rsidRPr="00FA61EE">
        <w:rPr>
          <w:lang w:val="es-419"/>
        </w:rPr>
        <w:t>az establecidas en el Acuerdo Final para la Terminación del Conflicto y la Construcción de una Paz Estable y Duradera (Acuerdo de Paz)</w:t>
      </w:r>
      <w:r w:rsidR="00D54536">
        <w:rPr>
          <w:lang w:val="es-419"/>
        </w:rPr>
        <w:t>,</w:t>
      </w:r>
      <w:r w:rsidR="00D54536" w:rsidRPr="00FA61EE">
        <w:rPr>
          <w:lang w:val="es-419"/>
        </w:rPr>
        <w:t xml:space="preserve"> suscrito en 2016 entre el Gobierno de Colombia y las Fuerzas Armadas Revolucionarias de Colombia</w:t>
      </w:r>
      <w:r w:rsidR="00607483">
        <w:rPr>
          <w:lang w:val="es-419"/>
        </w:rPr>
        <w:t>-</w:t>
      </w:r>
      <w:r w:rsidR="00D54536" w:rsidRPr="00FA61EE">
        <w:rPr>
          <w:lang w:val="es-419"/>
        </w:rPr>
        <w:t xml:space="preserve">Ejército del Pueblo (FARC-EP). Estas </w:t>
      </w:r>
      <w:r w:rsidR="00D54536" w:rsidRPr="00C95E9E">
        <w:rPr>
          <w:lang w:val="es-419"/>
        </w:rPr>
        <w:t>curules</w:t>
      </w:r>
      <w:r w:rsidR="00D54536" w:rsidRPr="00FA61EE">
        <w:rPr>
          <w:lang w:val="es-419"/>
        </w:rPr>
        <w:t xml:space="preserve">, asignadas por dos períodos electorales, </w:t>
      </w:r>
      <w:r w:rsidR="007D7CEC">
        <w:rPr>
          <w:lang w:val="es-419"/>
        </w:rPr>
        <w:t>se crearon para</w:t>
      </w:r>
      <w:r w:rsidR="007D7CEC" w:rsidRPr="00FA61EE">
        <w:rPr>
          <w:lang w:val="es-419"/>
        </w:rPr>
        <w:t xml:space="preserve"> </w:t>
      </w:r>
      <w:r w:rsidR="00D54536" w:rsidRPr="00FA61EE">
        <w:rPr>
          <w:lang w:val="es-419"/>
        </w:rPr>
        <w:t>garantizar la representación política de las zonas más afectadas por el conflicto y con débil presencia institucional</w:t>
      </w:r>
      <w:r w:rsidR="00D54536" w:rsidRPr="00FA61EE">
        <w:rPr>
          <w:i/>
          <w:iCs/>
          <w:lang w:val="es-CO"/>
        </w:rPr>
        <w:t xml:space="preserve">. </w:t>
      </w:r>
      <w:r w:rsidR="00D54536" w:rsidRPr="00FA61EE">
        <w:rPr>
          <w:lang w:val="es-419"/>
        </w:rPr>
        <w:t>Se postularon 403 personas</w:t>
      </w:r>
      <w:r w:rsidR="00D65885">
        <w:rPr>
          <w:lang w:val="es-419"/>
        </w:rPr>
        <w:t>. A</w:t>
      </w:r>
      <w:r w:rsidR="00D54536" w:rsidRPr="00FA61EE">
        <w:rPr>
          <w:lang w:val="es-419"/>
        </w:rPr>
        <w:t xml:space="preserve">lgunas de </w:t>
      </w:r>
      <w:r w:rsidR="00607483">
        <w:rPr>
          <w:lang w:val="es-419"/>
        </w:rPr>
        <w:t>e</w:t>
      </w:r>
      <w:r w:rsidR="00D54536" w:rsidRPr="00FA61EE">
        <w:rPr>
          <w:lang w:val="es-419"/>
        </w:rPr>
        <w:t>stas enfrentaron obstáculos para el libre desarrollo de su campaña</w:t>
      </w:r>
      <w:r w:rsidR="00607483">
        <w:rPr>
          <w:lang w:val="es-419"/>
        </w:rPr>
        <w:t>,</w:t>
      </w:r>
      <w:r w:rsidR="00D54536" w:rsidRPr="00FA61EE">
        <w:rPr>
          <w:lang w:val="es-419"/>
        </w:rPr>
        <w:t xml:space="preserve"> como impedimentos por parte de grupos armados no estatales para ingresar a las zonas incluidas en las circunscripciones </w:t>
      </w:r>
      <w:r w:rsidR="007D7CEC">
        <w:rPr>
          <w:lang w:val="es-419"/>
        </w:rPr>
        <w:t>para</w:t>
      </w:r>
      <w:r w:rsidR="007D7CEC" w:rsidRPr="00FA61EE">
        <w:rPr>
          <w:lang w:val="es-419"/>
        </w:rPr>
        <w:t xml:space="preserve"> </w:t>
      </w:r>
      <w:r w:rsidR="00D54536" w:rsidRPr="00FA61EE">
        <w:rPr>
          <w:lang w:val="es-419"/>
        </w:rPr>
        <w:t xml:space="preserve">realizar campaña política, amenazas directas </w:t>
      </w:r>
      <w:r w:rsidR="00607483">
        <w:rPr>
          <w:lang w:val="es-419"/>
        </w:rPr>
        <w:t xml:space="preserve">contra ellos </w:t>
      </w:r>
      <w:r w:rsidR="00D54536" w:rsidRPr="00FA61EE">
        <w:rPr>
          <w:lang w:val="es-419"/>
        </w:rPr>
        <w:t xml:space="preserve">o contra sus entornos y estigmatización. De 16 personas electas, </w:t>
      </w:r>
      <w:r w:rsidR="00607483">
        <w:rPr>
          <w:lang w:val="es-419"/>
        </w:rPr>
        <w:t>3</w:t>
      </w:r>
      <w:r w:rsidR="00607483" w:rsidRPr="00FA61EE">
        <w:rPr>
          <w:lang w:val="es-419"/>
        </w:rPr>
        <w:t xml:space="preserve"> </w:t>
      </w:r>
      <w:r w:rsidR="00D54536" w:rsidRPr="00FA61EE">
        <w:rPr>
          <w:lang w:val="es-419"/>
        </w:rPr>
        <w:t xml:space="preserve">fueron mujeres. </w:t>
      </w:r>
      <w:r w:rsidR="00D54536">
        <w:rPr>
          <w:lang w:val="es-419"/>
        </w:rPr>
        <w:t xml:space="preserve">Algunas de las personas electas fueron cuestionadas porque no representarían a </w:t>
      </w:r>
      <w:r w:rsidR="00D54536" w:rsidRPr="00FA61EE">
        <w:rPr>
          <w:lang w:val="es-419"/>
        </w:rPr>
        <w:t>las víctimas y comunidades</w:t>
      </w:r>
      <w:r w:rsidR="00D65885">
        <w:rPr>
          <w:lang w:val="es-419"/>
        </w:rPr>
        <w:t>. A</w:t>
      </w:r>
      <w:r w:rsidR="00D54536">
        <w:rPr>
          <w:lang w:val="es-419"/>
        </w:rPr>
        <w:t>demás</w:t>
      </w:r>
      <w:r w:rsidR="000955E5">
        <w:rPr>
          <w:lang w:val="es-419"/>
        </w:rPr>
        <w:t>,</w:t>
      </w:r>
      <w:r w:rsidR="00D54536">
        <w:rPr>
          <w:lang w:val="es-419"/>
        </w:rPr>
        <w:t xml:space="preserve"> surgieron</w:t>
      </w:r>
      <w:r w:rsidR="00D54536" w:rsidRPr="00FA61EE">
        <w:rPr>
          <w:lang w:val="es-419"/>
        </w:rPr>
        <w:t xml:space="preserve"> preocupaci</w:t>
      </w:r>
      <w:r w:rsidR="00D54536">
        <w:rPr>
          <w:lang w:val="es-419"/>
        </w:rPr>
        <w:t>ones</w:t>
      </w:r>
      <w:r w:rsidR="00D54536" w:rsidRPr="00FA61EE">
        <w:rPr>
          <w:lang w:val="es-419"/>
        </w:rPr>
        <w:t xml:space="preserve"> por la presunta presión de partidos políticos tradicionales y grupos armados no estatales en el proceso. </w:t>
      </w:r>
    </w:p>
    <w:p w14:paraId="5E3BC3D8" w14:textId="29EB5356" w:rsidR="00D54536" w:rsidRPr="00FA61EE" w:rsidRDefault="00657BEB" w:rsidP="00657BEB">
      <w:pPr>
        <w:pStyle w:val="SingleTxtG"/>
        <w:rPr>
          <w:lang w:val="es-CO"/>
        </w:rPr>
      </w:pPr>
      <w:r>
        <w:rPr>
          <w:lang w:val="es-CO"/>
        </w:rPr>
        <w:t>3.</w:t>
      </w:r>
      <w:r>
        <w:rPr>
          <w:lang w:val="es-CO"/>
        </w:rPr>
        <w:tab/>
      </w:r>
      <w:r w:rsidR="00D54536" w:rsidRPr="00FA61EE">
        <w:rPr>
          <w:lang w:val="es-CO"/>
        </w:rPr>
        <w:t>Las elecciones presidenciales fueron mayoritariamente pacíficas, con hechos aislados de violencia</w:t>
      </w:r>
      <w:r w:rsidR="00EC4516">
        <w:rPr>
          <w:rStyle w:val="FootnoteReference"/>
          <w:lang w:val="es-CO"/>
        </w:rPr>
        <w:footnoteReference w:id="4"/>
      </w:r>
      <w:r w:rsidR="00D54536" w:rsidRPr="00FA61EE">
        <w:rPr>
          <w:lang w:val="es-CO"/>
        </w:rPr>
        <w:t xml:space="preserve">. El 19 de junio, en segunda ronda electoral, Gustavo Petro resultó electo Presidente y tomó posesión </w:t>
      </w:r>
      <w:r w:rsidR="007D7CEC">
        <w:rPr>
          <w:lang w:val="es-CO"/>
        </w:rPr>
        <w:t xml:space="preserve">del cargo </w:t>
      </w:r>
      <w:r w:rsidR="00D54536" w:rsidRPr="00FA61EE">
        <w:rPr>
          <w:lang w:val="es-CO"/>
        </w:rPr>
        <w:t xml:space="preserve">el 7 de agosto junto a Francia Márquez, defensora de derechos humanos del departamento del Cauca y primera mujer afrodescendiente en llegar a la vicepresidencia. </w:t>
      </w:r>
    </w:p>
    <w:p w14:paraId="4D5F5157" w14:textId="240139F7" w:rsidR="00D54536" w:rsidRPr="00417A4A" w:rsidRDefault="00657BEB" w:rsidP="00657BEB">
      <w:pPr>
        <w:pStyle w:val="SingleTxtG"/>
        <w:rPr>
          <w:lang w:val="es-CO"/>
        </w:rPr>
      </w:pPr>
      <w:r w:rsidRPr="009B684D">
        <w:rPr>
          <w:lang w:val="es-419"/>
        </w:rPr>
        <w:t>4.</w:t>
      </w:r>
      <w:r w:rsidRPr="009B684D">
        <w:rPr>
          <w:lang w:val="es-419"/>
        </w:rPr>
        <w:tab/>
      </w:r>
      <w:r w:rsidR="00D54536" w:rsidRPr="009B684D">
        <w:rPr>
          <w:lang w:val="es-419"/>
        </w:rPr>
        <w:t>El nuevo Gobierno priorizó en sus primeros 100 días el desarrollo de una nueva política de “paz total”</w:t>
      </w:r>
      <w:r w:rsidR="00607483" w:rsidRPr="009B684D">
        <w:rPr>
          <w:lang w:val="es-419"/>
        </w:rPr>
        <w:t>,</w:t>
      </w:r>
      <w:r w:rsidR="00D54536" w:rsidRPr="009B684D">
        <w:rPr>
          <w:lang w:val="es-419"/>
        </w:rPr>
        <w:t xml:space="preserve"> que incluye la implementación integral del Acuerdo de Paz. Adoptó, en agosto, un Plan de emergencia para la protección de personas líderes sociales, defensoras de derechos humanos y firmantes de paz. En octubre, relanzó dos mecanismos clave para la implementación del Acuerdo de </w:t>
      </w:r>
      <w:r w:rsidR="001C6BAE" w:rsidRPr="009B684D">
        <w:rPr>
          <w:lang w:val="es-419"/>
        </w:rPr>
        <w:t>P</w:t>
      </w:r>
      <w:r w:rsidR="00D54536" w:rsidRPr="009B684D">
        <w:rPr>
          <w:lang w:val="es-419"/>
        </w:rPr>
        <w:t>az: la Comisión de Seguimiento, Impulso y Verificación a la Implementación del Acuerdo y la Comisión Nacional de Garantías de Seguridad.</w:t>
      </w:r>
    </w:p>
    <w:p w14:paraId="594B120A" w14:textId="42630887" w:rsidR="00D54536" w:rsidRPr="00FA61EE" w:rsidRDefault="00657BEB" w:rsidP="00657BEB">
      <w:pPr>
        <w:pStyle w:val="SingleTxtG"/>
        <w:rPr>
          <w:lang w:val="es-CO"/>
        </w:rPr>
      </w:pPr>
      <w:r>
        <w:rPr>
          <w:lang w:val="es-CO"/>
        </w:rPr>
        <w:t>5.</w:t>
      </w:r>
      <w:r>
        <w:rPr>
          <w:lang w:val="es-CO"/>
        </w:rPr>
        <w:tab/>
      </w:r>
      <w:r w:rsidR="00D54536">
        <w:rPr>
          <w:lang w:val="es-CO"/>
        </w:rPr>
        <w:t xml:space="preserve">En octubre, la Cámara de Representantes </w:t>
      </w:r>
      <w:r w:rsidR="00D65885">
        <w:rPr>
          <w:lang w:val="es-CO"/>
        </w:rPr>
        <w:t xml:space="preserve">aprobó </w:t>
      </w:r>
      <w:r w:rsidR="00D54536">
        <w:rPr>
          <w:lang w:val="es-CO"/>
        </w:rPr>
        <w:t xml:space="preserve">el </w:t>
      </w:r>
      <w:r w:rsidR="00D54536" w:rsidRPr="00417A4A">
        <w:rPr>
          <w:lang w:val="es-CO"/>
        </w:rPr>
        <w:t>Acuerdo Regional sobre el Acceso a la Información, la Participación Pública y el Acceso a la Justicia en Asuntos Ambientales en América Latina y el Caribe</w:t>
      </w:r>
      <w:r w:rsidR="00D65885">
        <w:rPr>
          <w:lang w:val="es-CO"/>
        </w:rPr>
        <w:t xml:space="preserve"> (Acuerdo de Escazú)</w:t>
      </w:r>
      <w:r w:rsidR="00D54536">
        <w:rPr>
          <w:lang w:val="es-CO"/>
        </w:rPr>
        <w:t>.</w:t>
      </w:r>
    </w:p>
    <w:p w14:paraId="0B5E15BD" w14:textId="5E1987EE" w:rsidR="00D54536" w:rsidRDefault="00657BEB" w:rsidP="00657BEB">
      <w:pPr>
        <w:pStyle w:val="SingleTxtG"/>
        <w:rPr>
          <w:lang w:val="es-CO"/>
        </w:rPr>
      </w:pPr>
      <w:r>
        <w:rPr>
          <w:lang w:val="es-CO"/>
        </w:rPr>
        <w:t>6.</w:t>
      </w:r>
      <w:r>
        <w:rPr>
          <w:lang w:val="es-CO"/>
        </w:rPr>
        <w:tab/>
      </w:r>
      <w:r w:rsidR="00D54536" w:rsidRPr="00FA61EE">
        <w:rPr>
          <w:lang w:val="es-CO"/>
        </w:rPr>
        <w:t xml:space="preserve">En 2022, </w:t>
      </w:r>
      <w:r w:rsidR="009B684D">
        <w:rPr>
          <w:lang w:val="es-CO"/>
        </w:rPr>
        <w:t xml:space="preserve">la Oficina del </w:t>
      </w:r>
      <w:r w:rsidR="009B684D" w:rsidRPr="00FA61EE">
        <w:rPr>
          <w:lang w:val="es-CO"/>
        </w:rPr>
        <w:t xml:space="preserve">Alto Comisionado de las Naciones Unidas para los Derechos Humanos </w:t>
      </w:r>
      <w:r w:rsidR="009B684D">
        <w:rPr>
          <w:lang w:val="es-CO"/>
        </w:rPr>
        <w:t>(</w:t>
      </w:r>
      <w:r w:rsidR="00D54536" w:rsidRPr="00FA61EE">
        <w:rPr>
          <w:lang w:val="es-CO"/>
        </w:rPr>
        <w:t>ACNUDH</w:t>
      </w:r>
      <w:r w:rsidR="009B684D">
        <w:rPr>
          <w:lang w:val="es-CO"/>
        </w:rPr>
        <w:t>)</w:t>
      </w:r>
      <w:r w:rsidR="00D54536" w:rsidRPr="00FA61EE">
        <w:rPr>
          <w:lang w:val="es-CO"/>
        </w:rPr>
        <w:t xml:space="preserve"> realizó </w:t>
      </w:r>
      <w:r w:rsidR="00D54536">
        <w:rPr>
          <w:lang w:val="es-CO"/>
        </w:rPr>
        <w:t>906</w:t>
      </w:r>
      <w:r w:rsidR="00D54536" w:rsidRPr="00FA61EE">
        <w:rPr>
          <w:lang w:val="es-CO"/>
        </w:rPr>
        <w:t xml:space="preserve"> misiones al terreno y </w:t>
      </w:r>
      <w:r w:rsidR="00D54536">
        <w:rPr>
          <w:lang w:val="es-CO"/>
        </w:rPr>
        <w:t>319</w:t>
      </w:r>
      <w:r w:rsidR="00D54536" w:rsidRPr="00FA61EE">
        <w:rPr>
          <w:lang w:val="es-CO"/>
        </w:rPr>
        <w:t xml:space="preserve"> actividades de fortalecimiento de capacidades con instituciones del Estado y la sociedad civil. </w:t>
      </w:r>
    </w:p>
    <w:p w14:paraId="1D8A57E6" w14:textId="23AA3AA4" w:rsidR="00D54536" w:rsidRPr="00FA61EE" w:rsidRDefault="00481E3C" w:rsidP="00AB3D5F">
      <w:pPr>
        <w:pStyle w:val="HChG"/>
        <w:rPr>
          <w:lang w:val="es-419"/>
        </w:rPr>
      </w:pPr>
      <w:r>
        <w:rPr>
          <w:lang w:val="es-419"/>
        </w:rPr>
        <w:lastRenderedPageBreak/>
        <w:tab/>
        <w:t>II.</w:t>
      </w:r>
      <w:r>
        <w:rPr>
          <w:lang w:val="es-419"/>
        </w:rPr>
        <w:tab/>
      </w:r>
      <w:r w:rsidR="00D54536" w:rsidRPr="00FA61EE">
        <w:rPr>
          <w:lang w:val="es-419"/>
        </w:rPr>
        <w:t xml:space="preserve">Política de “paz total” </w:t>
      </w:r>
    </w:p>
    <w:p w14:paraId="38ED4CC2" w14:textId="5BC34271" w:rsidR="00D54536" w:rsidRPr="00FA61EE" w:rsidRDefault="00713ACD" w:rsidP="00713ACD">
      <w:pPr>
        <w:pStyle w:val="SingleTxtG"/>
        <w:rPr>
          <w:lang w:val="es-CO"/>
        </w:rPr>
      </w:pPr>
      <w:r>
        <w:rPr>
          <w:lang w:val="es-CO"/>
        </w:rPr>
        <w:t>7.</w:t>
      </w:r>
      <w:r>
        <w:rPr>
          <w:lang w:val="es-CO"/>
        </w:rPr>
        <w:tab/>
      </w:r>
      <w:r w:rsidR="00D54536" w:rsidRPr="00FA61EE">
        <w:rPr>
          <w:lang w:val="es-CO"/>
        </w:rPr>
        <w:t xml:space="preserve">En julio, la Oficina </w:t>
      </w:r>
      <w:r w:rsidR="009B684D">
        <w:rPr>
          <w:lang w:val="es-CO"/>
        </w:rPr>
        <w:t xml:space="preserve">del </w:t>
      </w:r>
      <w:r w:rsidR="009B684D" w:rsidRPr="00FA61EE">
        <w:rPr>
          <w:lang w:val="es-CO"/>
        </w:rPr>
        <w:t xml:space="preserve">ACNUDH </w:t>
      </w:r>
      <w:r w:rsidR="009B684D">
        <w:rPr>
          <w:lang w:val="es-CO"/>
        </w:rPr>
        <w:t xml:space="preserve">en Colombia </w:t>
      </w:r>
      <w:r w:rsidR="00D54536" w:rsidRPr="00FA61EE">
        <w:rPr>
          <w:lang w:val="es-CO"/>
        </w:rPr>
        <w:t xml:space="preserve">publicó el informe </w:t>
      </w:r>
      <w:r w:rsidR="00D54536" w:rsidRPr="00FA61EE">
        <w:rPr>
          <w:i/>
          <w:iCs/>
          <w:lang w:val="es-CO"/>
        </w:rPr>
        <w:t xml:space="preserve">Violencia </w:t>
      </w:r>
      <w:r w:rsidR="009B684D">
        <w:rPr>
          <w:i/>
          <w:iCs/>
          <w:lang w:val="es-CO"/>
        </w:rPr>
        <w:t>t</w:t>
      </w:r>
      <w:r w:rsidR="00D54536" w:rsidRPr="00FA61EE">
        <w:rPr>
          <w:i/>
          <w:iCs/>
          <w:lang w:val="es-CO"/>
        </w:rPr>
        <w:t>erritorial</w:t>
      </w:r>
      <w:r w:rsidR="009B684D">
        <w:rPr>
          <w:i/>
          <w:iCs/>
          <w:lang w:val="es-CO"/>
        </w:rPr>
        <w:t xml:space="preserve"> en Colombia</w:t>
      </w:r>
      <w:r w:rsidR="00D54536" w:rsidRPr="00FA61EE">
        <w:rPr>
          <w:i/>
          <w:iCs/>
          <w:lang w:val="es-CO"/>
        </w:rPr>
        <w:t xml:space="preserve">: </w:t>
      </w:r>
      <w:r w:rsidR="009B684D">
        <w:rPr>
          <w:i/>
          <w:iCs/>
          <w:lang w:val="es-CO"/>
        </w:rPr>
        <w:t>r</w:t>
      </w:r>
      <w:r w:rsidR="00D54536" w:rsidRPr="00FA61EE">
        <w:rPr>
          <w:i/>
          <w:iCs/>
          <w:lang w:val="es-CO"/>
        </w:rPr>
        <w:t xml:space="preserve">ecomendaciones para el </w:t>
      </w:r>
      <w:r w:rsidR="009B684D">
        <w:rPr>
          <w:i/>
          <w:iCs/>
          <w:lang w:val="es-CO"/>
        </w:rPr>
        <w:t>n</w:t>
      </w:r>
      <w:r w:rsidR="00D54536" w:rsidRPr="00FA61EE">
        <w:rPr>
          <w:i/>
          <w:iCs/>
          <w:lang w:val="es-CO"/>
        </w:rPr>
        <w:t>uevo Gobierno</w:t>
      </w:r>
      <w:r w:rsidR="00EC4516" w:rsidRPr="003344C1">
        <w:rPr>
          <w:rStyle w:val="FootnoteReference"/>
          <w:lang w:val="es-CO"/>
        </w:rPr>
        <w:footnoteReference w:id="5"/>
      </w:r>
      <w:r w:rsidR="009B684D">
        <w:rPr>
          <w:lang w:val="es-CO"/>
        </w:rPr>
        <w:t xml:space="preserve">, en el </w:t>
      </w:r>
      <w:r w:rsidR="00D54536" w:rsidRPr="00FA61EE">
        <w:rPr>
          <w:lang w:val="es-CO"/>
        </w:rPr>
        <w:t xml:space="preserve">que </w:t>
      </w:r>
      <w:r w:rsidR="009B684D">
        <w:rPr>
          <w:lang w:val="es-CO"/>
        </w:rPr>
        <w:t xml:space="preserve">se </w:t>
      </w:r>
      <w:r w:rsidR="00D54536" w:rsidRPr="00FA61EE">
        <w:rPr>
          <w:lang w:val="es-CO"/>
        </w:rPr>
        <w:t>identific</w:t>
      </w:r>
      <w:r w:rsidR="009B684D">
        <w:rPr>
          <w:lang w:val="es-CO"/>
        </w:rPr>
        <w:t>a</w:t>
      </w:r>
      <w:r w:rsidR="00BA27B2">
        <w:rPr>
          <w:lang w:val="es-CO"/>
        </w:rPr>
        <w:t>ba</w:t>
      </w:r>
      <w:r w:rsidR="009B684D">
        <w:rPr>
          <w:lang w:val="es-CO"/>
        </w:rPr>
        <w:t>n</w:t>
      </w:r>
      <w:r w:rsidR="00D54536" w:rsidRPr="00FA61EE">
        <w:rPr>
          <w:lang w:val="es-CO"/>
        </w:rPr>
        <w:t xml:space="preserve"> 156 municipios donde la violencia ejercida por grupos armados no estatales y organizaciones criminales </w:t>
      </w:r>
      <w:r w:rsidR="009B684D">
        <w:rPr>
          <w:lang w:val="es-CO"/>
        </w:rPr>
        <w:t xml:space="preserve">había </w:t>
      </w:r>
      <w:r w:rsidR="00BA27B2">
        <w:rPr>
          <w:lang w:val="es-CO"/>
        </w:rPr>
        <w:t>afectado</w:t>
      </w:r>
      <w:r w:rsidR="009B684D" w:rsidRPr="00FA61EE">
        <w:rPr>
          <w:lang w:val="es-CO"/>
        </w:rPr>
        <w:t xml:space="preserve"> </w:t>
      </w:r>
      <w:r w:rsidR="00D54536" w:rsidRPr="00FA61EE">
        <w:rPr>
          <w:lang w:val="es-CO"/>
        </w:rPr>
        <w:t xml:space="preserve">gravemente la situación de </w:t>
      </w:r>
      <w:r w:rsidR="00BA27B2">
        <w:rPr>
          <w:lang w:val="es-CO"/>
        </w:rPr>
        <w:t xml:space="preserve">los </w:t>
      </w:r>
      <w:r w:rsidR="00D54536" w:rsidRPr="00FA61EE">
        <w:rPr>
          <w:lang w:val="es-CO"/>
        </w:rPr>
        <w:t xml:space="preserve">derechos humanos. </w:t>
      </w:r>
    </w:p>
    <w:p w14:paraId="4AAB72E1" w14:textId="74E0B21E" w:rsidR="00D54536" w:rsidRPr="00FA61EE" w:rsidRDefault="00713ACD" w:rsidP="00713ACD">
      <w:pPr>
        <w:pStyle w:val="SingleTxtG"/>
        <w:rPr>
          <w:lang w:val="es-CO"/>
        </w:rPr>
      </w:pPr>
      <w:r>
        <w:rPr>
          <w:lang w:val="es-CO"/>
        </w:rPr>
        <w:t>8.</w:t>
      </w:r>
      <w:r>
        <w:rPr>
          <w:lang w:val="es-CO"/>
        </w:rPr>
        <w:tab/>
      </w:r>
      <w:r w:rsidR="00D54536" w:rsidRPr="00FA61EE">
        <w:rPr>
          <w:lang w:val="es-CO"/>
        </w:rPr>
        <w:t>Estos grupos y organizaciones mantienen una presencia en varios territorios y ejercen control sobre la población</w:t>
      </w:r>
      <w:r w:rsidR="00D54536">
        <w:rPr>
          <w:lang w:val="es-CO"/>
        </w:rPr>
        <w:t>,</w:t>
      </w:r>
      <w:r w:rsidR="00D54536" w:rsidRPr="00FA61EE">
        <w:rPr>
          <w:lang w:val="es-CO"/>
        </w:rPr>
        <w:t xml:space="preserve"> utilizando coerción, intimidación, violencia y</w:t>
      </w:r>
      <w:r w:rsidR="00D54536" w:rsidRPr="00FA61EE">
        <w:rPr>
          <w:lang w:val="es-MX"/>
        </w:rPr>
        <w:t xml:space="preserve"> amenazas para contrarrestar la oposición al desarrollo de sus actividades.</w:t>
      </w:r>
      <w:r w:rsidR="00D54536">
        <w:rPr>
          <w:lang w:val="es-MX"/>
        </w:rPr>
        <w:t xml:space="preserve"> Además </w:t>
      </w:r>
      <w:r w:rsidR="00D54536" w:rsidRPr="00FA61EE">
        <w:rPr>
          <w:lang w:val="es-MX"/>
        </w:rPr>
        <w:t xml:space="preserve">de actos de violencia sexual, asesinatos y desapariciones, en varios </w:t>
      </w:r>
      <w:r w:rsidR="00D54536">
        <w:rPr>
          <w:lang w:val="es-CO"/>
        </w:rPr>
        <w:t>territorios</w:t>
      </w:r>
      <w:r w:rsidR="00D54536" w:rsidRPr="00FA61EE">
        <w:rPr>
          <w:lang w:val="es-CO"/>
        </w:rPr>
        <w:t xml:space="preserve"> los grupos extorsionan, controlan o limitan la movilidad de la población y sus actividades productivas. </w:t>
      </w:r>
    </w:p>
    <w:p w14:paraId="293D0435" w14:textId="5DF29088" w:rsidR="00D54536" w:rsidRPr="00FA61EE" w:rsidRDefault="00713ACD" w:rsidP="00713ACD">
      <w:pPr>
        <w:pStyle w:val="SingleTxtG"/>
        <w:rPr>
          <w:lang w:val="es-CO"/>
        </w:rPr>
      </w:pPr>
      <w:r>
        <w:rPr>
          <w:lang w:val="es-CO"/>
        </w:rPr>
        <w:t>9.</w:t>
      </w:r>
      <w:r>
        <w:rPr>
          <w:lang w:val="es-CO"/>
        </w:rPr>
        <w:tab/>
      </w:r>
      <w:r w:rsidR="00D54536" w:rsidRPr="00FA61EE">
        <w:rPr>
          <w:lang w:val="es-CO"/>
        </w:rPr>
        <w:t xml:space="preserve">En algunos lugares, dichos grupos parecen suplantar funciones propias del Estado, regulando aspectos de la vida comunitaria y tomando decisiones sobre temas familiares o impartiendo “justicia”. </w:t>
      </w:r>
    </w:p>
    <w:p w14:paraId="6BB14608" w14:textId="5251FB28" w:rsidR="00D54536" w:rsidRPr="00FA61EE" w:rsidRDefault="00713ACD" w:rsidP="00713ACD">
      <w:pPr>
        <w:pStyle w:val="SingleTxtG"/>
        <w:rPr>
          <w:lang w:val="es-CO"/>
        </w:rPr>
      </w:pPr>
      <w:r>
        <w:rPr>
          <w:lang w:val="es-CO"/>
        </w:rPr>
        <w:t>10.</w:t>
      </w:r>
      <w:r>
        <w:rPr>
          <w:lang w:val="es-CO"/>
        </w:rPr>
        <w:tab/>
      </w:r>
      <w:r w:rsidR="00D54536" w:rsidRPr="6D381782">
        <w:rPr>
          <w:lang w:val="es-CO"/>
        </w:rPr>
        <w:t xml:space="preserve">La violencia ejercida por actores armados en zonas rurales y en algunos centros urbanos afecta severamente los liderazgos y la vida </w:t>
      </w:r>
      <w:r w:rsidR="009B684D">
        <w:rPr>
          <w:lang w:val="es-CO"/>
        </w:rPr>
        <w:t>en las comunidades</w:t>
      </w:r>
      <w:r w:rsidR="009B684D" w:rsidRPr="6D381782">
        <w:rPr>
          <w:lang w:val="es-CO"/>
        </w:rPr>
        <w:t xml:space="preserve"> </w:t>
      </w:r>
      <w:r w:rsidR="00D54536" w:rsidRPr="6D381782">
        <w:rPr>
          <w:lang w:val="es-CO"/>
        </w:rPr>
        <w:t>indígena</w:t>
      </w:r>
      <w:r w:rsidR="009B684D">
        <w:rPr>
          <w:lang w:val="es-CO"/>
        </w:rPr>
        <w:t>s</w:t>
      </w:r>
      <w:r w:rsidR="00D54536" w:rsidRPr="6D381782">
        <w:rPr>
          <w:lang w:val="es-CO"/>
        </w:rPr>
        <w:t xml:space="preserve">, </w:t>
      </w:r>
      <w:r w:rsidR="00D54536">
        <w:rPr>
          <w:lang w:val="es-CO"/>
        </w:rPr>
        <w:t>afrodescendiente</w:t>
      </w:r>
      <w:r w:rsidR="009B684D">
        <w:rPr>
          <w:lang w:val="es-CO"/>
        </w:rPr>
        <w:t>s</w:t>
      </w:r>
      <w:r w:rsidR="00D54536">
        <w:rPr>
          <w:lang w:val="es-CO"/>
        </w:rPr>
        <w:t xml:space="preserve"> y </w:t>
      </w:r>
      <w:r w:rsidR="00D54536" w:rsidRPr="6D381782">
        <w:rPr>
          <w:lang w:val="es-CO"/>
        </w:rPr>
        <w:t>campesina</w:t>
      </w:r>
      <w:r w:rsidR="009B684D">
        <w:rPr>
          <w:lang w:val="es-CO"/>
        </w:rPr>
        <w:t>s</w:t>
      </w:r>
      <w:r w:rsidR="00D54536" w:rsidRPr="6D381782">
        <w:rPr>
          <w:lang w:val="es-CO"/>
        </w:rPr>
        <w:t xml:space="preserve">, y a </w:t>
      </w:r>
      <w:r w:rsidR="009B684D">
        <w:rPr>
          <w:lang w:val="es-CO"/>
        </w:rPr>
        <w:t xml:space="preserve">las </w:t>
      </w:r>
      <w:r w:rsidR="00D54536" w:rsidRPr="6D381782">
        <w:rPr>
          <w:lang w:val="es-CO"/>
        </w:rPr>
        <w:t xml:space="preserve">mujeres, </w:t>
      </w:r>
      <w:r w:rsidR="00D54536">
        <w:rPr>
          <w:lang w:val="es-CO"/>
        </w:rPr>
        <w:t xml:space="preserve">niñas </w:t>
      </w:r>
      <w:r w:rsidR="00D54536" w:rsidRPr="6D381782">
        <w:rPr>
          <w:lang w:val="es-CO"/>
        </w:rPr>
        <w:t>y personas LGBTIQ+. En este contexto se cometen la mayoría de los homicidios de personas defensoras de derechos humanos</w:t>
      </w:r>
      <w:r w:rsidR="00D54536">
        <w:rPr>
          <w:lang w:val="es-CO"/>
        </w:rPr>
        <w:t>,</w:t>
      </w:r>
      <w:r w:rsidR="00D54536" w:rsidRPr="6D381782">
        <w:rPr>
          <w:lang w:val="es-CO"/>
        </w:rPr>
        <w:t xml:space="preserve"> afectando la capacidad organizativa de las comunidades y su tejido social.</w:t>
      </w:r>
    </w:p>
    <w:p w14:paraId="33E2FE55" w14:textId="29E1A27F" w:rsidR="00D54536" w:rsidRPr="00FA61EE" w:rsidRDefault="00713ACD" w:rsidP="00713ACD">
      <w:pPr>
        <w:pStyle w:val="SingleTxtG"/>
        <w:rPr>
          <w:lang w:val="es-CO"/>
        </w:rPr>
      </w:pPr>
      <w:r>
        <w:rPr>
          <w:lang w:val="es-CO"/>
        </w:rPr>
        <w:t>11.</w:t>
      </w:r>
      <w:r>
        <w:rPr>
          <w:lang w:val="es-CO"/>
        </w:rPr>
        <w:tab/>
      </w:r>
      <w:r w:rsidR="00D54536" w:rsidRPr="00FA61EE">
        <w:rPr>
          <w:lang w:val="es-CO"/>
        </w:rPr>
        <w:t xml:space="preserve">En el informe, </w:t>
      </w:r>
      <w:r w:rsidR="009B684D">
        <w:rPr>
          <w:lang w:val="es-CO"/>
        </w:rPr>
        <w:t xml:space="preserve">el </w:t>
      </w:r>
      <w:r w:rsidR="009B684D" w:rsidRPr="00FA61EE">
        <w:rPr>
          <w:lang w:val="es-CO"/>
        </w:rPr>
        <w:t xml:space="preserve">ACNUDH </w:t>
      </w:r>
      <w:r w:rsidR="00D54536" w:rsidRPr="00FA61EE">
        <w:rPr>
          <w:lang w:val="es-CO"/>
        </w:rPr>
        <w:t xml:space="preserve">resaltó la responsabilidad del Estado, como garante de los derechos humanos, de proteger a las poblaciones y señaló </w:t>
      </w:r>
      <w:r w:rsidR="007D7CEC">
        <w:rPr>
          <w:lang w:val="es-CO"/>
        </w:rPr>
        <w:t xml:space="preserve">su </w:t>
      </w:r>
      <w:r w:rsidR="00D54536" w:rsidRPr="00FA61EE">
        <w:rPr>
          <w:lang w:val="es-CO"/>
        </w:rPr>
        <w:t xml:space="preserve">preocupación frente a casos de presunta connivencia entre agentes del Estado </w:t>
      </w:r>
      <w:r w:rsidR="009B684D">
        <w:rPr>
          <w:lang w:val="es-CO"/>
        </w:rPr>
        <w:t>y</w:t>
      </w:r>
      <w:r w:rsidR="009B684D" w:rsidRPr="00FA61EE">
        <w:rPr>
          <w:lang w:val="es-CO"/>
        </w:rPr>
        <w:t xml:space="preserve"> </w:t>
      </w:r>
      <w:r w:rsidR="00D54536" w:rsidRPr="00FA61EE">
        <w:rPr>
          <w:lang w:val="es-CO"/>
        </w:rPr>
        <w:t xml:space="preserve">grupos </w:t>
      </w:r>
      <w:r w:rsidR="00D54536" w:rsidRPr="008D2C0B">
        <w:rPr>
          <w:lang w:val="es-CO"/>
        </w:rPr>
        <w:t>armados</w:t>
      </w:r>
      <w:r w:rsidR="00D54536">
        <w:rPr>
          <w:lang w:val="es-CO"/>
        </w:rPr>
        <w:t xml:space="preserve"> </w:t>
      </w:r>
      <w:r w:rsidR="00D54536" w:rsidRPr="00FA61EE">
        <w:rPr>
          <w:lang w:val="es-CO"/>
        </w:rPr>
        <w:t>no estatales.</w:t>
      </w:r>
    </w:p>
    <w:p w14:paraId="1496EF19" w14:textId="045709DC" w:rsidR="00D54536" w:rsidRPr="00FA61EE" w:rsidRDefault="00713ACD" w:rsidP="00713ACD">
      <w:pPr>
        <w:pStyle w:val="SingleTxtG"/>
        <w:rPr>
          <w:lang w:val="es-CO"/>
        </w:rPr>
      </w:pPr>
      <w:r>
        <w:rPr>
          <w:lang w:val="es-CO"/>
        </w:rPr>
        <w:t>12.</w:t>
      </w:r>
      <w:r>
        <w:rPr>
          <w:lang w:val="es-CO"/>
        </w:rPr>
        <w:tab/>
      </w:r>
      <w:r w:rsidR="00D54536" w:rsidRPr="00FA61EE">
        <w:rPr>
          <w:lang w:val="es-CO"/>
        </w:rPr>
        <w:t>En respuesta a esta situación de violencia, el nuevo Gobierno lanzó la política de “paz total”</w:t>
      </w:r>
      <w:r w:rsidR="00CF3909">
        <w:rPr>
          <w:rStyle w:val="FootnoteReference"/>
          <w:lang w:val="es-CO"/>
        </w:rPr>
        <w:footnoteReference w:id="6"/>
      </w:r>
      <w:r w:rsidR="009B684D">
        <w:rPr>
          <w:lang w:val="es-CO"/>
        </w:rPr>
        <w:t>,</w:t>
      </w:r>
      <w:r w:rsidR="00D54536" w:rsidRPr="00FA61EE">
        <w:rPr>
          <w:lang w:val="es-CO"/>
        </w:rPr>
        <w:t xml:space="preserve"> que incluye el compromiso de fortalecer la implementación del Acuerdo de Paz</w:t>
      </w:r>
      <w:r w:rsidR="009B684D">
        <w:rPr>
          <w:lang w:val="es-CO"/>
        </w:rPr>
        <w:t>,</w:t>
      </w:r>
      <w:r w:rsidR="00D54536" w:rsidRPr="00FA61EE">
        <w:rPr>
          <w:lang w:val="es-CO"/>
        </w:rPr>
        <w:t xml:space="preserve"> la apertura de diálogos con todos los grupos armados presentes en los territorios y el desarrollo de un nuevo enfoque de seguridad humana. </w:t>
      </w:r>
    </w:p>
    <w:p w14:paraId="49DFBD6D" w14:textId="2474BAB1" w:rsidR="00D54536" w:rsidRPr="00FA61EE" w:rsidRDefault="00713ACD" w:rsidP="00713ACD">
      <w:pPr>
        <w:pStyle w:val="SingleTxtG"/>
        <w:rPr>
          <w:lang w:val="es-CO"/>
        </w:rPr>
      </w:pPr>
      <w:r w:rsidRPr="00173CF9">
        <w:rPr>
          <w:lang w:val="es-CO"/>
        </w:rPr>
        <w:t>13.</w:t>
      </w:r>
      <w:r w:rsidRPr="00173CF9">
        <w:rPr>
          <w:lang w:val="es-CO"/>
        </w:rPr>
        <w:tab/>
      </w:r>
      <w:r w:rsidR="00D54536" w:rsidRPr="00173CF9">
        <w:rPr>
          <w:lang w:val="es-CO"/>
        </w:rPr>
        <w:t xml:space="preserve">En el marco de esta nueva política, el Gobierno reanudó </w:t>
      </w:r>
      <w:r w:rsidR="007D7CEC" w:rsidRPr="00173CF9">
        <w:rPr>
          <w:lang w:val="es-CO"/>
        </w:rPr>
        <w:t xml:space="preserve">en noviembre </w:t>
      </w:r>
      <w:r w:rsidR="00D54536" w:rsidRPr="00173CF9">
        <w:rPr>
          <w:lang w:val="es-CO"/>
        </w:rPr>
        <w:t>los diálogos con el Ejército de Liberación Nacional</w:t>
      </w:r>
      <w:r w:rsidR="00CF3909" w:rsidRPr="00173CF9">
        <w:rPr>
          <w:rStyle w:val="FootnoteReference"/>
          <w:lang w:val="es-CO"/>
        </w:rPr>
        <w:footnoteReference w:id="7"/>
      </w:r>
      <w:r w:rsidR="00D54536" w:rsidRPr="00173CF9">
        <w:rPr>
          <w:lang w:val="es-CO"/>
        </w:rPr>
        <w:t xml:space="preserve"> y ha realizado acercamientos con otros grupos. En septiembre, el Alto Comisionado para la Paz anunció la voluntad de diálogo de varios actores armados y la posibilidad de un cese </w:t>
      </w:r>
      <w:r w:rsidR="00D65885" w:rsidRPr="00173CF9">
        <w:rPr>
          <w:lang w:val="es-CO"/>
        </w:rPr>
        <w:t>al</w:t>
      </w:r>
      <w:r w:rsidR="00D54536" w:rsidRPr="00173CF9">
        <w:rPr>
          <w:lang w:val="es-CO"/>
        </w:rPr>
        <w:t xml:space="preserve"> fuego multilateral</w:t>
      </w:r>
      <w:r w:rsidR="00CF3909" w:rsidRPr="00173CF9">
        <w:rPr>
          <w:rStyle w:val="FootnoteReference"/>
          <w:lang w:val="es-CO"/>
        </w:rPr>
        <w:footnoteReference w:id="8"/>
      </w:r>
      <w:r w:rsidR="00D54536" w:rsidRPr="00173CF9">
        <w:rPr>
          <w:lang w:val="es-CO"/>
        </w:rPr>
        <w:t xml:space="preserve">. El 31 de diciembre, el Presidente </w:t>
      </w:r>
      <w:r w:rsidR="009B684D" w:rsidRPr="00173CF9">
        <w:rPr>
          <w:lang w:val="es-CO"/>
        </w:rPr>
        <w:t xml:space="preserve">Gustavo </w:t>
      </w:r>
      <w:r w:rsidR="00D54536" w:rsidRPr="00173CF9">
        <w:rPr>
          <w:lang w:val="es-CO"/>
        </w:rPr>
        <w:t>Petro anunció</w:t>
      </w:r>
      <w:r w:rsidR="00CF3909" w:rsidRPr="00173CF9">
        <w:rPr>
          <w:rStyle w:val="FootnoteReference"/>
          <w:lang w:val="es-CO"/>
        </w:rPr>
        <w:footnoteReference w:id="9"/>
      </w:r>
      <w:r w:rsidR="00D54536" w:rsidRPr="00173CF9">
        <w:rPr>
          <w:lang w:val="es-CO"/>
        </w:rPr>
        <w:t xml:space="preserve"> el cese al fuego bilateral con cinco grupos armados no estatales y organizaciones criminales</w:t>
      </w:r>
      <w:r w:rsidR="00CF3909" w:rsidRPr="00173CF9">
        <w:rPr>
          <w:rStyle w:val="FootnoteReference"/>
          <w:lang w:val="es-CO"/>
        </w:rPr>
        <w:footnoteReference w:id="10"/>
      </w:r>
      <w:r w:rsidR="00D54536" w:rsidRPr="00173CF9">
        <w:rPr>
          <w:lang w:val="es-CO"/>
        </w:rPr>
        <w:t>.</w:t>
      </w:r>
      <w:r w:rsidR="007D7CEC">
        <w:rPr>
          <w:lang w:val="es-CO"/>
        </w:rPr>
        <w:t xml:space="preserve"> </w:t>
      </w:r>
    </w:p>
    <w:p w14:paraId="79BE2B30" w14:textId="5C80223D" w:rsidR="00D54536" w:rsidRPr="00FA61EE" w:rsidRDefault="00713ACD" w:rsidP="00713ACD">
      <w:pPr>
        <w:pStyle w:val="SingleTxtG"/>
        <w:rPr>
          <w:lang w:val="es-CO"/>
        </w:rPr>
      </w:pPr>
      <w:r>
        <w:rPr>
          <w:lang w:val="es-CO"/>
        </w:rPr>
        <w:t>14.</w:t>
      </w:r>
      <w:r>
        <w:rPr>
          <w:lang w:val="es-CO"/>
        </w:rPr>
        <w:tab/>
      </w:r>
      <w:r w:rsidR="00D54536" w:rsidRPr="00FA61EE">
        <w:rPr>
          <w:lang w:val="es-CO"/>
        </w:rPr>
        <w:t xml:space="preserve">El 4 de noviembre, el Presidente </w:t>
      </w:r>
      <w:r w:rsidR="009B684D" w:rsidRPr="00FA61EE">
        <w:rPr>
          <w:lang w:val="es-CO"/>
        </w:rPr>
        <w:t xml:space="preserve">Gustavo </w:t>
      </w:r>
      <w:r w:rsidR="00D54536" w:rsidRPr="00FA61EE">
        <w:rPr>
          <w:lang w:val="es-CO"/>
        </w:rPr>
        <w:t xml:space="preserve">Petro sancionó la Ley 2272 de 2022, que define el marco legal de la política de “paz total” como política de Estado y ratifica el nuevo enfoque de seguridad humana. </w:t>
      </w:r>
      <w:r w:rsidR="00173CF9">
        <w:rPr>
          <w:lang w:val="es-CO"/>
        </w:rPr>
        <w:t>Mediante esta</w:t>
      </w:r>
      <w:r w:rsidR="00173CF9" w:rsidRPr="00FA61EE">
        <w:rPr>
          <w:lang w:val="es-CO"/>
        </w:rPr>
        <w:t xml:space="preserve"> </w:t>
      </w:r>
      <w:r w:rsidR="00D54536" w:rsidRPr="00FA61EE">
        <w:rPr>
          <w:lang w:val="es-CO"/>
        </w:rPr>
        <w:t xml:space="preserve">Ley </w:t>
      </w:r>
      <w:r w:rsidR="00173CF9">
        <w:rPr>
          <w:lang w:val="es-CO"/>
        </w:rPr>
        <w:t xml:space="preserve">se </w:t>
      </w:r>
      <w:r w:rsidR="00D54536" w:rsidRPr="00FA61EE">
        <w:rPr>
          <w:lang w:val="es-CO"/>
        </w:rPr>
        <w:t xml:space="preserve">crea una </w:t>
      </w:r>
      <w:r w:rsidR="00173CF9">
        <w:rPr>
          <w:lang w:val="es-CO"/>
        </w:rPr>
        <w:t>c</w:t>
      </w:r>
      <w:r w:rsidR="00D54536" w:rsidRPr="00FA61EE">
        <w:rPr>
          <w:lang w:val="es-CO"/>
        </w:rPr>
        <w:t xml:space="preserve">omisión para calificar el tipo de organizaciones con las que </w:t>
      </w:r>
      <w:r w:rsidR="00173CF9">
        <w:rPr>
          <w:lang w:val="es-CO"/>
        </w:rPr>
        <w:t xml:space="preserve">se </w:t>
      </w:r>
      <w:r w:rsidR="00D54536" w:rsidRPr="00FA61EE">
        <w:rPr>
          <w:lang w:val="es-CO"/>
        </w:rPr>
        <w:t xml:space="preserve">comenzará un diálogo político y con </w:t>
      </w:r>
      <w:r w:rsidR="00173CF9">
        <w:rPr>
          <w:lang w:val="es-CO"/>
        </w:rPr>
        <w:t>las que</w:t>
      </w:r>
      <w:r w:rsidR="00173CF9" w:rsidRPr="00FA61EE">
        <w:rPr>
          <w:lang w:val="es-CO"/>
        </w:rPr>
        <w:t xml:space="preserve"> </w:t>
      </w:r>
      <w:r w:rsidR="00D54536" w:rsidRPr="00FA61EE">
        <w:rPr>
          <w:lang w:val="es-CO"/>
        </w:rPr>
        <w:t xml:space="preserve">se dará un proceso de acogimiento a la justicia. También </w:t>
      </w:r>
      <w:r w:rsidR="00173CF9">
        <w:rPr>
          <w:lang w:val="es-CO"/>
        </w:rPr>
        <w:t xml:space="preserve">se </w:t>
      </w:r>
      <w:r w:rsidR="00D54536" w:rsidRPr="00FA61EE">
        <w:rPr>
          <w:lang w:val="es-CO"/>
        </w:rPr>
        <w:t>posibilita la realización de acuerdos parciales y totales con los diferentes actores del conflicto armado, incluidos acuerdos humanitarios.</w:t>
      </w:r>
    </w:p>
    <w:p w14:paraId="7F96CEEE" w14:textId="7272276E" w:rsidR="00D54536" w:rsidRPr="00FA61EE" w:rsidRDefault="00713ACD" w:rsidP="00713ACD">
      <w:pPr>
        <w:pStyle w:val="SingleTxtG"/>
        <w:rPr>
          <w:lang w:val="es-CO"/>
        </w:rPr>
      </w:pPr>
      <w:r>
        <w:rPr>
          <w:lang w:val="es-CO"/>
        </w:rPr>
        <w:t>15.</w:t>
      </w:r>
      <w:r>
        <w:rPr>
          <w:lang w:val="es-CO"/>
        </w:rPr>
        <w:tab/>
      </w:r>
      <w:r w:rsidR="00173CF9">
        <w:rPr>
          <w:lang w:val="es-CO"/>
        </w:rPr>
        <w:t>En la</w:t>
      </w:r>
      <w:r w:rsidR="00173CF9" w:rsidRPr="00FA61EE">
        <w:rPr>
          <w:lang w:val="es-CO"/>
        </w:rPr>
        <w:t xml:space="preserve"> </w:t>
      </w:r>
      <w:r w:rsidR="00D54536" w:rsidRPr="00FA61EE">
        <w:rPr>
          <w:lang w:val="es-CO"/>
        </w:rPr>
        <w:t xml:space="preserve">Ley 2272 </w:t>
      </w:r>
      <w:r w:rsidR="00173CF9">
        <w:rPr>
          <w:lang w:val="es-CO"/>
        </w:rPr>
        <w:t xml:space="preserve">se </w:t>
      </w:r>
      <w:r w:rsidR="00D54536" w:rsidRPr="00FA61EE">
        <w:rPr>
          <w:lang w:val="es-CO"/>
        </w:rPr>
        <w:t xml:space="preserve">expresó que la política de paz debe garantizar la participación efectiva de </w:t>
      </w:r>
      <w:r w:rsidR="00173CF9">
        <w:rPr>
          <w:lang w:val="es-CO"/>
        </w:rPr>
        <w:t xml:space="preserve">las </w:t>
      </w:r>
      <w:r w:rsidR="00D54536" w:rsidRPr="00FA61EE">
        <w:rPr>
          <w:lang w:val="es-CO"/>
        </w:rPr>
        <w:t>mujeres y de la sociedad civil, al incorporar los enfoques diferenciales de manera interseccional y territorial y el principio de la centralidad de las víctimas</w:t>
      </w:r>
      <w:r w:rsidR="00CF3909">
        <w:rPr>
          <w:rStyle w:val="FootnoteReference"/>
          <w:lang w:val="es-CO"/>
        </w:rPr>
        <w:footnoteReference w:id="11"/>
      </w:r>
      <w:r w:rsidR="00D54536" w:rsidRPr="00FA61EE">
        <w:rPr>
          <w:lang w:val="es-CO"/>
        </w:rPr>
        <w:t xml:space="preserve">. Es </w:t>
      </w:r>
      <w:r w:rsidR="00D54536" w:rsidRPr="00FA61EE">
        <w:rPr>
          <w:lang w:val="es-CO"/>
        </w:rPr>
        <w:lastRenderedPageBreak/>
        <w:t xml:space="preserve">fundamental que se implementen esfuerzos para materializar dicha participación y que de manera simultánea se pueda avanzar en acuerdos que contribuyan a mitigar el impacto de la violencia en la población civil. </w:t>
      </w:r>
      <w:r w:rsidR="00D54536" w:rsidRPr="00FA61EE">
        <w:rPr>
          <w:lang w:val="es-CO" w:eastAsia="es-CO"/>
        </w:rPr>
        <w:t xml:space="preserve">Para alcanzar la </w:t>
      </w:r>
      <w:r w:rsidR="00D54536">
        <w:rPr>
          <w:lang w:val="es-CO" w:eastAsia="es-CO"/>
        </w:rPr>
        <w:t>“</w:t>
      </w:r>
      <w:r w:rsidR="00D54536" w:rsidRPr="00FA61EE">
        <w:rPr>
          <w:lang w:val="es-CO" w:eastAsia="es-CO"/>
        </w:rPr>
        <w:t>paz total</w:t>
      </w:r>
      <w:r w:rsidR="00D54536">
        <w:rPr>
          <w:lang w:val="es-CO" w:eastAsia="es-CO"/>
        </w:rPr>
        <w:t>”</w:t>
      </w:r>
      <w:r w:rsidR="00D54536" w:rsidRPr="00FA61EE">
        <w:rPr>
          <w:lang w:val="es-CO" w:eastAsia="es-CO"/>
        </w:rPr>
        <w:t xml:space="preserve">, es esencial fortalecer el Estado de </w:t>
      </w:r>
      <w:r w:rsidR="00173CF9">
        <w:rPr>
          <w:lang w:val="es-CO" w:eastAsia="es-CO"/>
        </w:rPr>
        <w:t>d</w:t>
      </w:r>
      <w:r w:rsidR="00D54536" w:rsidRPr="00FA61EE">
        <w:rPr>
          <w:lang w:val="es-CO" w:eastAsia="es-CO"/>
        </w:rPr>
        <w:t>erecho y el desarrollo participativo en los territorios afectados por la violencia. Esto requiere el fortalecimiento de la institucionalidad civil del Estado, combatiendo situaciones de corrupción y connivencia e implementando e</w:t>
      </w:r>
      <w:r w:rsidR="00793AF7">
        <w:rPr>
          <w:lang w:val="es-CO" w:eastAsia="es-CO"/>
        </w:rPr>
        <w:t>fectivamente el Acuerdo de Paz.</w:t>
      </w:r>
    </w:p>
    <w:p w14:paraId="6754D08B" w14:textId="258A5E98" w:rsidR="00D54536" w:rsidRPr="00DA385D" w:rsidRDefault="00DA385D" w:rsidP="00AB3D5F">
      <w:pPr>
        <w:pStyle w:val="HChG"/>
        <w:rPr>
          <w:lang w:val="es-419"/>
        </w:rPr>
      </w:pPr>
      <w:r>
        <w:rPr>
          <w:lang w:val="es-419"/>
        </w:rPr>
        <w:tab/>
        <w:t>III.</w:t>
      </w:r>
      <w:r>
        <w:rPr>
          <w:lang w:val="es-419"/>
        </w:rPr>
        <w:tab/>
      </w:r>
      <w:r>
        <w:rPr>
          <w:lang w:val="es-419"/>
        </w:rPr>
        <w:tab/>
      </w:r>
      <w:r w:rsidR="00D54536" w:rsidRPr="00DA385D">
        <w:rPr>
          <w:lang w:val="es-419"/>
        </w:rPr>
        <w:t>Implementación del Acuerdo de Paz</w:t>
      </w:r>
    </w:p>
    <w:p w14:paraId="6A05A4B9" w14:textId="205FAC8F" w:rsidR="00D54536" w:rsidRPr="00FA61EE" w:rsidRDefault="00A650E0" w:rsidP="00A650E0">
      <w:pPr>
        <w:pStyle w:val="SingleTxtG"/>
        <w:rPr>
          <w:lang w:eastAsia="es-CO"/>
        </w:rPr>
      </w:pPr>
      <w:r>
        <w:rPr>
          <w:lang w:eastAsia="es-CO"/>
        </w:rPr>
        <w:t>16.</w:t>
      </w:r>
      <w:r>
        <w:rPr>
          <w:lang w:eastAsia="es-CO"/>
        </w:rPr>
        <w:tab/>
      </w:r>
      <w:r w:rsidR="00D54536" w:rsidRPr="00FA61EE">
        <w:rPr>
          <w:lang w:eastAsia="es-CO"/>
        </w:rPr>
        <w:t xml:space="preserve">En seguimiento a lo establecido en el Acuerdo de Paz, </w:t>
      </w:r>
      <w:r w:rsidR="00173CF9">
        <w:rPr>
          <w:lang w:eastAsia="es-CO"/>
        </w:rPr>
        <w:t xml:space="preserve">el </w:t>
      </w:r>
      <w:r w:rsidR="00173CF9" w:rsidRPr="00FA61EE">
        <w:rPr>
          <w:lang w:val="es-CO"/>
        </w:rPr>
        <w:t>ACNUDH</w:t>
      </w:r>
      <w:r w:rsidR="00173CF9" w:rsidRPr="00FA61EE" w:rsidDel="00173CF9">
        <w:rPr>
          <w:lang w:eastAsia="es-CO"/>
        </w:rPr>
        <w:t xml:space="preserve"> </w:t>
      </w:r>
      <w:r w:rsidR="00D54536" w:rsidRPr="00FA61EE">
        <w:rPr>
          <w:lang w:eastAsia="es-CO"/>
        </w:rPr>
        <w:t>incorpora un capítulo de seguimiento a los aspectos de derechos humanos relacionados con la implementación del Acuerdo</w:t>
      </w:r>
      <w:r w:rsidR="00173CF9" w:rsidRPr="00173CF9">
        <w:rPr>
          <w:lang w:eastAsia="es-CO"/>
        </w:rPr>
        <w:t xml:space="preserve"> </w:t>
      </w:r>
      <w:r w:rsidR="00173CF9" w:rsidRPr="00FA61EE">
        <w:rPr>
          <w:lang w:eastAsia="es-CO"/>
        </w:rPr>
        <w:t>de Paz</w:t>
      </w:r>
      <w:r w:rsidR="00D54536" w:rsidRPr="00FA61EE">
        <w:rPr>
          <w:lang w:eastAsia="es-CO"/>
        </w:rPr>
        <w:t>.</w:t>
      </w:r>
    </w:p>
    <w:p w14:paraId="48BFE83D" w14:textId="271E3889" w:rsidR="00D54536" w:rsidRPr="00B61317" w:rsidRDefault="00B61317" w:rsidP="00AB3D5F">
      <w:pPr>
        <w:pStyle w:val="H1G"/>
      </w:pPr>
      <w:r>
        <w:tab/>
        <w:t>A.</w:t>
      </w:r>
      <w:r>
        <w:tab/>
      </w:r>
      <w:r>
        <w:tab/>
      </w:r>
      <w:r w:rsidR="00D54536" w:rsidRPr="00B61317">
        <w:t>Reforma rural integral y política de drogas</w:t>
      </w:r>
    </w:p>
    <w:p w14:paraId="1BB0344B" w14:textId="6D7F76D9" w:rsidR="00D54536" w:rsidRPr="00FA61EE" w:rsidRDefault="002A410B" w:rsidP="002A410B">
      <w:pPr>
        <w:pStyle w:val="SingleTxtG"/>
        <w:rPr>
          <w:lang w:val="es-CO"/>
        </w:rPr>
      </w:pPr>
      <w:r>
        <w:rPr>
          <w:lang w:val="es-CO"/>
        </w:rPr>
        <w:t>17.</w:t>
      </w:r>
      <w:r>
        <w:rPr>
          <w:lang w:val="es-CO"/>
        </w:rPr>
        <w:tab/>
      </w:r>
      <w:r w:rsidR="00D54536" w:rsidRPr="00FA61EE">
        <w:rPr>
          <w:lang w:val="es-CO"/>
        </w:rPr>
        <w:t xml:space="preserve">El nuevo Gobierno anunció un cambio en la política de drogas, con un enfoque menos punitivo, más social y de salud pública. </w:t>
      </w:r>
      <w:r w:rsidR="00D54536">
        <w:rPr>
          <w:lang w:val="es-CO"/>
        </w:rPr>
        <w:t>Particularmente</w:t>
      </w:r>
      <w:r w:rsidR="00D54536" w:rsidRPr="00FA61EE">
        <w:rPr>
          <w:lang w:val="es-CO"/>
        </w:rPr>
        <w:t>, anunció que privilegiaría la política de sustitución de cultivos sobre otros mecanismos, y la inclusión de un enfoque de derechos humanos en las políticas públicas de drogas</w:t>
      </w:r>
      <w:r w:rsidR="009C5CF0">
        <w:rPr>
          <w:rStyle w:val="FootnoteReference"/>
          <w:lang w:val="es-CO"/>
        </w:rPr>
        <w:footnoteReference w:id="12"/>
      </w:r>
      <w:r w:rsidR="00D54536" w:rsidRPr="00FA61EE">
        <w:rPr>
          <w:lang w:val="es-CO"/>
        </w:rPr>
        <w:t xml:space="preserve">. La </w:t>
      </w:r>
      <w:r w:rsidR="00173CF9">
        <w:rPr>
          <w:lang w:val="es-CO"/>
        </w:rPr>
        <w:t xml:space="preserve">anterior </w:t>
      </w:r>
      <w:r w:rsidR="00D54536" w:rsidRPr="00FA61EE">
        <w:rPr>
          <w:lang w:val="es-CO"/>
        </w:rPr>
        <w:t>Alta Comisionada de la</w:t>
      </w:r>
      <w:r w:rsidR="00D54536">
        <w:rPr>
          <w:lang w:val="es-CO"/>
        </w:rPr>
        <w:t>s Naciones Unidas</w:t>
      </w:r>
      <w:r w:rsidR="00D54536" w:rsidRPr="00FA61EE">
        <w:rPr>
          <w:lang w:val="es-CO"/>
        </w:rPr>
        <w:t xml:space="preserve"> para los Derechos Humanos señaló que este enfoque podría ser instrumental para proteger de mejor manera los derechos de los campesinos, de las comunidades indígenas y afrocolombianas y de las personas que usan drogas, tanto en Colombia como de manera global</w:t>
      </w:r>
      <w:r w:rsidR="009C5CF0">
        <w:rPr>
          <w:rStyle w:val="FootnoteReference"/>
          <w:lang w:val="es-CO"/>
        </w:rPr>
        <w:footnoteReference w:id="13"/>
      </w:r>
      <w:r w:rsidR="00D54536" w:rsidRPr="00FA61EE">
        <w:rPr>
          <w:lang w:val="es-CO"/>
        </w:rPr>
        <w:t>.</w:t>
      </w:r>
    </w:p>
    <w:p w14:paraId="234B2B72" w14:textId="409F1764" w:rsidR="00D54536" w:rsidRDefault="002A410B" w:rsidP="002A410B">
      <w:pPr>
        <w:pStyle w:val="SingleTxtG"/>
        <w:rPr>
          <w:lang w:val="es-CO"/>
        </w:rPr>
      </w:pPr>
      <w:r>
        <w:rPr>
          <w:lang w:val="es-CO"/>
        </w:rPr>
        <w:t>18.</w:t>
      </w:r>
      <w:r>
        <w:rPr>
          <w:lang w:val="es-CO"/>
        </w:rPr>
        <w:tab/>
      </w:r>
      <w:r w:rsidR="00D54536" w:rsidRPr="00FA61EE">
        <w:rPr>
          <w:lang w:val="es-CO"/>
        </w:rPr>
        <w:t xml:space="preserve">El Programa Nacional </w:t>
      </w:r>
      <w:r w:rsidR="00D54536">
        <w:rPr>
          <w:lang w:val="es-CO"/>
        </w:rPr>
        <w:t xml:space="preserve">Integral </w:t>
      </w:r>
      <w:r w:rsidR="00D54536" w:rsidRPr="00FA61EE">
        <w:rPr>
          <w:lang w:val="es-CO"/>
        </w:rPr>
        <w:t xml:space="preserve">de Sustitución de Cultivos Ilícitos presenta aún retos en cuanto a su nivel de implementación. El avance en </w:t>
      </w:r>
      <w:r w:rsidR="00173CF9">
        <w:rPr>
          <w:lang w:val="es-CO"/>
        </w:rPr>
        <w:t xml:space="preserve">la </w:t>
      </w:r>
      <w:r w:rsidR="00D54536" w:rsidRPr="00FA61EE">
        <w:rPr>
          <w:lang w:val="es-CO"/>
        </w:rPr>
        <w:t xml:space="preserve">erradicación </w:t>
      </w:r>
      <w:r w:rsidR="00D54536">
        <w:rPr>
          <w:lang w:val="es-CO"/>
        </w:rPr>
        <w:t xml:space="preserve">voluntaria </w:t>
      </w:r>
      <w:r w:rsidR="00D54536" w:rsidRPr="00FA61EE">
        <w:rPr>
          <w:lang w:val="es-CO"/>
        </w:rPr>
        <w:t xml:space="preserve">de cultivos </w:t>
      </w:r>
      <w:r w:rsidR="00D54536">
        <w:rPr>
          <w:lang w:val="es-CO"/>
        </w:rPr>
        <w:t xml:space="preserve">en el Programa </w:t>
      </w:r>
      <w:r w:rsidR="00D54536" w:rsidRPr="00FA61EE">
        <w:rPr>
          <w:lang w:val="es-CO"/>
        </w:rPr>
        <w:t>es de un 75,07</w:t>
      </w:r>
      <w:r w:rsidR="00173CF9">
        <w:rPr>
          <w:lang w:val="es-CO"/>
        </w:rPr>
        <w:t> </w:t>
      </w:r>
      <w:r w:rsidR="00D54536" w:rsidRPr="00FA61EE">
        <w:rPr>
          <w:lang w:val="es-CO"/>
        </w:rPr>
        <w:t xml:space="preserve">% </w:t>
      </w:r>
      <w:r w:rsidR="007D7CEC">
        <w:rPr>
          <w:lang w:val="es-CO"/>
        </w:rPr>
        <w:t>respecto</w:t>
      </w:r>
      <w:r w:rsidR="007D7CEC" w:rsidRPr="00FA61EE">
        <w:rPr>
          <w:lang w:val="es-CO"/>
        </w:rPr>
        <w:t xml:space="preserve"> </w:t>
      </w:r>
      <w:r w:rsidR="00D54536" w:rsidRPr="00FA61EE">
        <w:rPr>
          <w:lang w:val="es-CO"/>
        </w:rPr>
        <w:t>a la meta del cuatrienio</w:t>
      </w:r>
      <w:r w:rsidR="009C5CF0">
        <w:rPr>
          <w:rStyle w:val="FootnoteReference"/>
          <w:lang w:val="es-CO"/>
        </w:rPr>
        <w:footnoteReference w:id="14"/>
      </w:r>
      <w:r w:rsidR="00D54536" w:rsidRPr="00FA61EE">
        <w:rPr>
          <w:lang w:val="es-CO"/>
        </w:rPr>
        <w:t xml:space="preserve">. </w:t>
      </w:r>
      <w:r w:rsidR="00D54536">
        <w:rPr>
          <w:lang w:val="es-CO"/>
        </w:rPr>
        <w:t xml:space="preserve">La Procuraduría señala un </w:t>
      </w:r>
      <w:r w:rsidR="00D54536" w:rsidRPr="00FA61EE">
        <w:rPr>
          <w:lang w:val="es-CO"/>
        </w:rPr>
        <w:t xml:space="preserve">aumento del </w:t>
      </w:r>
      <w:r w:rsidR="00D54536">
        <w:rPr>
          <w:lang w:val="es-CO"/>
        </w:rPr>
        <w:t>21</w:t>
      </w:r>
      <w:r w:rsidR="00173CF9">
        <w:rPr>
          <w:lang w:val="es-CO"/>
        </w:rPr>
        <w:t> </w:t>
      </w:r>
      <w:r w:rsidR="00D54536">
        <w:rPr>
          <w:lang w:val="es-CO"/>
        </w:rPr>
        <w:t xml:space="preserve">% en el número de </w:t>
      </w:r>
      <w:r w:rsidR="00D54536" w:rsidRPr="00FA61EE">
        <w:rPr>
          <w:lang w:val="es-CO"/>
        </w:rPr>
        <w:t>familias que s</w:t>
      </w:r>
      <w:r w:rsidR="00D54536">
        <w:rPr>
          <w:lang w:val="es-CO"/>
        </w:rPr>
        <w:t xml:space="preserve">on </w:t>
      </w:r>
      <w:r w:rsidR="00D54536" w:rsidRPr="00FA61EE">
        <w:rPr>
          <w:lang w:val="es-CO"/>
        </w:rPr>
        <w:t>retira</w:t>
      </w:r>
      <w:r w:rsidR="00D54536">
        <w:rPr>
          <w:lang w:val="es-CO"/>
        </w:rPr>
        <w:t xml:space="preserve">das </w:t>
      </w:r>
      <w:r w:rsidR="00D54536" w:rsidRPr="00FA61EE">
        <w:rPr>
          <w:lang w:val="es-CO"/>
        </w:rPr>
        <w:t xml:space="preserve">del Programa de </w:t>
      </w:r>
      <w:r w:rsidR="00173CF9">
        <w:rPr>
          <w:lang w:val="es-CO"/>
        </w:rPr>
        <w:t>s</w:t>
      </w:r>
      <w:r w:rsidR="00D54536" w:rsidRPr="00FA61EE">
        <w:rPr>
          <w:lang w:val="es-CO"/>
        </w:rPr>
        <w:t xml:space="preserve">ustitución </w:t>
      </w:r>
      <w:r w:rsidR="00D54536">
        <w:rPr>
          <w:lang w:val="es-CO"/>
        </w:rPr>
        <w:t>por el incumplimiento de obligaciones o por no acreditar los requisitos de ingreso al Programa</w:t>
      </w:r>
      <w:r w:rsidR="009C5CF0">
        <w:rPr>
          <w:rStyle w:val="FootnoteReference"/>
          <w:lang w:val="es-CO"/>
        </w:rPr>
        <w:footnoteReference w:id="15"/>
      </w:r>
      <w:r w:rsidR="00D54536" w:rsidRPr="00FA61EE">
        <w:rPr>
          <w:lang w:val="es-CO"/>
        </w:rPr>
        <w:t xml:space="preserve">. La Contraloría General </w:t>
      </w:r>
      <w:r w:rsidR="00173CF9">
        <w:rPr>
          <w:lang w:val="es-CO"/>
        </w:rPr>
        <w:t xml:space="preserve">de la República </w:t>
      </w:r>
      <w:r w:rsidR="00D54536" w:rsidRPr="00FA61EE">
        <w:rPr>
          <w:lang w:val="es-CO"/>
        </w:rPr>
        <w:t>ha reportado preocupaciones en el manejo de los recursos del Programa</w:t>
      </w:r>
      <w:r w:rsidR="009C5CF0">
        <w:rPr>
          <w:rStyle w:val="FootnoteReference"/>
          <w:lang w:val="es-CO"/>
        </w:rPr>
        <w:footnoteReference w:id="16"/>
      </w:r>
      <w:r w:rsidR="00D54536" w:rsidRPr="00FA61EE">
        <w:rPr>
          <w:lang w:val="es-CO"/>
        </w:rPr>
        <w:t>.</w:t>
      </w:r>
    </w:p>
    <w:p w14:paraId="2DA4C2C6" w14:textId="5EA97B93" w:rsidR="00D54536" w:rsidRPr="001A24AA" w:rsidRDefault="002A410B" w:rsidP="002A410B">
      <w:pPr>
        <w:pStyle w:val="SingleTxtG"/>
        <w:rPr>
          <w:lang w:val="es-CO"/>
        </w:rPr>
      </w:pPr>
      <w:r>
        <w:rPr>
          <w:lang w:val="es-CO"/>
        </w:rPr>
        <w:t>19.</w:t>
      </w:r>
      <w:r>
        <w:rPr>
          <w:lang w:val="es-CO"/>
        </w:rPr>
        <w:tab/>
      </w:r>
      <w:r w:rsidR="00D54536">
        <w:rPr>
          <w:lang w:val="es-CO"/>
        </w:rPr>
        <w:t>En noviembre, el Estado env</w:t>
      </w:r>
      <w:r w:rsidR="00D65885">
        <w:rPr>
          <w:lang w:val="es-CO"/>
        </w:rPr>
        <w:t>ió</w:t>
      </w:r>
      <w:r w:rsidR="00D54536">
        <w:rPr>
          <w:lang w:val="es-CO"/>
        </w:rPr>
        <w:t xml:space="preserve"> notificación al Secretario General, manifestando su adhesión a la Declaración de las Naciones Unidas sobre los Derechos de los Campesinos y </w:t>
      </w:r>
      <w:r w:rsidR="00173CF9">
        <w:rPr>
          <w:lang w:val="es-CO"/>
        </w:rPr>
        <w:t xml:space="preserve">de </w:t>
      </w:r>
      <w:r w:rsidR="00D54536">
        <w:rPr>
          <w:lang w:val="es-CO"/>
        </w:rPr>
        <w:t xml:space="preserve">Otras Personas que </w:t>
      </w:r>
      <w:r w:rsidR="00173CF9">
        <w:rPr>
          <w:lang w:val="es-CO"/>
        </w:rPr>
        <w:t>T</w:t>
      </w:r>
      <w:r w:rsidR="00D54536">
        <w:rPr>
          <w:lang w:val="es-CO"/>
        </w:rPr>
        <w:t xml:space="preserve">rabajan en </w:t>
      </w:r>
      <w:r w:rsidR="00173CF9">
        <w:rPr>
          <w:lang w:val="es-CO"/>
        </w:rPr>
        <w:t>las Z</w:t>
      </w:r>
      <w:r w:rsidR="00D54536">
        <w:rPr>
          <w:lang w:val="es-CO"/>
        </w:rPr>
        <w:t>onas Rurales.</w:t>
      </w:r>
    </w:p>
    <w:p w14:paraId="7DF45CA3" w14:textId="58573485" w:rsidR="00D54536" w:rsidRPr="005035B6" w:rsidRDefault="002A410B" w:rsidP="002A410B">
      <w:pPr>
        <w:pStyle w:val="SingleTxtG"/>
        <w:rPr>
          <w:lang w:val="es-CO"/>
        </w:rPr>
      </w:pPr>
      <w:r w:rsidRPr="00D45507">
        <w:rPr>
          <w:lang w:val="es-CO"/>
        </w:rPr>
        <w:t>20.</w:t>
      </w:r>
      <w:r w:rsidRPr="00D45507">
        <w:rPr>
          <w:lang w:val="es-CO"/>
        </w:rPr>
        <w:tab/>
      </w:r>
      <w:r w:rsidR="00D54536" w:rsidRPr="00D45507">
        <w:rPr>
          <w:lang w:val="es-CO"/>
        </w:rPr>
        <w:t>El Gobierno anunció la compra de tierras para alimentar el Fondo Nacional de Tierras, con el fin de avanzar en la asignación de tierras al campesinado. Esto incluye la firma, en octubre, de un acuerdo con el gremio ganadero</w:t>
      </w:r>
      <w:r w:rsidR="00CF40DD" w:rsidRPr="00D45507">
        <w:rPr>
          <w:rStyle w:val="FootnoteReference"/>
          <w:lang w:val="es-CO"/>
        </w:rPr>
        <w:footnoteReference w:id="17"/>
      </w:r>
      <w:r w:rsidR="00D54536" w:rsidRPr="00D45507">
        <w:rPr>
          <w:lang w:val="es-CO"/>
        </w:rPr>
        <w:t>.</w:t>
      </w:r>
    </w:p>
    <w:p w14:paraId="7427CC96" w14:textId="5BE02E01" w:rsidR="00D54536" w:rsidRPr="00FA61EE" w:rsidRDefault="002A410B" w:rsidP="002A410B">
      <w:pPr>
        <w:pStyle w:val="SingleTxtG"/>
        <w:rPr>
          <w:lang w:val="es-CO"/>
        </w:rPr>
      </w:pPr>
      <w:r>
        <w:rPr>
          <w:lang w:val="es-CO"/>
        </w:rPr>
        <w:t>21.</w:t>
      </w:r>
      <w:r>
        <w:rPr>
          <w:lang w:val="es-CO"/>
        </w:rPr>
        <w:tab/>
      </w:r>
      <w:r w:rsidR="00D54536" w:rsidRPr="00FA61EE">
        <w:rPr>
          <w:lang w:val="es-CO"/>
        </w:rPr>
        <w:t xml:space="preserve">Las mujeres </w:t>
      </w:r>
      <w:r w:rsidR="00D45507">
        <w:rPr>
          <w:lang w:val="es-CO"/>
        </w:rPr>
        <w:t xml:space="preserve">en el mundo </w:t>
      </w:r>
      <w:r w:rsidR="00D54536" w:rsidRPr="00FA61EE">
        <w:rPr>
          <w:lang w:val="es-CO"/>
        </w:rPr>
        <w:t xml:space="preserve">rural enfrentan mayores dificultades para el acceso, </w:t>
      </w:r>
      <w:r w:rsidR="00D45507">
        <w:rPr>
          <w:lang w:val="es-CO"/>
        </w:rPr>
        <w:t xml:space="preserve">el </w:t>
      </w:r>
      <w:r w:rsidR="00D54536" w:rsidRPr="00FA61EE">
        <w:rPr>
          <w:lang w:val="es-CO"/>
        </w:rPr>
        <w:t xml:space="preserve">uso y </w:t>
      </w:r>
      <w:r w:rsidR="00D45507">
        <w:rPr>
          <w:lang w:val="es-CO"/>
        </w:rPr>
        <w:t xml:space="preserve">la </w:t>
      </w:r>
      <w:r w:rsidR="00D54536" w:rsidRPr="00FA61EE">
        <w:rPr>
          <w:lang w:val="es-CO"/>
        </w:rPr>
        <w:t xml:space="preserve">tenencia de la tierra. Por cada cinco mujeres campesinas beneficiarias de programas de </w:t>
      </w:r>
      <w:r w:rsidR="00D54536" w:rsidRPr="00FA61EE">
        <w:rPr>
          <w:lang w:val="es-CO"/>
        </w:rPr>
        <w:lastRenderedPageBreak/>
        <w:t>tierra</w:t>
      </w:r>
      <w:r w:rsidR="00D54536">
        <w:rPr>
          <w:lang w:val="es-CO"/>
        </w:rPr>
        <w:t>s</w:t>
      </w:r>
      <w:r w:rsidR="00D54536" w:rsidRPr="00FA61EE">
        <w:rPr>
          <w:lang w:val="es-CO"/>
        </w:rPr>
        <w:t xml:space="preserve">, hay ocho hombres beneficiarios. De los baldíos adjudicados en el marco del Acuerdo de Paz entre 2016 y 2018, </w:t>
      </w:r>
      <w:r w:rsidR="00D45507">
        <w:rPr>
          <w:lang w:val="es-CO"/>
        </w:rPr>
        <w:t xml:space="preserve">un </w:t>
      </w:r>
      <w:r w:rsidR="00D54536" w:rsidRPr="00FA61EE">
        <w:rPr>
          <w:lang w:val="es-CO"/>
        </w:rPr>
        <w:t>38</w:t>
      </w:r>
      <w:r w:rsidR="00D45507">
        <w:rPr>
          <w:lang w:val="es-CO"/>
        </w:rPr>
        <w:t> </w:t>
      </w:r>
      <w:r w:rsidR="00D54536" w:rsidRPr="00FA61EE">
        <w:rPr>
          <w:lang w:val="es-CO"/>
        </w:rPr>
        <w:t>% fueron para mujeres</w:t>
      </w:r>
      <w:r w:rsidR="00172C74">
        <w:rPr>
          <w:rStyle w:val="FootnoteReference"/>
          <w:lang w:val="es-CO"/>
        </w:rPr>
        <w:footnoteReference w:id="18"/>
      </w:r>
      <w:r w:rsidR="00D54536" w:rsidRPr="00FA61EE">
        <w:rPr>
          <w:lang w:val="es-CO"/>
        </w:rPr>
        <w:t>.</w:t>
      </w:r>
    </w:p>
    <w:p w14:paraId="7F984F4F" w14:textId="14D1AF92" w:rsidR="00D54536" w:rsidRPr="00FA61EE" w:rsidRDefault="002A410B" w:rsidP="002A410B">
      <w:pPr>
        <w:pStyle w:val="SingleTxtG"/>
        <w:rPr>
          <w:lang w:val="es-CO"/>
        </w:rPr>
      </w:pPr>
      <w:r>
        <w:rPr>
          <w:lang w:val="es-CO"/>
        </w:rPr>
        <w:t>22.</w:t>
      </w:r>
      <w:r>
        <w:rPr>
          <w:lang w:val="es-CO"/>
        </w:rPr>
        <w:tab/>
      </w:r>
      <w:r w:rsidR="00D54536" w:rsidRPr="00FA61EE">
        <w:rPr>
          <w:lang w:val="es-CO"/>
        </w:rPr>
        <w:t xml:space="preserve">La Mesa Nacional de Seguimiento </w:t>
      </w:r>
      <w:r w:rsidR="00D45507">
        <w:rPr>
          <w:lang w:val="es-CO"/>
        </w:rPr>
        <w:t>de</w:t>
      </w:r>
      <w:r w:rsidR="00D45507" w:rsidRPr="00FA61EE">
        <w:rPr>
          <w:lang w:val="es-CO"/>
        </w:rPr>
        <w:t xml:space="preserve"> </w:t>
      </w:r>
      <w:r w:rsidR="00D54536" w:rsidRPr="00FA61EE">
        <w:rPr>
          <w:lang w:val="es-CO"/>
        </w:rPr>
        <w:t xml:space="preserve">los Programas de Desarrollo con Enfoque Territorial </w:t>
      </w:r>
      <w:r w:rsidR="00D45507">
        <w:rPr>
          <w:lang w:val="es-CO"/>
        </w:rPr>
        <w:t>instó</w:t>
      </w:r>
      <w:r w:rsidR="00E26F67">
        <w:rPr>
          <w:rStyle w:val="FootnoteReference"/>
          <w:lang w:val="es-CO"/>
        </w:rPr>
        <w:footnoteReference w:id="19"/>
      </w:r>
      <w:r w:rsidR="00D54536" w:rsidRPr="00FA61EE">
        <w:rPr>
          <w:lang w:val="es-CO"/>
        </w:rPr>
        <w:t xml:space="preserve"> al Gobierno a buscar una mayor participación de las comunidades, reconocer la agricultura familiar y comunitaria y avanzar en la democratización del acceso a la tierra. La Mesa también indicó que las hojas de ruta diseñadas para cumplir el Acuerdo de Paz desconocen los indicadores del Plan Marco de Implementación </w:t>
      </w:r>
      <w:r w:rsidR="00D45507">
        <w:rPr>
          <w:lang w:val="es-CO"/>
        </w:rPr>
        <w:t>sobre</w:t>
      </w:r>
      <w:r w:rsidR="00D54536" w:rsidRPr="00FA61EE">
        <w:rPr>
          <w:lang w:val="es-CO"/>
        </w:rPr>
        <w:t xml:space="preserve"> garantías a los derechos territoriales de los pueblos </w:t>
      </w:r>
      <w:r w:rsidR="00D54536">
        <w:rPr>
          <w:lang w:val="es-CO"/>
        </w:rPr>
        <w:t>étnicos.</w:t>
      </w:r>
    </w:p>
    <w:p w14:paraId="3266F152" w14:textId="7ED0539A" w:rsidR="00D54536" w:rsidRPr="00C9128B" w:rsidRDefault="002A410B" w:rsidP="002A410B">
      <w:pPr>
        <w:pStyle w:val="SingleTxtG"/>
        <w:rPr>
          <w:lang w:val="es-CO"/>
        </w:rPr>
      </w:pPr>
      <w:r>
        <w:rPr>
          <w:lang w:val="es-CO"/>
        </w:rPr>
        <w:t>23.</w:t>
      </w:r>
      <w:r>
        <w:rPr>
          <w:lang w:val="es-CO"/>
        </w:rPr>
        <w:tab/>
      </w:r>
      <w:r w:rsidR="00D54536" w:rsidRPr="00FA61EE">
        <w:rPr>
          <w:lang w:val="es-CO"/>
        </w:rPr>
        <w:t xml:space="preserve">El Congreso analiza dos iniciativas legislativas importantes para la reforma rural integral: la creación de una jurisdicción </w:t>
      </w:r>
      <w:r w:rsidR="00D45507">
        <w:rPr>
          <w:lang w:val="es-CO"/>
        </w:rPr>
        <w:t xml:space="preserve">especial </w:t>
      </w:r>
      <w:r w:rsidR="00D54536" w:rsidRPr="00FA61EE">
        <w:rPr>
          <w:lang w:val="es-CO"/>
        </w:rPr>
        <w:t>agraria</w:t>
      </w:r>
      <w:r w:rsidR="00CF40DD">
        <w:rPr>
          <w:rStyle w:val="FootnoteReference"/>
          <w:lang w:val="es-CO"/>
        </w:rPr>
        <w:footnoteReference w:id="20"/>
      </w:r>
      <w:r w:rsidR="00D54536" w:rsidRPr="00FA61EE">
        <w:rPr>
          <w:lang w:val="es-CO"/>
        </w:rPr>
        <w:t xml:space="preserve"> para abordar los conflictos por el territorio en la ruralidad, y el reconocimiento del campesinado y otras personas que trabajan en zonas rurales como sujetos de derechos, mediante la incorporación en el bloque de constitucionalidad</w:t>
      </w:r>
      <w:r w:rsidR="00CF40DD">
        <w:rPr>
          <w:rStyle w:val="FootnoteReference"/>
          <w:lang w:val="es-CO"/>
        </w:rPr>
        <w:footnoteReference w:id="21"/>
      </w:r>
      <w:r w:rsidR="00D54536" w:rsidRPr="00FA61EE">
        <w:rPr>
          <w:lang w:val="es-CO"/>
        </w:rPr>
        <w:t xml:space="preserve"> de la Declaración de </w:t>
      </w:r>
      <w:r w:rsidR="00D45507">
        <w:rPr>
          <w:lang w:val="es-CO"/>
        </w:rPr>
        <w:t xml:space="preserve">las </w:t>
      </w:r>
      <w:r w:rsidR="00D54536" w:rsidRPr="00FA61EE">
        <w:rPr>
          <w:lang w:val="es-CO"/>
        </w:rPr>
        <w:t>Naciones Unidas</w:t>
      </w:r>
      <w:r w:rsidR="00D54536" w:rsidRPr="00FA61EE" w:rsidDel="004A6E7B">
        <w:rPr>
          <w:lang w:val="es-CO"/>
        </w:rPr>
        <w:t xml:space="preserve"> </w:t>
      </w:r>
      <w:r w:rsidR="00D54536" w:rsidRPr="00FA61EE">
        <w:rPr>
          <w:lang w:val="es-CO"/>
        </w:rPr>
        <w:t xml:space="preserve">sobre los Derechos de los Campesinos y de Otras Personas que Trabajan en las Zonas Rurales. De aprobarse, estos proyectos de ley constituirían </w:t>
      </w:r>
      <w:r w:rsidR="00D54536">
        <w:rPr>
          <w:lang w:val="es-CO"/>
        </w:rPr>
        <w:t>avances importantes.</w:t>
      </w:r>
    </w:p>
    <w:p w14:paraId="10BFFC16" w14:textId="67613F86" w:rsidR="00D54536" w:rsidRPr="00094140" w:rsidRDefault="00094140" w:rsidP="00AB3D5F">
      <w:pPr>
        <w:pStyle w:val="H1G"/>
        <w:rPr>
          <w:u w:val="single"/>
        </w:rPr>
      </w:pPr>
      <w:r>
        <w:rPr>
          <w:bCs/>
          <w:color w:val="0070C0"/>
          <w:szCs w:val="24"/>
          <w:lang w:val="es-CO"/>
        </w:rPr>
        <w:tab/>
      </w:r>
      <w:r>
        <w:t>B.</w:t>
      </w:r>
      <w:r>
        <w:tab/>
      </w:r>
      <w:r w:rsidR="00D54536" w:rsidRPr="00094140">
        <w:t xml:space="preserve">Justicia transicional </w:t>
      </w:r>
    </w:p>
    <w:p w14:paraId="37383047" w14:textId="038A5DFC" w:rsidR="00D54536" w:rsidRPr="00FA61EE" w:rsidRDefault="00CC09A0" w:rsidP="00CC09A0">
      <w:pPr>
        <w:pStyle w:val="SingleTxtG"/>
        <w:rPr>
          <w:lang w:val="es-CO"/>
        </w:rPr>
      </w:pPr>
      <w:r>
        <w:rPr>
          <w:lang w:val="es-CO"/>
        </w:rPr>
        <w:t>24.</w:t>
      </w:r>
      <w:r>
        <w:rPr>
          <w:lang w:val="es-CO"/>
        </w:rPr>
        <w:tab/>
      </w:r>
      <w:r w:rsidR="00D54536" w:rsidRPr="00FA61EE">
        <w:rPr>
          <w:lang w:val="es-CO"/>
        </w:rPr>
        <w:t>El Informe Final</w:t>
      </w:r>
      <w:r w:rsidR="00CF40DD">
        <w:rPr>
          <w:rStyle w:val="FootnoteReference"/>
          <w:lang w:val="es-CO"/>
        </w:rPr>
        <w:footnoteReference w:id="22"/>
      </w:r>
      <w:r w:rsidR="00D54536" w:rsidRPr="00FA61EE">
        <w:rPr>
          <w:lang w:val="es-CO"/>
        </w:rPr>
        <w:t xml:space="preserve"> de la Comisión para el Esclarecimiento de la Verdad</w:t>
      </w:r>
      <w:r w:rsidR="00D54536">
        <w:rPr>
          <w:lang w:val="es-CO"/>
        </w:rPr>
        <w:t>,</w:t>
      </w:r>
      <w:r w:rsidR="00D54536" w:rsidRPr="00FA61EE">
        <w:rPr>
          <w:lang w:val="es-CO"/>
        </w:rPr>
        <w:t xml:space="preserve"> </w:t>
      </w:r>
      <w:r w:rsidR="00D45507">
        <w:rPr>
          <w:lang w:val="es-CO"/>
        </w:rPr>
        <w:t xml:space="preserve">la Convivencia y la No Repetición, </w:t>
      </w:r>
      <w:r w:rsidR="00D54536">
        <w:rPr>
          <w:lang w:val="es-CO"/>
        </w:rPr>
        <w:t xml:space="preserve">que </w:t>
      </w:r>
      <w:r w:rsidR="00D54536" w:rsidRPr="00FA61EE">
        <w:rPr>
          <w:lang w:val="es-CO"/>
        </w:rPr>
        <w:t>se publicó e</w:t>
      </w:r>
      <w:r w:rsidR="00D54536">
        <w:rPr>
          <w:lang w:val="es-CO"/>
        </w:rPr>
        <w:t xml:space="preserve">n </w:t>
      </w:r>
      <w:r w:rsidR="00D54536" w:rsidRPr="00FA61EE">
        <w:rPr>
          <w:lang w:val="es-CO"/>
        </w:rPr>
        <w:t>junio</w:t>
      </w:r>
      <w:r w:rsidR="00D54536">
        <w:rPr>
          <w:lang w:val="es-CO"/>
        </w:rPr>
        <w:t xml:space="preserve">, </w:t>
      </w:r>
      <w:r w:rsidR="00D54536" w:rsidRPr="00FA61EE">
        <w:t>fundamenta sus hallazgos en los testimonios individuales y colectivos de más de 30.000 víctimas y en más de 500 encuentros de diálogo y reconocimiento con amplios sectores de la sociedad colombiana</w:t>
      </w:r>
      <w:r w:rsidR="00D54536" w:rsidRPr="00FA61EE">
        <w:rPr>
          <w:lang w:val="es-CO"/>
        </w:rPr>
        <w:t>.</w:t>
      </w:r>
    </w:p>
    <w:p w14:paraId="11DDFEA9" w14:textId="113D43F7" w:rsidR="00D54536" w:rsidRPr="0077504C" w:rsidRDefault="00CC09A0" w:rsidP="00CC09A0">
      <w:pPr>
        <w:pStyle w:val="SingleTxtG"/>
        <w:rPr>
          <w:lang w:val="es-CO"/>
        </w:rPr>
      </w:pPr>
      <w:r>
        <w:rPr>
          <w:lang w:val="es-CO"/>
        </w:rPr>
        <w:t>25.</w:t>
      </w:r>
      <w:r>
        <w:rPr>
          <w:lang w:val="es-CO"/>
        </w:rPr>
        <w:tab/>
      </w:r>
      <w:r w:rsidR="00D54536" w:rsidRPr="0077504C">
        <w:rPr>
          <w:lang w:val="es-CO"/>
        </w:rPr>
        <w:t>La</w:t>
      </w:r>
      <w:r w:rsidR="00D54536" w:rsidRPr="0077504C">
        <w:t xml:space="preserve"> divulgación del informe y el </w:t>
      </w:r>
      <w:r w:rsidR="00D54536" w:rsidRPr="0077504C">
        <w:rPr>
          <w:lang w:val="es-CO"/>
        </w:rPr>
        <w:t xml:space="preserve">cumplimiento de sus recomendaciones contribuirán </w:t>
      </w:r>
      <w:r w:rsidR="00D54536" w:rsidRPr="0077504C">
        <w:t>a que la sociedad colombiana conozca la</w:t>
      </w:r>
      <w:r w:rsidR="00D54536">
        <w:t xml:space="preserve"> historia del conflicto armado </w:t>
      </w:r>
      <w:r w:rsidR="00D54536" w:rsidRPr="0077504C">
        <w:t xml:space="preserve">y se garantice la no repetición. El informe es un instrumento para la </w:t>
      </w:r>
      <w:r w:rsidR="00D54536" w:rsidRPr="0077504C">
        <w:rPr>
          <w:lang w:val="es-CO"/>
        </w:rPr>
        <w:t xml:space="preserve">implementación integral del Acuerdo de Paz, </w:t>
      </w:r>
      <w:r w:rsidR="00D45507">
        <w:rPr>
          <w:lang w:val="es-CO"/>
        </w:rPr>
        <w:t xml:space="preserve">y </w:t>
      </w:r>
      <w:r w:rsidR="00D54536" w:rsidRPr="0077504C">
        <w:rPr>
          <w:lang w:val="es-CO"/>
        </w:rPr>
        <w:t>para combatir la impunidad</w:t>
      </w:r>
      <w:r w:rsidR="00D45507">
        <w:rPr>
          <w:lang w:val="es-CO"/>
        </w:rPr>
        <w:t xml:space="preserve"> y</w:t>
      </w:r>
      <w:r w:rsidR="00D54536" w:rsidRPr="0077504C">
        <w:rPr>
          <w:lang w:val="es-CO"/>
        </w:rPr>
        <w:t xml:space="preserve"> superar la militarización de la seguridad, la desprotección del campesinado, la discriminación</w:t>
      </w:r>
      <w:r w:rsidR="00D45507">
        <w:rPr>
          <w:lang w:val="es-CO"/>
        </w:rPr>
        <w:t xml:space="preserve"> y</w:t>
      </w:r>
      <w:r w:rsidR="00D54536" w:rsidRPr="0077504C">
        <w:rPr>
          <w:lang w:val="es-CO"/>
        </w:rPr>
        <w:t xml:space="preserve"> la violencia y su impacto desproporcionado sobre pueblos étnicos, mujeres, niñas y niños.</w:t>
      </w:r>
    </w:p>
    <w:p w14:paraId="0D752481" w14:textId="6D7C56B4" w:rsidR="00D54536" w:rsidRPr="00FA61EE" w:rsidRDefault="00CC09A0" w:rsidP="00CC09A0">
      <w:pPr>
        <w:pStyle w:val="SingleTxtG"/>
        <w:rPr>
          <w:lang w:val="es-CO"/>
        </w:rPr>
      </w:pPr>
      <w:r>
        <w:rPr>
          <w:lang w:val="es-CO"/>
        </w:rPr>
        <w:t>26.</w:t>
      </w:r>
      <w:r>
        <w:rPr>
          <w:lang w:val="es-CO"/>
        </w:rPr>
        <w:tab/>
      </w:r>
      <w:r w:rsidR="00D54536" w:rsidRPr="6D381782">
        <w:rPr>
          <w:lang w:val="es-CO"/>
        </w:rPr>
        <w:t xml:space="preserve">El Comité de Seguimiento y Monitoreo, </w:t>
      </w:r>
      <w:r w:rsidR="00D45507">
        <w:rPr>
          <w:lang w:val="es-CO"/>
        </w:rPr>
        <w:t>creado</w:t>
      </w:r>
      <w:r w:rsidR="00D45507" w:rsidRPr="6D381782">
        <w:rPr>
          <w:lang w:val="es-CO"/>
        </w:rPr>
        <w:t xml:space="preserve"> </w:t>
      </w:r>
      <w:r w:rsidR="00D54536" w:rsidRPr="6D381782">
        <w:rPr>
          <w:lang w:val="es-CO"/>
        </w:rPr>
        <w:t>en agosto de 2022 por siete años, verificará la implementación de las recomendaciones de la Comisión</w:t>
      </w:r>
      <w:r w:rsidR="00D45507">
        <w:rPr>
          <w:lang w:val="es-CO"/>
        </w:rPr>
        <w:t xml:space="preserve"> de la Verdad</w:t>
      </w:r>
      <w:r w:rsidR="00D54536" w:rsidRPr="6D381782">
        <w:rPr>
          <w:lang w:val="es-CO"/>
        </w:rPr>
        <w:t>.</w:t>
      </w:r>
      <w:r w:rsidR="00D54536">
        <w:rPr>
          <w:lang w:val="es-CO"/>
        </w:rPr>
        <w:t xml:space="preserve"> </w:t>
      </w:r>
      <w:r w:rsidR="00D45507">
        <w:rPr>
          <w:lang w:val="es-CO"/>
        </w:rPr>
        <w:t xml:space="preserve">El </w:t>
      </w:r>
      <w:r w:rsidR="00D45507" w:rsidRPr="00FA61EE">
        <w:rPr>
          <w:lang w:val="es-CO"/>
        </w:rPr>
        <w:t>ACNUDH</w:t>
      </w:r>
      <w:r w:rsidR="00D54536">
        <w:rPr>
          <w:lang w:val="es-CO"/>
        </w:rPr>
        <w:t xml:space="preserve"> </w:t>
      </w:r>
      <w:r w:rsidR="00D54536" w:rsidRPr="6D381782">
        <w:rPr>
          <w:lang w:val="es-CO"/>
        </w:rPr>
        <w:t xml:space="preserve">ha contribuido a la puesta en marcha del Comité </w:t>
      </w:r>
      <w:r w:rsidR="00D45507" w:rsidRPr="6D381782">
        <w:rPr>
          <w:lang w:val="es-CO"/>
        </w:rPr>
        <w:t xml:space="preserve">de Seguimiento </w:t>
      </w:r>
      <w:r w:rsidR="00D54536" w:rsidRPr="6D381782">
        <w:rPr>
          <w:lang w:val="es-CO"/>
        </w:rPr>
        <w:t>y continuará apoyando los esfuerzos para el cumplimiento de las recomendaciones. Es fundamental que el Estado garantice las condiciones para el funcionamiento del Comité</w:t>
      </w:r>
      <w:r w:rsidR="00D45507" w:rsidRPr="00D45507">
        <w:rPr>
          <w:lang w:val="es-CO"/>
        </w:rPr>
        <w:t xml:space="preserve"> </w:t>
      </w:r>
      <w:r w:rsidR="00D45507" w:rsidRPr="6D381782">
        <w:rPr>
          <w:lang w:val="es-CO"/>
        </w:rPr>
        <w:t>de Seguimiento</w:t>
      </w:r>
      <w:r w:rsidR="00D54536" w:rsidRPr="6D381782">
        <w:rPr>
          <w:lang w:val="es-CO"/>
        </w:rPr>
        <w:t>.</w:t>
      </w:r>
    </w:p>
    <w:p w14:paraId="1FC633DA" w14:textId="0162B7CD" w:rsidR="00D54536" w:rsidRPr="00FA61EE" w:rsidRDefault="00CC09A0" w:rsidP="00CC09A0">
      <w:pPr>
        <w:pStyle w:val="SingleTxtG"/>
        <w:rPr>
          <w:lang w:val="es-CO"/>
        </w:rPr>
      </w:pPr>
      <w:r>
        <w:rPr>
          <w:lang w:val="es-CO"/>
        </w:rPr>
        <w:t>27.</w:t>
      </w:r>
      <w:r>
        <w:rPr>
          <w:lang w:val="es-CO"/>
        </w:rPr>
        <w:tab/>
      </w:r>
      <w:r w:rsidR="00D54536" w:rsidRPr="00FA61EE">
        <w:rPr>
          <w:lang w:val="es-CO"/>
        </w:rPr>
        <w:t xml:space="preserve">La búsqueda liderada por la Unidad de Búsqueda de Personas </w:t>
      </w:r>
      <w:r w:rsidR="00D45507">
        <w:rPr>
          <w:lang w:val="es-CO"/>
        </w:rPr>
        <w:t>D</w:t>
      </w:r>
      <w:r w:rsidR="00D54536" w:rsidRPr="00FA61EE">
        <w:rPr>
          <w:lang w:val="es-CO"/>
        </w:rPr>
        <w:t xml:space="preserve">adas por Desaparecidas requiere que las entidades estatales </w:t>
      </w:r>
      <w:r w:rsidR="00DF0C6B">
        <w:rPr>
          <w:lang w:val="es-CO"/>
        </w:rPr>
        <w:t>—</w:t>
      </w:r>
      <w:r w:rsidR="00D45507">
        <w:rPr>
          <w:lang w:val="es-CO"/>
        </w:rPr>
        <w:t>poderes</w:t>
      </w:r>
      <w:r w:rsidR="00D54536" w:rsidRPr="00FA61EE">
        <w:rPr>
          <w:lang w:val="es-CO"/>
        </w:rPr>
        <w:t xml:space="preserve"> ejecutivo y judicial</w:t>
      </w:r>
      <w:r w:rsidR="00DF0C6B">
        <w:rPr>
          <w:lang w:val="es-CO"/>
        </w:rPr>
        <w:t>—</w:t>
      </w:r>
      <w:r w:rsidR="00D54536" w:rsidRPr="00FA61EE">
        <w:rPr>
          <w:lang w:val="es-CO"/>
        </w:rPr>
        <w:t xml:space="preserve"> en </w:t>
      </w:r>
      <w:r w:rsidR="007D7CEC">
        <w:rPr>
          <w:lang w:val="es-CO"/>
        </w:rPr>
        <w:t>los</w:t>
      </w:r>
      <w:r w:rsidR="007D7CEC" w:rsidRPr="00FA61EE">
        <w:rPr>
          <w:lang w:val="es-CO"/>
        </w:rPr>
        <w:t xml:space="preserve"> </w:t>
      </w:r>
      <w:r w:rsidR="00D54536" w:rsidRPr="00FA61EE">
        <w:rPr>
          <w:lang w:val="es-CO"/>
        </w:rPr>
        <w:t>ámbito</w:t>
      </w:r>
      <w:r w:rsidR="007D7CEC">
        <w:rPr>
          <w:lang w:val="es-CO"/>
        </w:rPr>
        <w:t>s</w:t>
      </w:r>
      <w:r w:rsidR="00D54536" w:rsidRPr="00FA61EE">
        <w:rPr>
          <w:lang w:val="es-CO"/>
        </w:rPr>
        <w:t xml:space="preserve"> nacional y local garanticen el acceso efectivo a la información y avancen en la articulación y coordinación institucion</w:t>
      </w:r>
      <w:r w:rsidR="00D54536">
        <w:rPr>
          <w:lang w:val="es-CO"/>
        </w:rPr>
        <w:t>al para fortalecer la búsqueda.</w:t>
      </w:r>
    </w:p>
    <w:p w14:paraId="0D8C7E9D" w14:textId="5D47651A" w:rsidR="00D54536" w:rsidRDefault="00CC09A0" w:rsidP="00CC09A0">
      <w:pPr>
        <w:pStyle w:val="SingleTxtG"/>
        <w:rPr>
          <w:lang w:val="es-CO"/>
        </w:rPr>
      </w:pPr>
      <w:r>
        <w:rPr>
          <w:lang w:val="es-CO"/>
        </w:rPr>
        <w:t>28.</w:t>
      </w:r>
      <w:r>
        <w:rPr>
          <w:lang w:val="es-CO"/>
        </w:rPr>
        <w:tab/>
      </w:r>
      <w:r w:rsidR="00D54536" w:rsidRPr="00FA61EE">
        <w:rPr>
          <w:lang w:val="es-CO"/>
        </w:rPr>
        <w:t xml:space="preserve">La implementación de los planes regionales de búsqueda ha permitido avanzar en el hallazgo de personas dadas por desaparecidas. No obstante, se ve limitada por la crítica situación de seguridad en departamentos </w:t>
      </w:r>
      <w:r w:rsidR="00D54536">
        <w:rPr>
          <w:lang w:val="es-CO"/>
        </w:rPr>
        <w:t xml:space="preserve">como </w:t>
      </w:r>
      <w:r w:rsidR="00D54536" w:rsidRPr="00FA61EE">
        <w:rPr>
          <w:lang w:val="es-CO"/>
        </w:rPr>
        <w:t>Arauca, Chocó y Norte de Santander, y en regiones como el Pacífico Medio y Nariñense, entre otros. En la estrategia de impulso a la identificación se han abordado 34.238 expedient</w:t>
      </w:r>
      <w:r w:rsidR="00D54536">
        <w:rPr>
          <w:lang w:val="es-CO"/>
        </w:rPr>
        <w:t>es de cuerpos no identificados.</w:t>
      </w:r>
    </w:p>
    <w:p w14:paraId="3BD87EAA" w14:textId="66114CD6" w:rsidR="005B77EA" w:rsidRPr="00FA61EE" w:rsidRDefault="00C052CF" w:rsidP="005B77EA">
      <w:pPr>
        <w:pStyle w:val="SingleTxtG"/>
        <w:rPr>
          <w:lang w:val="es-CO"/>
        </w:rPr>
      </w:pPr>
      <w:r>
        <w:rPr>
          <w:lang w:val="es-CO"/>
        </w:rPr>
        <w:lastRenderedPageBreak/>
        <w:t>29</w:t>
      </w:r>
      <w:r w:rsidR="005B77EA">
        <w:rPr>
          <w:lang w:val="es-CO"/>
        </w:rPr>
        <w:t>.</w:t>
      </w:r>
      <w:r w:rsidR="005B77EA">
        <w:rPr>
          <w:lang w:val="es-CO"/>
        </w:rPr>
        <w:tab/>
      </w:r>
      <w:r w:rsidR="005B77EA" w:rsidRPr="00FA61EE">
        <w:rPr>
          <w:lang w:val="es-CO"/>
        </w:rPr>
        <w:t>La aceptación en agosto por parte del Estado de la competencia del Comité contra la Desaparición Forzada para recibir y examinar comunicaciones individuales</w:t>
      </w:r>
      <w:r w:rsidR="005B77EA">
        <w:rPr>
          <w:rStyle w:val="FootnoteReference"/>
          <w:lang w:val="es-CO"/>
        </w:rPr>
        <w:footnoteReference w:id="23"/>
      </w:r>
      <w:r w:rsidR="007D7CEC" w:rsidRPr="007D7CEC">
        <w:rPr>
          <w:lang w:val="es-CO"/>
        </w:rPr>
        <w:t xml:space="preserve"> </w:t>
      </w:r>
      <w:r w:rsidR="007D7CEC" w:rsidRPr="00FA61EE">
        <w:rPr>
          <w:lang w:val="es-CO"/>
        </w:rPr>
        <w:t>constituye un importante avance para la búsqueda, la investigación y la erradicación de la desaparición forzada</w:t>
      </w:r>
      <w:r w:rsidR="005B77EA" w:rsidRPr="00FA61EE">
        <w:rPr>
          <w:lang w:val="es-CO"/>
        </w:rPr>
        <w:t>.</w:t>
      </w:r>
    </w:p>
    <w:p w14:paraId="34322AAC" w14:textId="36C82C99" w:rsidR="00D54536" w:rsidRPr="00E0150B" w:rsidRDefault="00C052CF" w:rsidP="00CC09A0">
      <w:pPr>
        <w:pStyle w:val="SingleTxtG"/>
      </w:pPr>
      <w:r>
        <w:rPr>
          <w:lang w:val="es-CO"/>
        </w:rPr>
        <w:t>30</w:t>
      </w:r>
      <w:r w:rsidR="00CC09A0">
        <w:rPr>
          <w:lang w:val="es-CO"/>
        </w:rPr>
        <w:t>.</w:t>
      </w:r>
      <w:r w:rsidR="00CC09A0">
        <w:rPr>
          <w:lang w:val="es-CO"/>
        </w:rPr>
        <w:tab/>
      </w:r>
      <w:r w:rsidR="00D54536" w:rsidRPr="00E0150B">
        <w:rPr>
          <w:lang w:val="es-CO"/>
        </w:rPr>
        <w:t xml:space="preserve">Las audiencias de reconocimiento de responsabilidad </w:t>
      </w:r>
      <w:r w:rsidR="003344C1">
        <w:rPr>
          <w:lang w:val="es-CO"/>
        </w:rPr>
        <w:t>—</w:t>
      </w:r>
      <w:r w:rsidR="00D54536" w:rsidRPr="00E0150B">
        <w:rPr>
          <w:lang w:val="es-CO"/>
        </w:rPr>
        <w:t>adelant</w:t>
      </w:r>
      <w:r w:rsidR="00D45507">
        <w:rPr>
          <w:lang w:val="es-CO"/>
        </w:rPr>
        <w:t>adas por</w:t>
      </w:r>
      <w:r w:rsidR="00D54536" w:rsidRPr="00E0150B">
        <w:rPr>
          <w:lang w:val="es-CO"/>
        </w:rPr>
        <w:t xml:space="preserve"> la Jurisdicción Especial para la Paz en los casos sobre secuestros (caso 01) y ejecuciones extrajudiciales (caso 03) a nivel nacional, en Bogotá y en los departamentos de</w:t>
      </w:r>
      <w:r w:rsidR="00D54536">
        <w:rPr>
          <w:lang w:val="es-CO"/>
        </w:rPr>
        <w:t>l</w:t>
      </w:r>
      <w:r w:rsidR="00D54536" w:rsidRPr="00E0150B">
        <w:rPr>
          <w:lang w:val="es-CO"/>
        </w:rPr>
        <w:t xml:space="preserve"> C</w:t>
      </w:r>
      <w:r w:rsidR="00D54536">
        <w:rPr>
          <w:lang w:val="es-CO"/>
        </w:rPr>
        <w:t>e</w:t>
      </w:r>
      <w:r w:rsidR="00D54536" w:rsidRPr="00E0150B">
        <w:rPr>
          <w:lang w:val="es-CO"/>
        </w:rPr>
        <w:t xml:space="preserve">sar y </w:t>
      </w:r>
      <w:r w:rsidR="00D54536">
        <w:rPr>
          <w:lang w:val="es-CO"/>
        </w:rPr>
        <w:t xml:space="preserve">de </w:t>
      </w:r>
      <w:r w:rsidR="00D54536" w:rsidRPr="00E0150B">
        <w:rPr>
          <w:lang w:val="es-CO"/>
        </w:rPr>
        <w:t>Norte de Santander</w:t>
      </w:r>
      <w:r w:rsidR="003344C1">
        <w:rPr>
          <w:lang w:val="es-CO"/>
        </w:rPr>
        <w:t>—</w:t>
      </w:r>
      <w:r w:rsidR="00D54536" w:rsidRPr="00E0150B">
        <w:rPr>
          <w:lang w:val="es-CO"/>
        </w:rPr>
        <w:t xml:space="preserve"> son hitos significativos para el conocimiento de la verdad. </w:t>
      </w:r>
      <w:r w:rsidR="00D54536" w:rsidRPr="001F3C13">
        <w:rPr>
          <w:lang w:val="es-CO"/>
        </w:rPr>
        <w:t>También han sido importantes las medidas cautelares que protegen lugares en los que habría víctimas de desaparición en Antioquia y Valle del Cauca</w:t>
      </w:r>
      <w:r w:rsidR="00D54536">
        <w:rPr>
          <w:lang w:val="es-CO"/>
        </w:rPr>
        <w:t>,</w:t>
      </w:r>
      <w:r w:rsidR="00D54536" w:rsidRPr="001F3C13">
        <w:rPr>
          <w:lang w:val="es-CO"/>
        </w:rPr>
        <w:t xml:space="preserve"> entre otros. </w:t>
      </w:r>
      <w:r w:rsidR="00D45507">
        <w:rPr>
          <w:lang w:val="es-CO"/>
        </w:rPr>
        <w:t>El ACNUDH</w:t>
      </w:r>
      <w:r w:rsidR="00D54536" w:rsidRPr="001F3C13">
        <w:rPr>
          <w:lang w:val="es-CO"/>
        </w:rPr>
        <w:t xml:space="preserve"> valora la apertura de tres nuevos macrocasos</w:t>
      </w:r>
      <w:r w:rsidR="00CB0E6C">
        <w:rPr>
          <w:rStyle w:val="FootnoteReference"/>
          <w:lang w:val="es-CO"/>
        </w:rPr>
        <w:footnoteReference w:id="24"/>
      </w:r>
      <w:r w:rsidR="00D54536" w:rsidRPr="001F3C13">
        <w:rPr>
          <w:lang w:val="es-CO"/>
        </w:rPr>
        <w:t xml:space="preserve"> y reitera la importancia de la apertura formal del macrocaso sobre violencia sexual</w:t>
      </w:r>
      <w:r w:rsidR="00CB0E6C">
        <w:rPr>
          <w:rStyle w:val="FootnoteReference"/>
          <w:lang w:val="es-CO"/>
        </w:rPr>
        <w:footnoteReference w:id="25"/>
      </w:r>
      <w:r w:rsidR="00D54536">
        <w:rPr>
          <w:lang w:val="es-CO"/>
        </w:rPr>
        <w:t>.</w:t>
      </w:r>
    </w:p>
    <w:p w14:paraId="5FB35437" w14:textId="729E8925" w:rsidR="00D54536" w:rsidRPr="00FA61EE" w:rsidRDefault="00CC09A0" w:rsidP="00CC09A0">
      <w:pPr>
        <w:pStyle w:val="SingleTxtG"/>
        <w:rPr>
          <w:lang w:val="es-CO"/>
        </w:rPr>
      </w:pPr>
      <w:r w:rsidRPr="00772489">
        <w:rPr>
          <w:lang w:val="es-CO"/>
        </w:rPr>
        <w:t>31.</w:t>
      </w:r>
      <w:r w:rsidRPr="00772489">
        <w:rPr>
          <w:lang w:val="es-CO"/>
        </w:rPr>
        <w:tab/>
      </w:r>
      <w:r w:rsidR="00D54536" w:rsidRPr="00772489">
        <w:rPr>
          <w:lang w:val="es-CO"/>
        </w:rPr>
        <w:t xml:space="preserve">Las tres primeras resoluciones de conclusiones en los macrocasos 01 y 03 son avances para garantizar la justicia y demuestran la capacidad de la Jurisdicción Especial para la Paz para superar la impunidad. </w:t>
      </w:r>
      <w:r w:rsidR="00D54536" w:rsidRPr="00772489">
        <w:t xml:space="preserve">Las sanciones propias que sean impuestas por el Tribunal para la Paz deben considerar las preocupaciones y propuestas presentadas por las víctimas. </w:t>
      </w:r>
      <w:r w:rsidR="00D54536" w:rsidRPr="00772489">
        <w:rPr>
          <w:lang w:val="es-CO"/>
        </w:rPr>
        <w:t xml:space="preserve">Se debe garantizar su participación a través de observaciones en los procesos </w:t>
      </w:r>
      <w:r w:rsidR="00772489">
        <w:rPr>
          <w:lang w:val="es-CO"/>
        </w:rPr>
        <w:t>judiciales</w:t>
      </w:r>
      <w:r w:rsidR="00D54536" w:rsidRPr="00772489">
        <w:rPr>
          <w:lang w:val="es-CO"/>
        </w:rPr>
        <w:t>, así como en la etapa de implementación de las sentencias. El cumplimiento de las condiciones que las/los comparecientes asumieron en virtud de su sometimiento ante la Jurisdicción Especial es necesario para asegurar una verdad plena.</w:t>
      </w:r>
    </w:p>
    <w:p w14:paraId="4A0D6212" w14:textId="2414B59D" w:rsidR="00D54536" w:rsidRPr="00094140" w:rsidRDefault="00CC09A0" w:rsidP="00CC09A0">
      <w:pPr>
        <w:pStyle w:val="SingleTxtG"/>
      </w:pPr>
      <w:r>
        <w:t>32.</w:t>
      </w:r>
      <w:r>
        <w:tab/>
      </w:r>
      <w:r w:rsidR="003A5059" w:rsidRPr="00094140">
        <w:t xml:space="preserve">El ACNUDH </w:t>
      </w:r>
      <w:r w:rsidR="00D54536" w:rsidRPr="00094140">
        <w:t>conoció preocupaciones de grup</w:t>
      </w:r>
      <w:r w:rsidR="00A3536C">
        <w:t xml:space="preserve">os de víctimas relacionadas con </w:t>
      </w:r>
      <w:r w:rsidR="00D54536" w:rsidRPr="00094140">
        <w:t xml:space="preserve">la </w:t>
      </w:r>
      <w:r w:rsidR="00BA27B2">
        <w:t>s</w:t>
      </w:r>
      <w:r w:rsidR="00D54536" w:rsidRPr="00094140">
        <w:t xml:space="preserve">entencia </w:t>
      </w:r>
      <w:r w:rsidR="00BA27B2">
        <w:t>i</w:t>
      </w:r>
      <w:r w:rsidR="00D54536" w:rsidRPr="00094140">
        <w:t>nterpretativa 3</w:t>
      </w:r>
      <w:r w:rsidR="00253FB0">
        <w:rPr>
          <w:rStyle w:val="FootnoteReference"/>
        </w:rPr>
        <w:footnoteReference w:id="26"/>
      </w:r>
      <w:r w:rsidR="00D54536" w:rsidRPr="00094140">
        <w:t xml:space="preserve"> </w:t>
      </w:r>
      <w:r w:rsidR="005B77EA">
        <w:t xml:space="preserve">de la Jurisdicción Especial para la Paz </w:t>
      </w:r>
      <w:r w:rsidR="00D54536" w:rsidRPr="00094140">
        <w:t xml:space="preserve">que consideran que limita su participación. </w:t>
      </w:r>
      <w:r w:rsidR="00772489">
        <w:t>Las víctimas t</w:t>
      </w:r>
      <w:r w:rsidR="00D54536" w:rsidRPr="00094140">
        <w:t>ambién señalaron desafíos que han enfrentado en algunas diligencias y espacios de participación. El ACNUDH reitera que el principio de centralidad de las víctimas se garantiza a través de los estándares sobre acceso a la justicia, igualdad de partes y participación.</w:t>
      </w:r>
    </w:p>
    <w:p w14:paraId="6242AA76" w14:textId="62DB29E8" w:rsidR="00D54536" w:rsidRPr="00981299" w:rsidRDefault="00BE18E6" w:rsidP="00AB3D5F">
      <w:pPr>
        <w:pStyle w:val="H1G"/>
      </w:pPr>
      <w:r>
        <w:tab/>
        <w:t>C.</w:t>
      </w:r>
      <w:r w:rsidR="00E577DF">
        <w:tab/>
      </w:r>
      <w:r w:rsidR="00D54536" w:rsidRPr="00981299">
        <w:t xml:space="preserve">Ley de </w:t>
      </w:r>
      <w:r w:rsidR="00BA27B2">
        <w:t>V</w:t>
      </w:r>
      <w:r w:rsidR="00D54536" w:rsidRPr="00981299">
        <w:t xml:space="preserve">íctimas y </w:t>
      </w:r>
      <w:r w:rsidR="007E6BAF">
        <w:t>R</w:t>
      </w:r>
      <w:r w:rsidR="00D54536" w:rsidRPr="00981299">
        <w:t xml:space="preserve">estitución de </w:t>
      </w:r>
      <w:r w:rsidR="007E6BAF">
        <w:t>T</w:t>
      </w:r>
      <w:r w:rsidR="00D54536" w:rsidRPr="00981299">
        <w:t>ierras</w:t>
      </w:r>
    </w:p>
    <w:p w14:paraId="32E6C0CE" w14:textId="33FD225A" w:rsidR="00D54536" w:rsidRPr="00FA61EE" w:rsidRDefault="00E577DF" w:rsidP="00E577DF">
      <w:pPr>
        <w:pStyle w:val="SingleTxtG"/>
        <w:rPr>
          <w:lang w:val="es-CO"/>
        </w:rPr>
      </w:pPr>
      <w:r w:rsidRPr="00A80AA0">
        <w:rPr>
          <w:lang w:val="es-CO"/>
        </w:rPr>
        <w:t>33.</w:t>
      </w:r>
      <w:r w:rsidRPr="00A80AA0">
        <w:rPr>
          <w:lang w:val="es-CO"/>
        </w:rPr>
        <w:tab/>
      </w:r>
      <w:r w:rsidR="00D54536" w:rsidRPr="00A80AA0">
        <w:rPr>
          <w:lang w:val="es-CO"/>
        </w:rPr>
        <w:t>E</w:t>
      </w:r>
      <w:r w:rsidR="00954CBD" w:rsidRPr="00A80AA0">
        <w:rPr>
          <w:lang w:val="es-CO"/>
        </w:rPr>
        <w:t>n e</w:t>
      </w:r>
      <w:r w:rsidR="00D54536" w:rsidRPr="00A80AA0">
        <w:rPr>
          <w:lang w:val="es-CO"/>
        </w:rPr>
        <w:t xml:space="preserve">l Informe Final de la Comisión de la Verdad </w:t>
      </w:r>
      <w:r w:rsidR="00954CBD" w:rsidRPr="00A80AA0">
        <w:rPr>
          <w:lang w:val="es-CO"/>
        </w:rPr>
        <w:t xml:space="preserve">se </w:t>
      </w:r>
      <w:r w:rsidR="00D54536" w:rsidRPr="00A80AA0">
        <w:rPr>
          <w:lang w:val="es-CO"/>
        </w:rPr>
        <w:t>señala que, entre 1995 y 2004, fueron despojadas o abandonadas más de ocho millones de hectáreas</w:t>
      </w:r>
      <w:r w:rsidR="00954CBD" w:rsidRPr="00A80AA0">
        <w:rPr>
          <w:lang w:val="es-CO"/>
        </w:rPr>
        <w:t xml:space="preserve"> de tierra</w:t>
      </w:r>
      <w:r w:rsidR="00253FB0" w:rsidRPr="00A80AA0">
        <w:rPr>
          <w:rStyle w:val="FootnoteReference"/>
          <w:lang w:val="es-CO"/>
        </w:rPr>
        <w:footnoteReference w:id="27"/>
      </w:r>
      <w:r w:rsidR="00D54536" w:rsidRPr="00A80AA0">
        <w:rPr>
          <w:lang w:val="es-CO"/>
        </w:rPr>
        <w:t>. Según la Unidad de Restitución de Tierras, tras diez años de implementación de la Ley de Víctimas se han restituido más de 568.000 hectáreas</w:t>
      </w:r>
      <w:r w:rsidR="00253FB0" w:rsidRPr="00A80AA0">
        <w:rPr>
          <w:rStyle w:val="FootnoteReference"/>
          <w:lang w:val="es-CO"/>
        </w:rPr>
        <w:footnoteReference w:id="28"/>
      </w:r>
      <w:r w:rsidR="00D54536" w:rsidRPr="00A80AA0">
        <w:rPr>
          <w:lang w:val="es-CO"/>
        </w:rPr>
        <w:t>. Avanzar de manera decidida en los procesos de restitución de tierras implica fortalecer los procesos administrativos de la Unidad, asegurando una adecuada representación de las víctimas</w:t>
      </w:r>
      <w:r w:rsidR="00A80AA0">
        <w:rPr>
          <w:lang w:val="es-CO"/>
        </w:rPr>
        <w:t>,</w:t>
      </w:r>
      <w:r w:rsidR="00D54536" w:rsidRPr="00A80AA0">
        <w:rPr>
          <w:lang w:val="es-CO"/>
        </w:rPr>
        <w:t xml:space="preserve"> y reforzar el componente de seguridad para los reclamantes. Asimismo, se deben fortalecer los procesos judiciales para resolver el represamiento de casos.</w:t>
      </w:r>
    </w:p>
    <w:p w14:paraId="07823656" w14:textId="1F8D1355" w:rsidR="00BE18E6" w:rsidRDefault="00E577DF" w:rsidP="00E577DF">
      <w:pPr>
        <w:pStyle w:val="SingleTxtG"/>
        <w:rPr>
          <w:lang w:val="es-CO"/>
        </w:rPr>
      </w:pPr>
      <w:r w:rsidRPr="00C178BE">
        <w:rPr>
          <w:lang w:val="es-CO"/>
        </w:rPr>
        <w:t>34.</w:t>
      </w:r>
      <w:r w:rsidRPr="00C178BE">
        <w:rPr>
          <w:lang w:val="es-CO"/>
        </w:rPr>
        <w:tab/>
      </w:r>
      <w:r w:rsidR="00D54536" w:rsidRPr="00C178BE">
        <w:rPr>
          <w:lang w:val="es-CO"/>
        </w:rPr>
        <w:t>Según información de la Unidad de Restitución de Tierras, se han dictado 7.791 sentencias de restitución que han beneficiado a 85.588 personas. Existen 57 despachos judiciales en todo el país para resolver 19.272 demandas de restitución</w:t>
      </w:r>
      <w:r w:rsidR="006E0517" w:rsidRPr="00C178BE">
        <w:rPr>
          <w:rStyle w:val="FootnoteReference"/>
          <w:lang w:val="es-CO"/>
        </w:rPr>
        <w:footnoteReference w:id="29"/>
      </w:r>
      <w:r w:rsidR="00D54536" w:rsidRPr="00C178BE">
        <w:rPr>
          <w:lang w:val="es-CO"/>
        </w:rPr>
        <w:t xml:space="preserve">. La Unidad sigue teniendo un gran reto en materia de restitución de territorios étnicos. Se han presentado 822 solicitudes sobre territorios de </w:t>
      </w:r>
      <w:r w:rsidR="00C178BE" w:rsidRPr="00BA27B2">
        <w:rPr>
          <w:lang w:val="es-CO"/>
        </w:rPr>
        <w:t>P</w:t>
      </w:r>
      <w:r w:rsidR="00D54536" w:rsidRPr="00C178BE">
        <w:rPr>
          <w:lang w:val="es-CO"/>
        </w:rPr>
        <w:t xml:space="preserve">ueblos </w:t>
      </w:r>
      <w:r w:rsidR="00C178BE" w:rsidRPr="00BA27B2">
        <w:rPr>
          <w:lang w:val="es-CO"/>
        </w:rPr>
        <w:t>I</w:t>
      </w:r>
      <w:r w:rsidR="00D54536" w:rsidRPr="00C178BE">
        <w:rPr>
          <w:lang w:val="es-CO"/>
        </w:rPr>
        <w:t xml:space="preserve">ndígenas y </w:t>
      </w:r>
      <w:r w:rsidR="00D54536" w:rsidRPr="00BA27B2">
        <w:rPr>
          <w:lang w:val="es-CO"/>
        </w:rPr>
        <w:t>a</w:t>
      </w:r>
      <w:r w:rsidR="00D54536" w:rsidRPr="00C178BE">
        <w:rPr>
          <w:lang w:val="es-CO"/>
        </w:rPr>
        <w:t xml:space="preserve">frodescendientes, pero solo se han </w:t>
      </w:r>
      <w:r w:rsidR="00D54536" w:rsidRPr="00C178BE">
        <w:rPr>
          <w:lang w:val="es-CO"/>
        </w:rPr>
        <w:lastRenderedPageBreak/>
        <w:t xml:space="preserve">procesado administrativamente 235 demandas para su trámite ante la justicia. De </w:t>
      </w:r>
      <w:r w:rsidR="00C178BE">
        <w:rPr>
          <w:lang w:val="es-CO"/>
        </w:rPr>
        <w:t>e</w:t>
      </w:r>
      <w:r w:rsidR="00D54536" w:rsidRPr="00C178BE">
        <w:rPr>
          <w:lang w:val="es-CO"/>
        </w:rPr>
        <w:t xml:space="preserve">stas, en 24 </w:t>
      </w:r>
      <w:r w:rsidR="00A80AA0">
        <w:rPr>
          <w:lang w:val="es-CO"/>
        </w:rPr>
        <w:t xml:space="preserve">casos </w:t>
      </w:r>
      <w:r w:rsidR="00D54536" w:rsidRPr="00C178BE">
        <w:rPr>
          <w:lang w:val="es-CO"/>
        </w:rPr>
        <w:t xml:space="preserve">se ha logrado llegar a sentencia. Sectores sociales solicitaron al Gobierno la revisión de los más de 57.000 casos que fueron rechazados para restitución de tierras y que, por lo tanto, no hacen parte del registro de tierras. En noviembre, el Gobierno expidió la Circular </w:t>
      </w:r>
      <w:r w:rsidR="00C178BE">
        <w:rPr>
          <w:lang w:val="es-CO"/>
        </w:rPr>
        <w:t xml:space="preserve">núm. </w:t>
      </w:r>
      <w:r w:rsidR="00D54536" w:rsidRPr="00C178BE">
        <w:rPr>
          <w:lang w:val="es-CO"/>
        </w:rPr>
        <w:t>00021</w:t>
      </w:r>
      <w:r w:rsidR="00C178BE">
        <w:rPr>
          <w:lang w:val="es-CO"/>
        </w:rPr>
        <w:t>,</w:t>
      </w:r>
      <w:r w:rsidR="00D54536" w:rsidRPr="00C178BE">
        <w:rPr>
          <w:lang w:val="es-CO"/>
        </w:rPr>
        <w:t xml:space="preserve"> mediante la cual se elimina el Equipo de Asuntos Ambientales, Minero</w:t>
      </w:r>
      <w:r w:rsidR="001D182A">
        <w:rPr>
          <w:lang w:val="es-CO"/>
        </w:rPr>
        <w:t>-</w:t>
      </w:r>
      <w:r w:rsidR="00D54536" w:rsidRPr="00C178BE">
        <w:rPr>
          <w:lang w:val="es-CO"/>
        </w:rPr>
        <w:t xml:space="preserve">energéticos </w:t>
      </w:r>
      <w:r w:rsidR="001D182A">
        <w:rPr>
          <w:lang w:val="es-CO"/>
        </w:rPr>
        <w:t>y d</w:t>
      </w:r>
      <w:r w:rsidR="00D54536" w:rsidRPr="00C178BE">
        <w:rPr>
          <w:lang w:val="es-CO"/>
        </w:rPr>
        <w:t>e Infraestructura de la Unidad.</w:t>
      </w:r>
    </w:p>
    <w:p w14:paraId="1333AD1A" w14:textId="46669030" w:rsidR="00D54536" w:rsidRPr="0062146C" w:rsidRDefault="00BE18E6" w:rsidP="00AB3D5F">
      <w:pPr>
        <w:pStyle w:val="H1G"/>
      </w:pPr>
      <w:r>
        <w:tab/>
      </w:r>
      <w:r w:rsidR="00CF0F56">
        <w:t>D.</w:t>
      </w:r>
      <w:r w:rsidR="00CF0F56">
        <w:tab/>
      </w:r>
      <w:r w:rsidR="00D54536" w:rsidRPr="0062146C">
        <w:t xml:space="preserve">Desmantelamiento y sometimiento a la justicia </w:t>
      </w:r>
    </w:p>
    <w:p w14:paraId="354F6E2E" w14:textId="3BFA70B2" w:rsidR="00D54536" w:rsidRPr="00FA61EE" w:rsidRDefault="00CF0F56" w:rsidP="00CF0F56">
      <w:pPr>
        <w:pStyle w:val="SingleTxtG"/>
        <w:rPr>
          <w:lang w:val="es-CO"/>
        </w:rPr>
      </w:pPr>
      <w:r>
        <w:rPr>
          <w:lang w:val="es-CO"/>
        </w:rPr>
        <w:t>35.</w:t>
      </w:r>
      <w:r>
        <w:rPr>
          <w:lang w:val="es-CO"/>
        </w:rPr>
        <w:tab/>
      </w:r>
      <w:r w:rsidR="00D54536" w:rsidRPr="00FA61EE">
        <w:rPr>
          <w:lang w:val="es-CO"/>
        </w:rPr>
        <w:t xml:space="preserve">El Presidente </w:t>
      </w:r>
      <w:r w:rsidR="009B684D" w:rsidRPr="00FA61EE">
        <w:rPr>
          <w:lang w:val="es-CO"/>
        </w:rPr>
        <w:t xml:space="preserve">Gustavo </w:t>
      </w:r>
      <w:r w:rsidR="00D54536" w:rsidRPr="00FA61EE">
        <w:rPr>
          <w:lang w:val="es-CO"/>
        </w:rPr>
        <w:t>Petro reactivó la Comisión Nacional de Garantías de Seguridad en octubre</w:t>
      </w:r>
      <w:r w:rsidR="00A80AA0">
        <w:rPr>
          <w:lang w:val="es-CO"/>
        </w:rPr>
        <w:t>, que ya ha registrado</w:t>
      </w:r>
      <w:r w:rsidR="00D54536" w:rsidRPr="00FA61EE">
        <w:rPr>
          <w:lang w:val="es-CO"/>
        </w:rPr>
        <w:t xml:space="preserve"> algunos avances hacia la adopción de los lineamientos de política pública de </w:t>
      </w:r>
      <w:r w:rsidR="00C178BE">
        <w:rPr>
          <w:lang w:val="es-CO"/>
        </w:rPr>
        <w:t>d</w:t>
      </w:r>
      <w:r w:rsidR="00D54536" w:rsidRPr="00FA61EE">
        <w:rPr>
          <w:lang w:val="es-CO"/>
        </w:rPr>
        <w:t xml:space="preserve">esmantelamiento de </w:t>
      </w:r>
      <w:r w:rsidR="00C178BE">
        <w:rPr>
          <w:lang w:val="es-CO"/>
        </w:rPr>
        <w:t>c</w:t>
      </w:r>
      <w:r w:rsidR="00D54536" w:rsidRPr="00FA61EE">
        <w:rPr>
          <w:lang w:val="es-CO"/>
        </w:rPr>
        <w:t xml:space="preserve">onductas y </w:t>
      </w:r>
      <w:r w:rsidR="00C178BE">
        <w:rPr>
          <w:lang w:val="es-CO"/>
        </w:rPr>
        <w:t>o</w:t>
      </w:r>
      <w:r w:rsidR="00D54536" w:rsidRPr="00FA61EE">
        <w:rPr>
          <w:lang w:val="es-CO"/>
        </w:rPr>
        <w:t xml:space="preserve">rganizaciones </w:t>
      </w:r>
      <w:r w:rsidR="00C178BE">
        <w:rPr>
          <w:lang w:val="es-CO"/>
        </w:rPr>
        <w:t>c</w:t>
      </w:r>
      <w:r w:rsidR="00D54536" w:rsidRPr="00FA61EE">
        <w:rPr>
          <w:lang w:val="es-CO"/>
        </w:rPr>
        <w:t xml:space="preserve">riminales. Esta política debe definirse lo más pronto posible y </w:t>
      </w:r>
      <w:r w:rsidR="00C178BE">
        <w:rPr>
          <w:lang w:val="es-CO"/>
        </w:rPr>
        <w:t xml:space="preserve">debe </w:t>
      </w:r>
      <w:r w:rsidR="00D54536" w:rsidRPr="00FA61EE">
        <w:rPr>
          <w:lang w:val="es-CO"/>
        </w:rPr>
        <w:t xml:space="preserve">considerar las dinámicas y </w:t>
      </w:r>
      <w:r w:rsidR="00A80AA0">
        <w:rPr>
          <w:lang w:val="es-CO"/>
        </w:rPr>
        <w:t xml:space="preserve">los </w:t>
      </w:r>
      <w:r w:rsidR="00D54536" w:rsidRPr="00FA61EE">
        <w:rPr>
          <w:lang w:val="es-CO"/>
        </w:rPr>
        <w:t>análisis territoriales en su implementación y seguimiento. Según buenas prácticas identificadas</w:t>
      </w:r>
      <w:r w:rsidR="00D54536">
        <w:rPr>
          <w:lang w:val="es-CO"/>
        </w:rPr>
        <w:t xml:space="preserve"> por </w:t>
      </w:r>
      <w:r w:rsidR="00C178BE">
        <w:rPr>
          <w:lang w:val="es-CO"/>
        </w:rPr>
        <w:t>e</w:t>
      </w:r>
      <w:r w:rsidR="003A5059" w:rsidRPr="00094140">
        <w:t>l ACNUDH</w:t>
      </w:r>
      <w:r w:rsidR="00D54536" w:rsidRPr="00FA61EE">
        <w:rPr>
          <w:lang w:val="es-CO"/>
        </w:rPr>
        <w:t>, el desmantelamiento debe orientarse hacia los factores que facilitan el fenómeno criminal. Estas prácticas recomiendan la aplicación simultánea de cinco medidas, que corresponden con obligaciones internacionales de</w:t>
      </w:r>
      <w:r w:rsidR="00D54536">
        <w:rPr>
          <w:lang w:val="es-CO"/>
        </w:rPr>
        <w:t xml:space="preserve">l </w:t>
      </w:r>
      <w:r w:rsidR="00D54536" w:rsidRPr="00FA61EE">
        <w:rPr>
          <w:lang w:val="es-CO"/>
        </w:rPr>
        <w:t>Estado en derechos humanos: inversión social, fortalecimiento de la justicia, lucha contra la corrupción, afectación al patrimonio criminal y sometimiento a la justicia. En el marco de esta última medida, debe inc</w:t>
      </w:r>
      <w:r w:rsidR="00D54536">
        <w:rPr>
          <w:lang w:val="es-CO"/>
        </w:rPr>
        <w:t xml:space="preserve">luirse la reparación a </w:t>
      </w:r>
      <w:r w:rsidR="00A80AA0">
        <w:rPr>
          <w:lang w:val="es-CO"/>
        </w:rPr>
        <w:t xml:space="preserve">las </w:t>
      </w:r>
      <w:r w:rsidR="00D54536">
        <w:rPr>
          <w:lang w:val="es-CO"/>
        </w:rPr>
        <w:t>víctimas</w:t>
      </w:r>
      <w:r w:rsidR="00D54536" w:rsidRPr="00FA61EE">
        <w:rPr>
          <w:lang w:val="es-CO"/>
        </w:rPr>
        <w:t xml:space="preserve"> y </w:t>
      </w:r>
      <w:r w:rsidR="00C178BE">
        <w:rPr>
          <w:lang w:val="es-CO"/>
        </w:rPr>
        <w:t xml:space="preserve">la exposición de </w:t>
      </w:r>
      <w:r w:rsidR="00D54536" w:rsidRPr="00FA61EE">
        <w:rPr>
          <w:lang w:val="es-CO"/>
        </w:rPr>
        <w:t>la red criminal</w:t>
      </w:r>
      <w:r w:rsidR="005C0D9F">
        <w:rPr>
          <w:rStyle w:val="FootnoteReference"/>
          <w:lang w:val="es-CO"/>
        </w:rPr>
        <w:footnoteReference w:id="30"/>
      </w:r>
      <w:r w:rsidR="00D54536">
        <w:rPr>
          <w:lang w:val="es-CO"/>
        </w:rPr>
        <w:t>.</w:t>
      </w:r>
    </w:p>
    <w:p w14:paraId="72124B83" w14:textId="11C21FF4" w:rsidR="00D54536" w:rsidRDefault="00CF0F56" w:rsidP="00CF0F56">
      <w:pPr>
        <w:pStyle w:val="SingleTxtG"/>
        <w:rPr>
          <w:lang w:val="es-CO"/>
        </w:rPr>
      </w:pPr>
      <w:r>
        <w:rPr>
          <w:lang w:val="es-CO"/>
        </w:rPr>
        <w:t>36.</w:t>
      </w:r>
      <w:r>
        <w:rPr>
          <w:lang w:val="es-CO"/>
        </w:rPr>
        <w:tab/>
      </w:r>
      <w:r w:rsidR="00D54536" w:rsidRPr="00FA61EE">
        <w:rPr>
          <w:lang w:val="es-CO"/>
        </w:rPr>
        <w:t>La participación de comunidades afectadas y pueblos étnicos –incluyendo la participación de mujeres</w:t>
      </w:r>
      <w:r w:rsidR="00C178BE" w:rsidRPr="00FA61EE">
        <w:rPr>
          <w:lang w:val="es-CO"/>
        </w:rPr>
        <w:t>–</w:t>
      </w:r>
      <w:r w:rsidR="00D54536" w:rsidRPr="00FA61EE">
        <w:rPr>
          <w:lang w:val="es-CO"/>
        </w:rPr>
        <w:t xml:space="preserve"> para definir la orientación de las medidas de desmantelamiento relacionadas con la inversión social, el fortalecimiento </w:t>
      </w:r>
      <w:r w:rsidR="00D54536">
        <w:rPr>
          <w:lang w:val="es-CO"/>
        </w:rPr>
        <w:t>de</w:t>
      </w:r>
      <w:r w:rsidR="00D54536" w:rsidRPr="00FA61EE">
        <w:rPr>
          <w:lang w:val="es-CO"/>
        </w:rPr>
        <w:t xml:space="preserve"> la justicia y la lucha contra la corrupción es fundamental para el éxito de este propósito. Para ello, la Comisión Nacional de Garantías de Seguridad debe incrementar sus esfuerzos para canalizar las propuestas de las comunidades y pueblos étnicos y garantizar adecuadamente su seguridad</w:t>
      </w:r>
      <w:r w:rsidR="00D54536">
        <w:rPr>
          <w:lang w:val="es-CO"/>
        </w:rPr>
        <w:t>.</w:t>
      </w:r>
      <w:r w:rsidR="00C178BE">
        <w:rPr>
          <w:lang w:val="es-CO"/>
        </w:rPr>
        <w:t xml:space="preserve"> </w:t>
      </w:r>
    </w:p>
    <w:p w14:paraId="51FB7C46" w14:textId="5A74CAD6" w:rsidR="00D54536" w:rsidRPr="005C6E9E" w:rsidRDefault="00BE18E6" w:rsidP="00AB3D5F">
      <w:pPr>
        <w:pStyle w:val="H1G"/>
      </w:pPr>
      <w:r>
        <w:tab/>
      </w:r>
      <w:r w:rsidR="00646EAE">
        <w:t>E.</w:t>
      </w:r>
      <w:r w:rsidR="00646EAE">
        <w:tab/>
      </w:r>
      <w:r w:rsidR="00D54536" w:rsidRPr="005C6E9E">
        <w:t xml:space="preserve">Capítulo étnico </w:t>
      </w:r>
    </w:p>
    <w:p w14:paraId="74F81132" w14:textId="1AA07B98" w:rsidR="00D54536" w:rsidRPr="00FA61EE" w:rsidRDefault="003F3C82" w:rsidP="00646EAE">
      <w:pPr>
        <w:pStyle w:val="SingleTxtG"/>
        <w:rPr>
          <w:lang w:val="es-CO"/>
        </w:rPr>
      </w:pPr>
      <w:r>
        <w:rPr>
          <w:lang w:val="es-CO"/>
        </w:rPr>
        <w:t>3</w:t>
      </w:r>
      <w:r w:rsidR="00646EAE">
        <w:rPr>
          <w:lang w:val="es-CO"/>
        </w:rPr>
        <w:t>7.</w:t>
      </w:r>
      <w:r w:rsidR="00646EAE">
        <w:rPr>
          <w:lang w:val="es-CO"/>
        </w:rPr>
        <w:tab/>
      </w:r>
      <w:r w:rsidR="00D54536" w:rsidRPr="00FA61EE">
        <w:rPr>
          <w:lang w:val="es-CO"/>
        </w:rPr>
        <w:t xml:space="preserve">Los informes de la Instancia Especial de Alto Nivel </w:t>
      </w:r>
      <w:r w:rsidR="00147009">
        <w:rPr>
          <w:lang w:val="es-CO"/>
        </w:rPr>
        <w:t>de los</w:t>
      </w:r>
      <w:r w:rsidR="00147009" w:rsidRPr="00FA61EE">
        <w:rPr>
          <w:lang w:val="es-CO"/>
        </w:rPr>
        <w:t xml:space="preserve"> </w:t>
      </w:r>
      <w:r w:rsidR="00D54536" w:rsidRPr="00FA61EE">
        <w:rPr>
          <w:lang w:val="es-CO"/>
        </w:rPr>
        <w:t>Pueblos Étnicos para seguimiento de la implementación de</w:t>
      </w:r>
      <w:r w:rsidR="00D54536">
        <w:rPr>
          <w:lang w:val="es-CO"/>
        </w:rPr>
        <w:t xml:space="preserve">l </w:t>
      </w:r>
      <w:r w:rsidR="00D54536" w:rsidRPr="00FA61EE">
        <w:rPr>
          <w:lang w:val="es-CO"/>
        </w:rPr>
        <w:t>Acuerdo de Paz</w:t>
      </w:r>
      <w:r w:rsidR="006E0517">
        <w:rPr>
          <w:rStyle w:val="FootnoteReference"/>
          <w:lang w:val="es-CO"/>
        </w:rPr>
        <w:footnoteReference w:id="31"/>
      </w:r>
      <w:r w:rsidR="00D54536" w:rsidRPr="00FA61EE">
        <w:rPr>
          <w:lang w:val="es-CO"/>
        </w:rPr>
        <w:t>, del Consejo</w:t>
      </w:r>
      <w:r w:rsidR="00D54536">
        <w:rPr>
          <w:lang w:val="es-CO"/>
        </w:rPr>
        <w:t xml:space="preserve"> Nacional de Paz Afrocolombiano</w:t>
      </w:r>
      <w:r w:rsidR="006E0517">
        <w:rPr>
          <w:rStyle w:val="FootnoteReference"/>
          <w:lang w:val="es-CO"/>
        </w:rPr>
        <w:footnoteReference w:id="32"/>
      </w:r>
      <w:r w:rsidR="00D54536" w:rsidRPr="00FA61EE">
        <w:rPr>
          <w:lang w:val="es-CO"/>
        </w:rPr>
        <w:t xml:space="preserve"> y de instituciones como la Procuraduría</w:t>
      </w:r>
      <w:r w:rsidR="00147009">
        <w:rPr>
          <w:lang w:val="es-CO"/>
        </w:rPr>
        <w:t xml:space="preserve"> General de la Nación</w:t>
      </w:r>
      <w:r w:rsidR="006E0517">
        <w:rPr>
          <w:rStyle w:val="FootnoteReference"/>
          <w:lang w:val="es-CO"/>
        </w:rPr>
        <w:footnoteReference w:id="33"/>
      </w:r>
      <w:r w:rsidR="00D54536" w:rsidRPr="00FA61EE">
        <w:rPr>
          <w:lang w:val="es-CO"/>
        </w:rPr>
        <w:t xml:space="preserve"> y el Instituto Kroc</w:t>
      </w:r>
      <w:r w:rsidR="00204A5B">
        <w:rPr>
          <w:rStyle w:val="FootnoteReference"/>
          <w:lang w:val="es-CO"/>
        </w:rPr>
        <w:footnoteReference w:id="34"/>
      </w:r>
      <w:r w:rsidR="00D54536" w:rsidRPr="00FA61EE">
        <w:rPr>
          <w:lang w:val="es-CO"/>
        </w:rPr>
        <w:t xml:space="preserve"> </w:t>
      </w:r>
      <w:r w:rsidR="00A80AA0" w:rsidRPr="00FA61EE">
        <w:rPr>
          <w:lang w:val="es-CO"/>
        </w:rPr>
        <w:t xml:space="preserve">coinciden en señalar mínimos avances en la implementación del capítulo </w:t>
      </w:r>
      <w:r w:rsidR="00A80AA0" w:rsidRPr="00FA61EE">
        <w:rPr>
          <w:lang w:val="es-CO"/>
        </w:rPr>
        <w:lastRenderedPageBreak/>
        <w:t>étnico del Acuerdo de Paz. Según el Instituto Kroc</w:t>
      </w:r>
      <w:r w:rsidR="00A80AA0">
        <w:rPr>
          <w:lang w:val="es-CO"/>
        </w:rPr>
        <w:t>,</w:t>
      </w:r>
      <w:r w:rsidR="00A80AA0" w:rsidRPr="00FA61EE">
        <w:rPr>
          <w:lang w:val="es-CO"/>
        </w:rPr>
        <w:t xml:space="preserve"> </w:t>
      </w:r>
      <w:r w:rsidR="00D54536" w:rsidRPr="00FA61EE">
        <w:rPr>
          <w:lang w:val="es-CO"/>
        </w:rPr>
        <w:t xml:space="preserve">a </w:t>
      </w:r>
      <w:r w:rsidR="00D54536">
        <w:rPr>
          <w:lang w:val="es-CO"/>
        </w:rPr>
        <w:t>septiembre de</w:t>
      </w:r>
      <w:r w:rsidR="00D54536" w:rsidRPr="00FA61EE">
        <w:rPr>
          <w:lang w:val="es-CO"/>
        </w:rPr>
        <w:t xml:space="preserve"> 2022 solo se ha</w:t>
      </w:r>
      <w:r w:rsidR="005B77EA">
        <w:rPr>
          <w:lang w:val="es-CO"/>
        </w:rPr>
        <w:t>bía</w:t>
      </w:r>
      <w:r w:rsidR="00A80AA0">
        <w:rPr>
          <w:lang w:val="es-CO"/>
        </w:rPr>
        <w:t>n</w:t>
      </w:r>
      <w:r w:rsidR="00D54536" w:rsidRPr="00FA61EE">
        <w:rPr>
          <w:lang w:val="es-CO"/>
        </w:rPr>
        <w:t xml:space="preserve"> implementado completamente el 13</w:t>
      </w:r>
      <w:r w:rsidR="00147009">
        <w:rPr>
          <w:lang w:val="es-CO"/>
        </w:rPr>
        <w:t> </w:t>
      </w:r>
      <w:r w:rsidR="00D54536" w:rsidRPr="00FA61EE">
        <w:rPr>
          <w:lang w:val="es-CO"/>
        </w:rPr>
        <w:t>% de las 80 disposiciones incluidas en el capítulo étnico</w:t>
      </w:r>
      <w:r w:rsidR="00D54536">
        <w:rPr>
          <w:lang w:val="es-CO"/>
        </w:rPr>
        <w:t>.</w:t>
      </w:r>
    </w:p>
    <w:p w14:paraId="23A4C8BA" w14:textId="677B5F48" w:rsidR="00D54536" w:rsidRPr="00FA61EE" w:rsidRDefault="00646EAE" w:rsidP="00646EAE">
      <w:pPr>
        <w:pStyle w:val="SingleTxtG"/>
        <w:rPr>
          <w:lang w:val="es-CO"/>
        </w:rPr>
      </w:pPr>
      <w:r w:rsidRPr="001A7355">
        <w:rPr>
          <w:lang w:val="es-CO"/>
        </w:rPr>
        <w:t>38.</w:t>
      </w:r>
      <w:r w:rsidRPr="001A7355">
        <w:rPr>
          <w:lang w:val="es-CO"/>
        </w:rPr>
        <w:tab/>
      </w:r>
      <w:r w:rsidR="00D54536" w:rsidRPr="001A7355">
        <w:rPr>
          <w:lang w:val="es-CO"/>
        </w:rPr>
        <w:t xml:space="preserve">El ACNUDH observó retrocesos en la protección de los derechos a la vida, </w:t>
      </w:r>
      <w:r w:rsidR="00A80AA0">
        <w:rPr>
          <w:lang w:val="es-CO"/>
        </w:rPr>
        <w:t xml:space="preserve">a </w:t>
      </w:r>
      <w:r w:rsidR="00D54536" w:rsidRPr="001A7355">
        <w:rPr>
          <w:lang w:val="es-CO"/>
        </w:rPr>
        <w:t xml:space="preserve">la movilidad, al territorio y al gobierno propio de los </w:t>
      </w:r>
      <w:r w:rsidR="00BA27B2">
        <w:rPr>
          <w:lang w:val="es-CO"/>
        </w:rPr>
        <w:t>P</w:t>
      </w:r>
      <w:r w:rsidR="00D54536" w:rsidRPr="001A7355">
        <w:rPr>
          <w:lang w:val="es-CO"/>
        </w:rPr>
        <w:t xml:space="preserve">ueblos </w:t>
      </w:r>
      <w:r w:rsidR="00BA27B2">
        <w:rPr>
          <w:lang w:val="es-CO"/>
        </w:rPr>
        <w:t>I</w:t>
      </w:r>
      <w:r w:rsidR="00D54536" w:rsidRPr="001A7355">
        <w:rPr>
          <w:lang w:val="es-CO"/>
        </w:rPr>
        <w:t>ndígenas y afrodescendientes en Arauca, Cauca, Chocó, Córdoba, Huila, Nariño, Norte de Santander, Putumayo y Valle del Cauca. El Consejo Nacional de Paz Afrocolombiano atribuye el alto nivel de incumplimiento del capítulo étnico a la persistencia del conflicto armado y la crisis humanitaria que siguen afectando a los pueblos étnicos</w:t>
      </w:r>
      <w:r w:rsidR="00204A5B" w:rsidRPr="001A7355">
        <w:rPr>
          <w:rStyle w:val="FootnoteReference"/>
          <w:lang w:val="es-CO"/>
        </w:rPr>
        <w:footnoteReference w:id="35"/>
      </w:r>
      <w:r w:rsidR="00D54536" w:rsidRPr="001A7355">
        <w:rPr>
          <w:lang w:val="es-CO"/>
        </w:rPr>
        <w:t>.</w:t>
      </w:r>
    </w:p>
    <w:p w14:paraId="5CE5F32A" w14:textId="2C6D35A7" w:rsidR="00D54536" w:rsidRPr="00FA61EE" w:rsidRDefault="00646EAE" w:rsidP="00646EAE">
      <w:pPr>
        <w:pStyle w:val="SingleTxtG"/>
        <w:rPr>
          <w:lang w:val="es-CO"/>
        </w:rPr>
      </w:pPr>
      <w:r w:rsidRPr="001A7355">
        <w:rPr>
          <w:lang w:val="es-CO"/>
        </w:rPr>
        <w:t>39.</w:t>
      </w:r>
      <w:r w:rsidRPr="001A7355">
        <w:rPr>
          <w:lang w:val="es-CO"/>
        </w:rPr>
        <w:tab/>
      </w:r>
      <w:r w:rsidR="00D54536" w:rsidRPr="001A7355">
        <w:rPr>
          <w:lang w:val="es-CO"/>
        </w:rPr>
        <w:t xml:space="preserve">La falta de consulta previa, libre e informada en programas y proyectos para la implementación del Acuerdo de Paz contribuyó a la </w:t>
      </w:r>
      <w:r w:rsidR="00A80AA0">
        <w:rPr>
          <w:lang w:val="es-CO"/>
        </w:rPr>
        <w:t>ausencia</w:t>
      </w:r>
      <w:r w:rsidR="00A80AA0" w:rsidRPr="001A7355">
        <w:rPr>
          <w:lang w:val="es-CO"/>
        </w:rPr>
        <w:t xml:space="preserve"> </w:t>
      </w:r>
      <w:r w:rsidR="00D54536" w:rsidRPr="001A7355">
        <w:rPr>
          <w:lang w:val="es-CO"/>
        </w:rPr>
        <w:t xml:space="preserve">de garantías de otros derechos de los pueblos étnicos y a que, desde su perspectiva, no hubiese un impacto positivo para ellos </w:t>
      </w:r>
      <w:r w:rsidR="00A80AA0">
        <w:rPr>
          <w:lang w:val="es-CO"/>
        </w:rPr>
        <w:t>de</w:t>
      </w:r>
      <w:r w:rsidR="00A80AA0" w:rsidRPr="001A7355">
        <w:rPr>
          <w:lang w:val="es-CO"/>
        </w:rPr>
        <w:t xml:space="preserve"> </w:t>
      </w:r>
      <w:r w:rsidR="00D54536" w:rsidRPr="001A7355">
        <w:rPr>
          <w:lang w:val="es-CO"/>
        </w:rPr>
        <w:t>los avances logrados hasta ahora.</w:t>
      </w:r>
    </w:p>
    <w:p w14:paraId="4D5B6B63" w14:textId="74B0251A" w:rsidR="00D54536" w:rsidRPr="00C9128B" w:rsidRDefault="00646EAE" w:rsidP="00646EAE">
      <w:pPr>
        <w:pStyle w:val="SingleTxtG"/>
        <w:rPr>
          <w:lang w:val="es-419"/>
        </w:rPr>
      </w:pPr>
      <w:r>
        <w:rPr>
          <w:lang w:val="es-CO"/>
        </w:rPr>
        <w:t>40.</w:t>
      </w:r>
      <w:r>
        <w:rPr>
          <w:lang w:val="es-CO"/>
        </w:rPr>
        <w:tab/>
      </w:r>
      <w:r w:rsidR="00D54536" w:rsidRPr="00FA61EE">
        <w:rPr>
          <w:lang w:val="es-CO"/>
        </w:rPr>
        <w:t>El compromiso del nuevo Gobierno con la implementación del capítulo étnico y el nombramiento de personas defensoras de derechos de los pueblos étnicos en cargos oficiales orientados a la protección de derechos son señales positivas. Se valora también la decisión del Gobierno de los Estados Unidos de acompañar la implementación del capítulo étnico</w:t>
      </w:r>
      <w:r w:rsidR="00204A5B">
        <w:rPr>
          <w:rStyle w:val="FootnoteReference"/>
          <w:lang w:val="es-CO"/>
        </w:rPr>
        <w:footnoteReference w:id="36"/>
      </w:r>
      <w:r w:rsidR="001A7355">
        <w:rPr>
          <w:lang w:val="es-CO"/>
        </w:rPr>
        <w:t>.</w:t>
      </w:r>
    </w:p>
    <w:p w14:paraId="218CB468" w14:textId="64549B85" w:rsidR="00D54536" w:rsidRPr="001F1215" w:rsidRDefault="00552C93" w:rsidP="00AB3D5F">
      <w:pPr>
        <w:pStyle w:val="HChG"/>
        <w:rPr>
          <w:lang w:val="es-419"/>
        </w:rPr>
      </w:pPr>
      <w:r>
        <w:rPr>
          <w:lang w:val="es-419"/>
        </w:rPr>
        <w:tab/>
        <w:t>IV.</w:t>
      </w:r>
      <w:r>
        <w:rPr>
          <w:lang w:val="es-419"/>
        </w:rPr>
        <w:tab/>
      </w:r>
      <w:r>
        <w:rPr>
          <w:lang w:val="es-419"/>
        </w:rPr>
        <w:tab/>
      </w:r>
      <w:r w:rsidR="00D54536" w:rsidRPr="001F1215">
        <w:rPr>
          <w:lang w:val="es-419"/>
        </w:rPr>
        <w:t>Violencia territorial, seguridad y derechos humanos</w:t>
      </w:r>
    </w:p>
    <w:p w14:paraId="2B45D203" w14:textId="7B2B641C" w:rsidR="00D54536" w:rsidRPr="0055566F" w:rsidRDefault="00C67D99" w:rsidP="00AB3D5F">
      <w:pPr>
        <w:pStyle w:val="H1G"/>
      </w:pPr>
      <w:r>
        <w:tab/>
        <w:t>A.</w:t>
      </w:r>
      <w:r>
        <w:tab/>
      </w:r>
      <w:r w:rsidR="00D54536" w:rsidRPr="0055566F">
        <w:t>Situación de seguridad y de derechos humanos</w:t>
      </w:r>
    </w:p>
    <w:p w14:paraId="1AE7089F" w14:textId="662E4057" w:rsidR="00D54536" w:rsidRPr="00552C93" w:rsidRDefault="00D70B7E" w:rsidP="00552C93">
      <w:pPr>
        <w:pStyle w:val="SingleTxtG"/>
        <w:rPr>
          <w:lang w:val="es-419"/>
        </w:rPr>
      </w:pPr>
      <w:bookmarkStart w:id="0" w:name="_Hlk128042832"/>
      <w:r>
        <w:rPr>
          <w:lang w:val="es-419"/>
        </w:rPr>
        <w:t>41.</w:t>
      </w:r>
      <w:r>
        <w:rPr>
          <w:lang w:val="es-419"/>
        </w:rPr>
        <w:tab/>
      </w:r>
      <w:r w:rsidR="00D54536" w:rsidRPr="00552C93">
        <w:rPr>
          <w:lang w:val="es-419"/>
        </w:rPr>
        <w:t>El ACNUDH recibió alegaciones de 128 casos de posibles masacres</w:t>
      </w:r>
      <w:r w:rsidR="00204A5B">
        <w:rPr>
          <w:rStyle w:val="FootnoteReference"/>
          <w:lang w:val="es-419"/>
        </w:rPr>
        <w:footnoteReference w:id="37"/>
      </w:r>
      <w:r w:rsidR="00D54536" w:rsidRPr="00E174C6">
        <w:rPr>
          <w:rStyle w:val="FootnoteReference"/>
        </w:rPr>
        <w:t xml:space="preserve"> </w:t>
      </w:r>
      <w:r w:rsidR="00D54536" w:rsidRPr="00552C93">
        <w:rPr>
          <w:lang w:val="es-419"/>
        </w:rPr>
        <w:t xml:space="preserve">en 2022, de los cuales </w:t>
      </w:r>
      <w:r w:rsidR="001A7355">
        <w:rPr>
          <w:lang w:val="es-419"/>
        </w:rPr>
        <w:t xml:space="preserve">92 </w:t>
      </w:r>
      <w:r w:rsidR="00D54536" w:rsidRPr="00552C93">
        <w:rPr>
          <w:lang w:val="es-419"/>
        </w:rPr>
        <w:t xml:space="preserve">fueron verificados, </w:t>
      </w:r>
      <w:r w:rsidR="001A7355">
        <w:rPr>
          <w:lang w:val="es-419"/>
        </w:rPr>
        <w:t>2</w:t>
      </w:r>
      <w:r w:rsidR="003344C1">
        <w:rPr>
          <w:lang w:val="es-419"/>
        </w:rPr>
        <w:t xml:space="preserve"> </w:t>
      </w:r>
      <w:r w:rsidR="00D54536" w:rsidRPr="00552C93">
        <w:rPr>
          <w:lang w:val="es-419"/>
        </w:rPr>
        <w:t xml:space="preserve">siguen en proceso de verificación y 34 fueron considerados no concluyentes. En </w:t>
      </w:r>
      <w:r w:rsidR="005B77EA">
        <w:rPr>
          <w:lang w:val="es-419"/>
        </w:rPr>
        <w:t xml:space="preserve">las </w:t>
      </w:r>
      <w:r w:rsidR="00D54536" w:rsidRPr="00552C93">
        <w:rPr>
          <w:lang w:val="es-419"/>
        </w:rPr>
        <w:t>92 masacres verificadas se registraron 321 víctimas: 270 hombres, 30 mujeres, 14 niños y 7 niñas. Además</w:t>
      </w:r>
      <w:r w:rsidR="001A7355">
        <w:rPr>
          <w:lang w:val="es-419"/>
        </w:rPr>
        <w:t>,</w:t>
      </w:r>
      <w:r w:rsidR="00D54536" w:rsidRPr="00552C93">
        <w:rPr>
          <w:lang w:val="es-419"/>
        </w:rPr>
        <w:t xml:space="preserve"> 27 víctimas pertenecían a pueblos étnicos: 23 indígenas y 4 afrodescendientes. Los departamentos más afectados fueron Antioquia, Cauca, Nariño y Valle del Cauca. El 27</w:t>
      </w:r>
      <w:r w:rsidR="001A7355">
        <w:rPr>
          <w:lang w:val="es-419"/>
        </w:rPr>
        <w:t> </w:t>
      </w:r>
      <w:r w:rsidR="00D54536" w:rsidRPr="00552C93">
        <w:rPr>
          <w:lang w:val="es-419"/>
        </w:rPr>
        <w:t xml:space="preserve">% de las víctimas </w:t>
      </w:r>
      <w:r w:rsidR="00A80AA0">
        <w:rPr>
          <w:lang w:val="es-419"/>
        </w:rPr>
        <w:t>eran</w:t>
      </w:r>
      <w:r w:rsidR="00A80AA0" w:rsidRPr="00552C93">
        <w:rPr>
          <w:lang w:val="es-419"/>
        </w:rPr>
        <w:t xml:space="preserve"> </w:t>
      </w:r>
      <w:r w:rsidR="00D54536" w:rsidRPr="00552C93">
        <w:rPr>
          <w:lang w:val="es-419"/>
        </w:rPr>
        <w:t xml:space="preserve">jóvenes entre 18 y 28 años. En Tumaco (Nariño), </w:t>
      </w:r>
      <w:r w:rsidR="001A7355">
        <w:rPr>
          <w:lang w:val="es-419"/>
        </w:rPr>
        <w:t>3</w:t>
      </w:r>
      <w:r w:rsidR="001A7355" w:rsidRPr="00552C93">
        <w:rPr>
          <w:lang w:val="es-419"/>
        </w:rPr>
        <w:t xml:space="preserve"> </w:t>
      </w:r>
      <w:r w:rsidR="00D54536" w:rsidRPr="00552C93">
        <w:rPr>
          <w:lang w:val="es-419"/>
        </w:rPr>
        <w:t xml:space="preserve">miembros del pueblo </w:t>
      </w:r>
      <w:r w:rsidR="00BA27B2">
        <w:rPr>
          <w:lang w:val="es-419"/>
        </w:rPr>
        <w:t>a</w:t>
      </w:r>
      <w:r w:rsidR="00D54536" w:rsidRPr="00552C93">
        <w:rPr>
          <w:lang w:val="es-419"/>
        </w:rPr>
        <w:t>wá fueron víctimas de una masacre cuando se encontraban en una reunión planeando acciones para oponerse al cultivo de coca en la zona. En los casos verificados, la presunta autoría recae principalmente en organizaciones criminales.</w:t>
      </w:r>
    </w:p>
    <w:bookmarkEnd w:id="0"/>
    <w:p w14:paraId="0BCF078B" w14:textId="04986722" w:rsidR="00D54536" w:rsidRPr="00552C93" w:rsidRDefault="00D70B7E" w:rsidP="00552C93">
      <w:pPr>
        <w:pStyle w:val="SingleTxtG"/>
        <w:rPr>
          <w:b/>
          <w:bCs/>
        </w:rPr>
      </w:pPr>
      <w:r>
        <w:rPr>
          <w:lang w:val="es-419"/>
        </w:rPr>
        <w:t>42.</w:t>
      </w:r>
      <w:r>
        <w:rPr>
          <w:lang w:val="es-419"/>
        </w:rPr>
        <w:tab/>
      </w:r>
      <w:r w:rsidR="00D54536" w:rsidRPr="00552C93">
        <w:rPr>
          <w:lang w:val="es-419"/>
        </w:rPr>
        <w:t xml:space="preserve">La Oficina </w:t>
      </w:r>
      <w:r w:rsidR="001A7355">
        <w:rPr>
          <w:lang w:val="es-419"/>
        </w:rPr>
        <w:t>de</w:t>
      </w:r>
      <w:r w:rsidR="00D54536" w:rsidRPr="00552C93">
        <w:rPr>
          <w:lang w:val="es-419"/>
        </w:rPr>
        <w:t xml:space="preserve"> Coordinación de Asuntos Humanitarios indica que, en 2022, </w:t>
      </w:r>
      <w:r w:rsidR="001A7355">
        <w:rPr>
          <w:lang w:val="es-419"/>
        </w:rPr>
        <w:t xml:space="preserve">un total de </w:t>
      </w:r>
      <w:r w:rsidR="00D54536" w:rsidRPr="00552C93">
        <w:rPr>
          <w:lang w:val="es-419"/>
        </w:rPr>
        <w:t>82.862 personas (</w:t>
      </w:r>
      <w:r w:rsidR="001A7355">
        <w:rPr>
          <w:lang w:val="es-419"/>
        </w:rPr>
        <w:t xml:space="preserve">de las que </w:t>
      </w:r>
      <w:r w:rsidR="00D54536" w:rsidRPr="00552C93">
        <w:rPr>
          <w:lang w:val="es-419"/>
        </w:rPr>
        <w:t>aproximadamente el 19</w:t>
      </w:r>
      <w:r w:rsidR="001A7355">
        <w:rPr>
          <w:lang w:val="es-419"/>
        </w:rPr>
        <w:t> </w:t>
      </w:r>
      <w:r w:rsidR="00D54536" w:rsidRPr="00552C93">
        <w:rPr>
          <w:lang w:val="es-419"/>
        </w:rPr>
        <w:t>% son niños y niñas) han sido desplazadas y 102.395 personas se han visto confinadas</w:t>
      </w:r>
      <w:r w:rsidR="00204A5B">
        <w:rPr>
          <w:rStyle w:val="FootnoteReference"/>
          <w:lang w:val="es-419"/>
        </w:rPr>
        <w:footnoteReference w:id="38"/>
      </w:r>
      <w:r w:rsidR="00D54536" w:rsidRPr="00552C93">
        <w:rPr>
          <w:lang w:val="es-419"/>
        </w:rPr>
        <w:t>, mientras que en todo 2021 fueron desplazadas 73.974 personas y 65.685 sufrieron confinamiento</w:t>
      </w:r>
      <w:r w:rsidR="00204A5B">
        <w:rPr>
          <w:rStyle w:val="FootnoteReference"/>
          <w:lang w:val="es-419"/>
        </w:rPr>
        <w:footnoteReference w:id="39"/>
      </w:r>
      <w:r w:rsidR="00D54536" w:rsidRPr="00552C93">
        <w:rPr>
          <w:lang w:val="es-419"/>
        </w:rPr>
        <w:t xml:space="preserve">. </w:t>
      </w:r>
      <w:r w:rsidR="001A7355" w:rsidRPr="00552C93">
        <w:rPr>
          <w:lang w:val="es-419"/>
        </w:rPr>
        <w:t xml:space="preserve">La Oficina </w:t>
      </w:r>
      <w:r w:rsidR="001A7355">
        <w:rPr>
          <w:lang w:val="es-419"/>
        </w:rPr>
        <w:t>de</w:t>
      </w:r>
      <w:r w:rsidR="001A7355" w:rsidRPr="00552C93">
        <w:rPr>
          <w:lang w:val="es-419"/>
        </w:rPr>
        <w:t xml:space="preserve"> Coordinación de Asuntos Humanitarios</w:t>
      </w:r>
      <w:r w:rsidR="001A7355" w:rsidRPr="00552C93" w:rsidDel="001A7355">
        <w:rPr>
          <w:lang w:val="es-419"/>
        </w:rPr>
        <w:t xml:space="preserve"> </w:t>
      </w:r>
      <w:r w:rsidR="00D54536" w:rsidRPr="00552C93">
        <w:rPr>
          <w:lang w:val="es-419"/>
        </w:rPr>
        <w:t>señala que, en 2022, el 65</w:t>
      </w:r>
      <w:r w:rsidR="001A7355">
        <w:rPr>
          <w:lang w:val="es-419"/>
        </w:rPr>
        <w:t> </w:t>
      </w:r>
      <w:r w:rsidR="00D54536" w:rsidRPr="00552C93">
        <w:rPr>
          <w:lang w:val="es-419"/>
        </w:rPr>
        <w:t>% de la población desplazada y el 70</w:t>
      </w:r>
      <w:r w:rsidR="001A7355">
        <w:rPr>
          <w:lang w:val="es-419"/>
        </w:rPr>
        <w:t> </w:t>
      </w:r>
      <w:r w:rsidR="00D54536" w:rsidRPr="00552C93">
        <w:rPr>
          <w:lang w:val="es-419"/>
        </w:rPr>
        <w:t xml:space="preserve">% de aquellas personas cuya movilidad ha sido indebidamente restringida son indígenas y afrodescendientes. Los departamentos más afectados por los desplazamientos y confinamientos son </w:t>
      </w:r>
      <w:r w:rsidR="009F4517">
        <w:rPr>
          <w:lang w:val="es-419"/>
        </w:rPr>
        <w:t>Arauca, Cauca, Chocó y Nariño</w:t>
      </w:r>
      <w:r w:rsidR="005204F8">
        <w:rPr>
          <w:rStyle w:val="FootnoteReference"/>
          <w:lang w:val="es-419"/>
        </w:rPr>
        <w:footnoteReference w:id="40"/>
      </w:r>
      <w:r w:rsidR="00D54536" w:rsidRPr="00552C93">
        <w:rPr>
          <w:lang w:val="es-419"/>
        </w:rPr>
        <w:t>.</w:t>
      </w:r>
    </w:p>
    <w:p w14:paraId="46A331D2" w14:textId="65B92837" w:rsidR="00D54536" w:rsidRPr="00552C93" w:rsidRDefault="00D70B7E" w:rsidP="00552C93">
      <w:pPr>
        <w:pStyle w:val="SingleTxtG"/>
        <w:rPr>
          <w:lang w:val="es-419"/>
        </w:rPr>
      </w:pPr>
      <w:r>
        <w:rPr>
          <w:lang w:val="es-419"/>
        </w:rPr>
        <w:lastRenderedPageBreak/>
        <w:t>43.</w:t>
      </w:r>
      <w:r>
        <w:rPr>
          <w:lang w:val="es-419"/>
        </w:rPr>
        <w:tab/>
      </w:r>
      <w:r w:rsidR="00D54536" w:rsidRPr="00552C93">
        <w:rPr>
          <w:lang w:val="es-419"/>
        </w:rPr>
        <w:t>La Misión de Verificación de las Naciones Unidas en Colombia verificó el asesinato de 50 excombatientes de las FARC-EP</w:t>
      </w:r>
      <w:r w:rsidR="001A7355" w:rsidRPr="001A7355">
        <w:rPr>
          <w:lang w:val="es-419"/>
        </w:rPr>
        <w:t xml:space="preserve"> </w:t>
      </w:r>
      <w:r w:rsidR="001A7355" w:rsidRPr="00552C93">
        <w:rPr>
          <w:lang w:val="es-419"/>
        </w:rPr>
        <w:t>en 2022</w:t>
      </w:r>
      <w:r w:rsidR="00D54536" w:rsidRPr="00552C93">
        <w:rPr>
          <w:lang w:val="es-419"/>
        </w:rPr>
        <w:t xml:space="preserve">, lo que elevó a 355 el número total de </w:t>
      </w:r>
      <w:r w:rsidR="005B77EA">
        <w:rPr>
          <w:lang w:val="es-419"/>
        </w:rPr>
        <w:t xml:space="preserve">asesinatos </w:t>
      </w:r>
      <w:r w:rsidR="00D54536" w:rsidRPr="00552C93">
        <w:rPr>
          <w:lang w:val="es-419"/>
        </w:rPr>
        <w:t>de excombatientes desde la firma del Acuerdo de Paz</w:t>
      </w:r>
      <w:r w:rsidR="00702D97">
        <w:rPr>
          <w:rStyle w:val="FootnoteReference"/>
          <w:lang w:val="es-419"/>
        </w:rPr>
        <w:footnoteReference w:id="41"/>
      </w:r>
      <w:r w:rsidR="00D54536" w:rsidRPr="00552C93">
        <w:rPr>
          <w:lang w:val="es-419"/>
        </w:rPr>
        <w:t>.</w:t>
      </w:r>
    </w:p>
    <w:p w14:paraId="0D02598C" w14:textId="0E68B100" w:rsidR="00D54536" w:rsidRPr="00552C93" w:rsidRDefault="00D70B7E" w:rsidP="00552C93">
      <w:pPr>
        <w:pStyle w:val="SingleTxtG"/>
        <w:rPr>
          <w:lang w:val="es-419"/>
        </w:rPr>
      </w:pPr>
      <w:r>
        <w:rPr>
          <w:lang w:val="es-419"/>
        </w:rPr>
        <w:t>44.</w:t>
      </w:r>
      <w:r>
        <w:rPr>
          <w:lang w:val="es-419"/>
        </w:rPr>
        <w:tab/>
      </w:r>
      <w:r w:rsidR="001A7355" w:rsidRPr="00094140">
        <w:t xml:space="preserve">El ACNUDH </w:t>
      </w:r>
      <w:r w:rsidR="00D54536" w:rsidRPr="00552C93">
        <w:rPr>
          <w:lang w:val="es-419"/>
        </w:rPr>
        <w:t xml:space="preserve">documentó casos de violencia </w:t>
      </w:r>
      <w:r w:rsidR="00D0616F">
        <w:rPr>
          <w:lang w:val="es-419"/>
        </w:rPr>
        <w:t>de</w:t>
      </w:r>
      <w:r w:rsidR="00D54536" w:rsidRPr="00552C93">
        <w:rPr>
          <w:lang w:val="es-419"/>
        </w:rPr>
        <w:t xml:space="preserve"> género (esclavitud sexual, uniones tempranas</w:t>
      </w:r>
      <w:r w:rsidR="00D0616F">
        <w:rPr>
          <w:lang w:val="es-419"/>
        </w:rPr>
        <w:t xml:space="preserve"> y</w:t>
      </w:r>
      <w:r w:rsidR="00D54536" w:rsidRPr="00552C93">
        <w:rPr>
          <w:lang w:val="es-419"/>
        </w:rPr>
        <w:t xml:space="preserve"> violaciones) en el marco del conflicto. Esta violencia </w:t>
      </w:r>
      <w:r w:rsidR="00D0616F">
        <w:rPr>
          <w:lang w:val="es-419"/>
        </w:rPr>
        <w:t>forma</w:t>
      </w:r>
      <w:r w:rsidR="00D0616F" w:rsidRPr="00552C93">
        <w:rPr>
          <w:lang w:val="es-419"/>
        </w:rPr>
        <w:t xml:space="preserve"> </w:t>
      </w:r>
      <w:r w:rsidR="00D54536" w:rsidRPr="00552C93">
        <w:rPr>
          <w:lang w:val="es-419"/>
        </w:rPr>
        <w:t xml:space="preserve">parte de las formas de ejercer control territorial de los grupos armados no estatales y también es ejercida como represalia a los familiares varones que pertenecen a grupos adversarios. Se han perpetrado feminicidios por parte de grupos armados no estatales cuyas víctimas </w:t>
      </w:r>
      <w:r w:rsidR="00A80AA0">
        <w:rPr>
          <w:lang w:val="es-419"/>
        </w:rPr>
        <w:t>fueron</w:t>
      </w:r>
      <w:r w:rsidR="00D54536" w:rsidRPr="00552C93">
        <w:rPr>
          <w:lang w:val="es-419"/>
        </w:rPr>
        <w:t xml:space="preserve"> acusadas de mantener relaciones con miembros de otros grupos armados o de pertenecer a estos. La presencia de grupos armados no estatales conlleva restricciones a la libre expresión de las personas LGBTIQ+ y </w:t>
      </w:r>
      <w:r w:rsidR="00D0616F">
        <w:rPr>
          <w:lang w:val="es-419"/>
        </w:rPr>
        <w:t xml:space="preserve">actos de </w:t>
      </w:r>
      <w:r w:rsidR="00D54536" w:rsidRPr="00552C93">
        <w:rPr>
          <w:lang w:val="es-419"/>
        </w:rPr>
        <w:t>violencia contra ellas.</w:t>
      </w:r>
    </w:p>
    <w:p w14:paraId="4DD3E1A4" w14:textId="7A59638F" w:rsidR="00D54536" w:rsidRPr="00552C93" w:rsidRDefault="00D70B7E" w:rsidP="00552C93">
      <w:pPr>
        <w:pStyle w:val="SingleTxtG"/>
        <w:rPr>
          <w:lang w:val="es-419"/>
        </w:rPr>
      </w:pPr>
      <w:r>
        <w:rPr>
          <w:lang w:val="es-419"/>
        </w:rPr>
        <w:t>45.</w:t>
      </w:r>
      <w:r>
        <w:rPr>
          <w:lang w:val="es-419"/>
        </w:rPr>
        <w:tab/>
      </w:r>
      <w:r w:rsidR="00D0616F" w:rsidRPr="00094140">
        <w:t xml:space="preserve">El ACNUDH </w:t>
      </w:r>
      <w:r w:rsidR="00D54536" w:rsidRPr="00552C93">
        <w:rPr>
          <w:lang w:val="es-419"/>
        </w:rPr>
        <w:t xml:space="preserve">recibió información sobre el involucramiento de grupos armados no estatales en el traslado de mujeres a territorios de Chocó y Nariño, lo que genera preocupaciones por riesgos de posible trata con fines de explotación sexual, incluyendo </w:t>
      </w:r>
      <w:r w:rsidR="00D0616F">
        <w:rPr>
          <w:lang w:val="es-419"/>
        </w:rPr>
        <w:t xml:space="preserve">de </w:t>
      </w:r>
      <w:r w:rsidR="00D54536" w:rsidRPr="00552C93">
        <w:rPr>
          <w:lang w:val="es-419"/>
        </w:rPr>
        <w:t xml:space="preserve">niñas. En algunos casos, los grupos estarían seleccionando y trasladando directamente a las mujeres. </w:t>
      </w:r>
      <w:r w:rsidR="00D0616F" w:rsidRPr="00094140">
        <w:t xml:space="preserve">El ACNUDH </w:t>
      </w:r>
      <w:r w:rsidR="00D54536" w:rsidRPr="00552C93">
        <w:rPr>
          <w:lang w:val="es-419"/>
        </w:rPr>
        <w:t xml:space="preserve">también ha conocido casos de feminicidios, incluyendo el de una </w:t>
      </w:r>
      <w:r w:rsidR="005B77EA">
        <w:rPr>
          <w:lang w:val="es-419"/>
        </w:rPr>
        <w:t>niña</w:t>
      </w:r>
      <w:r w:rsidR="00D54536" w:rsidRPr="00552C93">
        <w:rPr>
          <w:lang w:val="es-419"/>
        </w:rPr>
        <w:t>, posiblemente víctimas de trata.</w:t>
      </w:r>
    </w:p>
    <w:p w14:paraId="6D8FDA36" w14:textId="253B776D" w:rsidR="00D54536" w:rsidRPr="00552C93" w:rsidRDefault="00D70B7E" w:rsidP="00552C93">
      <w:pPr>
        <w:pStyle w:val="SingleTxtG"/>
        <w:rPr>
          <w:lang w:val="es-419"/>
        </w:rPr>
      </w:pPr>
      <w:r>
        <w:rPr>
          <w:lang w:val="es-419"/>
        </w:rPr>
        <w:t>46.</w:t>
      </w:r>
      <w:r>
        <w:rPr>
          <w:lang w:val="es-419"/>
        </w:rPr>
        <w:tab/>
      </w:r>
      <w:r w:rsidR="00D54536" w:rsidRPr="00552C93">
        <w:rPr>
          <w:lang w:val="es-419"/>
        </w:rPr>
        <w:t xml:space="preserve">En 2022, </w:t>
      </w:r>
      <w:r w:rsidR="00D0616F">
        <w:rPr>
          <w:lang w:val="es-419"/>
        </w:rPr>
        <w:t>e</w:t>
      </w:r>
      <w:r w:rsidR="00D0616F" w:rsidRPr="00094140">
        <w:t xml:space="preserve">l ACNUDH </w:t>
      </w:r>
      <w:r w:rsidR="00D54536" w:rsidRPr="00552C93">
        <w:rPr>
          <w:lang w:val="es-419"/>
        </w:rPr>
        <w:t>conoció 115 casos de niños, niñas y adolescentes reclutados por grupos armados no estatales (74 niños, 37 niñas</w:t>
      </w:r>
      <w:r w:rsidR="00D0616F">
        <w:rPr>
          <w:lang w:val="es-419"/>
        </w:rPr>
        <w:t xml:space="preserve"> y</w:t>
      </w:r>
      <w:r w:rsidR="00D54536" w:rsidRPr="00552C93">
        <w:rPr>
          <w:lang w:val="es-419"/>
        </w:rPr>
        <w:t xml:space="preserve"> 4 sin información sobre sexo). De estos, 20 habrían sido asesinados (11 niñas y 9 niños) y 12 niñas habrían sufrido violencia sexual. Existe un alto subregistro de estas violaciones y abusos. El débil acceso a la alimentación y a un nivel de vida adecuado, la desprotección frente a la violencia </w:t>
      </w:r>
      <w:r w:rsidR="00D0616F">
        <w:rPr>
          <w:lang w:val="es-419"/>
        </w:rPr>
        <w:t>de</w:t>
      </w:r>
      <w:r w:rsidR="00D54536" w:rsidRPr="00552C93">
        <w:rPr>
          <w:lang w:val="es-419"/>
        </w:rPr>
        <w:t xml:space="preserve"> género y la pérdida cultural de los pueblos étnicos por el impacto del conflicto generan una mayor vulnerabilidad de la niñez frente a estas prácticas. Según </w:t>
      </w:r>
      <w:r w:rsidR="005B77EA">
        <w:rPr>
          <w:lang w:val="es-419"/>
        </w:rPr>
        <w:t xml:space="preserve">los </w:t>
      </w:r>
      <w:r w:rsidR="00D54536" w:rsidRPr="00552C93">
        <w:rPr>
          <w:lang w:val="es-419"/>
        </w:rPr>
        <w:t xml:space="preserve">estándares internacionales </w:t>
      </w:r>
      <w:r w:rsidR="005B77EA">
        <w:rPr>
          <w:lang w:val="es-419"/>
        </w:rPr>
        <w:t xml:space="preserve">de derechos humanos, </w:t>
      </w:r>
      <w:r w:rsidR="00D54536" w:rsidRPr="00552C93">
        <w:rPr>
          <w:lang w:val="es-419"/>
        </w:rPr>
        <w:t>los grupos armados no estatales no deben, bajo ninguna circunstancia, reclutar o utilizar en hostilidades a menores de 18 años</w:t>
      </w:r>
      <w:r w:rsidR="00D0616F">
        <w:rPr>
          <w:lang w:val="es-419"/>
        </w:rPr>
        <w:t>,</w:t>
      </w:r>
      <w:r w:rsidR="00D54536" w:rsidRPr="00552C93">
        <w:rPr>
          <w:lang w:val="es-419"/>
        </w:rPr>
        <w:t xml:space="preserve"> y el Estado tiene la obligación de tomar las medidas posibles para impedir ese reclutamiento y utilización, desmovilizar a los niños y las niñas reclutad</w:t>
      </w:r>
      <w:r w:rsidR="00D0616F">
        <w:rPr>
          <w:lang w:val="es-419"/>
        </w:rPr>
        <w:t>o</w:t>
      </w:r>
      <w:r w:rsidR="00D54536" w:rsidRPr="00552C93">
        <w:rPr>
          <w:lang w:val="es-419"/>
        </w:rPr>
        <w:t>s y brindarles toda la asistencia necesaria para su recuperación física y psicológica</w:t>
      </w:r>
      <w:r w:rsidR="00D54536" w:rsidRPr="00552C93" w:rsidDel="00BB7094">
        <w:rPr>
          <w:lang w:val="es-419"/>
        </w:rPr>
        <w:t xml:space="preserve"> </w:t>
      </w:r>
      <w:r w:rsidR="00D54536" w:rsidRPr="00552C93">
        <w:rPr>
          <w:lang w:val="es-419"/>
        </w:rPr>
        <w:t>y su reintegración social</w:t>
      </w:r>
      <w:r w:rsidR="00345B7C">
        <w:rPr>
          <w:rStyle w:val="FootnoteReference"/>
          <w:lang w:val="es-419"/>
        </w:rPr>
        <w:footnoteReference w:id="42"/>
      </w:r>
      <w:r w:rsidR="00D54536" w:rsidRPr="00552C93">
        <w:rPr>
          <w:lang w:val="es-419"/>
        </w:rPr>
        <w:t>.</w:t>
      </w:r>
      <w:r w:rsidR="00D0616F">
        <w:rPr>
          <w:lang w:val="es-419"/>
        </w:rPr>
        <w:t xml:space="preserve"> </w:t>
      </w:r>
    </w:p>
    <w:p w14:paraId="73744B69" w14:textId="31DEC329" w:rsidR="00D54536" w:rsidRPr="00552C93" w:rsidRDefault="00D70B7E" w:rsidP="00552C93">
      <w:pPr>
        <w:pStyle w:val="SingleTxtG"/>
        <w:rPr>
          <w:lang w:val="es-419"/>
        </w:rPr>
      </w:pPr>
      <w:r>
        <w:rPr>
          <w:lang w:val="es-419"/>
        </w:rPr>
        <w:t>47.</w:t>
      </w:r>
      <w:r>
        <w:rPr>
          <w:lang w:val="es-419"/>
        </w:rPr>
        <w:tab/>
      </w:r>
      <w:r w:rsidR="00D54536" w:rsidRPr="00552C93">
        <w:rPr>
          <w:lang w:val="es-419"/>
        </w:rPr>
        <w:t xml:space="preserve">Es necesario reforzar los enfoques de género y étnico en las medidas de prevención y protección frente al reclutamiento, particularmente donde la presencia del Estado es escasa. Además, es necesario respaldar a las autoridades locales y étnico-territoriales que alertan de estas situaciones. La mayoría de los casos conocidos por </w:t>
      </w:r>
      <w:r w:rsidR="00D0616F">
        <w:rPr>
          <w:lang w:val="es-419"/>
        </w:rPr>
        <w:t>e</w:t>
      </w:r>
      <w:r w:rsidR="00D0616F" w:rsidRPr="00094140">
        <w:t xml:space="preserve">l ACNUDH </w:t>
      </w:r>
      <w:r w:rsidR="00D54536" w:rsidRPr="00552C93">
        <w:rPr>
          <w:lang w:val="es-419"/>
        </w:rPr>
        <w:t>han sido detectados por la institucionalidad tras la recuperación, muerte o fuga de</w:t>
      </w:r>
      <w:r w:rsidR="005B77EA">
        <w:rPr>
          <w:lang w:val="es-419"/>
        </w:rPr>
        <w:t xml:space="preserve"> la persona </w:t>
      </w:r>
      <w:r w:rsidR="00D54536" w:rsidRPr="00552C93">
        <w:rPr>
          <w:lang w:val="es-419"/>
        </w:rPr>
        <w:t xml:space="preserve">y no al momento del reclutamiento. Además, los estereotipos de género hacen que, en muchas ocasiones, el reclutamiento de niñas, especialmente con fines de explotación sexual, no sea reconocido como una violación de sus derechos, llevando a una actuación institucional deficiente. Por otro lado, cuando los niños, niñas y adolescentes desvinculados no acceden </w:t>
      </w:r>
      <w:r w:rsidR="00D0616F">
        <w:rPr>
          <w:lang w:val="es-419"/>
        </w:rPr>
        <w:t xml:space="preserve">a </w:t>
      </w:r>
      <w:r w:rsidR="00D54536" w:rsidRPr="00552C93">
        <w:rPr>
          <w:lang w:val="es-419"/>
        </w:rPr>
        <w:t>las rutas de protección</w:t>
      </w:r>
      <w:r w:rsidR="00D0616F">
        <w:rPr>
          <w:lang w:val="es-419"/>
        </w:rPr>
        <w:t xml:space="preserve"> </w:t>
      </w:r>
      <w:r w:rsidR="00D0616F" w:rsidRPr="00552C93">
        <w:rPr>
          <w:lang w:val="es-419"/>
        </w:rPr>
        <w:t>o no permanecen en</w:t>
      </w:r>
      <w:r w:rsidR="00D0616F">
        <w:rPr>
          <w:lang w:val="es-419"/>
        </w:rPr>
        <w:t xml:space="preserve"> ellas</w:t>
      </w:r>
      <w:r w:rsidR="00D54536" w:rsidRPr="00552C93">
        <w:rPr>
          <w:lang w:val="es-419"/>
        </w:rPr>
        <w:t>, no existe un seguimiento institucional frente a su situación, lo que les pone en riesgo de volver a ser reclutados.</w:t>
      </w:r>
      <w:r w:rsidR="00D0616F">
        <w:rPr>
          <w:lang w:val="es-419"/>
        </w:rPr>
        <w:t xml:space="preserve"> </w:t>
      </w:r>
    </w:p>
    <w:p w14:paraId="300EEC6C" w14:textId="44BFB538" w:rsidR="00D54536" w:rsidRPr="00552C93" w:rsidRDefault="00D70B7E" w:rsidP="00552C93">
      <w:pPr>
        <w:pStyle w:val="SingleTxtG"/>
        <w:rPr>
          <w:u w:val="single"/>
          <w:lang w:val="es-MX"/>
        </w:rPr>
      </w:pPr>
      <w:r>
        <w:t>48.</w:t>
      </w:r>
      <w:r>
        <w:tab/>
      </w:r>
      <w:r w:rsidR="00D54536" w:rsidRPr="00552C93">
        <w:t xml:space="preserve">En el caso de </w:t>
      </w:r>
      <w:r w:rsidR="00D0616F">
        <w:t>P</w:t>
      </w:r>
      <w:r w:rsidR="00D54536" w:rsidRPr="00552C93">
        <w:t xml:space="preserve">ueblos </w:t>
      </w:r>
      <w:r w:rsidR="00D0616F">
        <w:t>I</w:t>
      </w:r>
      <w:r w:rsidR="00D54536" w:rsidRPr="00552C93">
        <w:t xml:space="preserve">ndígenas y afrodescendientes, la violencia de grupos armados no estatales y organizaciones criminales, que incluye el desconocimiento de sus autoridades, el desplazamiento y el despojo territorial, afecta su </w:t>
      </w:r>
      <w:r w:rsidR="00D54536" w:rsidRPr="00552C93">
        <w:rPr>
          <w:lang w:val="es-MX"/>
        </w:rPr>
        <w:t>pervivencia física y cultural. Estos grupos les fuerzan a vincularse a economías ilícitas e imponen restricciones a sus costumbres, lo que les obliga a abandonar las prácticas ancestrales que son la base de su bienestar, identidad cultural y autonomía. Los pueblos han desarrollado diversas formas de resistencia ante las presiones de los grupos armados no estales y organizaciones criminales.</w:t>
      </w:r>
    </w:p>
    <w:p w14:paraId="14A680F4" w14:textId="0997F72B" w:rsidR="00D54536" w:rsidRPr="00552C93" w:rsidRDefault="00D70B7E" w:rsidP="00552C93">
      <w:pPr>
        <w:pStyle w:val="SingleTxtG"/>
        <w:rPr>
          <w:lang w:val="es-419"/>
        </w:rPr>
      </w:pPr>
      <w:r>
        <w:rPr>
          <w:lang w:val="es-419"/>
        </w:rPr>
        <w:t>49.</w:t>
      </w:r>
      <w:r>
        <w:rPr>
          <w:lang w:val="es-419"/>
        </w:rPr>
        <w:tab/>
      </w:r>
      <w:r w:rsidR="00D54536" w:rsidRPr="00552C93">
        <w:rPr>
          <w:lang w:val="es-419"/>
        </w:rPr>
        <w:t xml:space="preserve">Datos del Observatorio de Derechos Humanos y Defensa Nacional indican que 103 miembros de la Fuerza Pública murieron por acciones de </w:t>
      </w:r>
      <w:r w:rsidR="005B77EA">
        <w:rPr>
          <w:lang w:val="es-419"/>
        </w:rPr>
        <w:t xml:space="preserve">organizaciones </w:t>
      </w:r>
      <w:r w:rsidR="00D54536" w:rsidRPr="00552C93">
        <w:rPr>
          <w:lang w:val="es-419"/>
        </w:rPr>
        <w:t>criminales y grupos armados no estatales en 2022</w:t>
      </w:r>
      <w:r w:rsidR="000C67E1">
        <w:rPr>
          <w:rStyle w:val="FootnoteReference"/>
          <w:lang w:val="es-419"/>
        </w:rPr>
        <w:footnoteReference w:id="43"/>
      </w:r>
      <w:r w:rsidR="00D54536" w:rsidRPr="00552C93">
        <w:rPr>
          <w:lang w:val="es-419"/>
        </w:rPr>
        <w:t>. En San Luis (Huila)</w:t>
      </w:r>
      <w:r w:rsidR="00D0616F">
        <w:rPr>
          <w:lang w:val="es-419"/>
        </w:rPr>
        <w:t>,</w:t>
      </w:r>
      <w:r w:rsidR="00D54536" w:rsidRPr="00552C93">
        <w:rPr>
          <w:lang w:val="es-419"/>
        </w:rPr>
        <w:t xml:space="preserve"> siete policías, algunos menores de 20 </w:t>
      </w:r>
      <w:r w:rsidR="00D54536" w:rsidRPr="00552C93">
        <w:rPr>
          <w:lang w:val="es-419"/>
        </w:rPr>
        <w:lastRenderedPageBreak/>
        <w:t xml:space="preserve">años, murieron en septiembre luego de ser víctimas de un ataque por parte </w:t>
      </w:r>
      <w:r w:rsidR="00335BE8">
        <w:rPr>
          <w:lang w:val="es-419"/>
        </w:rPr>
        <w:t>de un grupo armado no estatal.</w:t>
      </w:r>
    </w:p>
    <w:p w14:paraId="6F7A625F" w14:textId="49C81AA2" w:rsidR="00D54536" w:rsidRPr="00552C93" w:rsidRDefault="00D70B7E" w:rsidP="00552C93">
      <w:pPr>
        <w:pStyle w:val="SingleTxtG"/>
        <w:rPr>
          <w:u w:val="single"/>
          <w:lang w:val="es-MX"/>
        </w:rPr>
      </w:pPr>
      <w:r>
        <w:rPr>
          <w:lang w:val="es-MX"/>
        </w:rPr>
        <w:t>50.</w:t>
      </w:r>
      <w:r>
        <w:rPr>
          <w:lang w:val="es-MX"/>
        </w:rPr>
        <w:tab/>
      </w:r>
      <w:r w:rsidR="00D54536" w:rsidRPr="00552C93">
        <w:rPr>
          <w:lang w:val="es-MX"/>
        </w:rPr>
        <w:t>El ACNUDH condena todas estas formas de violencia que afectan gravemente los derechos humanos. Afrontar esta violencia requiere un compromiso integral del Estado, incluida una mayor articulación interinstitucional. Se requiere garantizar de manera prioritaria los derechos económicos, sociales y culturales, incluidos los compromisos estatales contenidos en el Acuerdo de Paz en materia de reforma rural integral y de política de drogas.</w:t>
      </w:r>
    </w:p>
    <w:p w14:paraId="7994D3C8" w14:textId="6C5969D2" w:rsidR="00D54536" w:rsidRPr="00552C93" w:rsidRDefault="00D70B7E" w:rsidP="00552C93">
      <w:pPr>
        <w:pStyle w:val="SingleTxtG"/>
        <w:rPr>
          <w:lang w:val="es-MX"/>
        </w:rPr>
      </w:pPr>
      <w:r>
        <w:rPr>
          <w:lang w:val="es-MX"/>
        </w:rPr>
        <w:t>51.</w:t>
      </w:r>
      <w:r>
        <w:rPr>
          <w:lang w:val="es-MX"/>
        </w:rPr>
        <w:tab/>
      </w:r>
      <w:r w:rsidR="00D54536" w:rsidRPr="00552C93">
        <w:rPr>
          <w:lang w:val="es-MX"/>
        </w:rPr>
        <w:t xml:space="preserve">Es oportuno que el cambio de enfoque de la política de seguridad por parte del Gobierno hacia un enfoque de seguridad humana se complemente con una actuación de la Fuerza Pública orientada primordialmente a la protección de las comunidades en mayor riesgo. La </w:t>
      </w:r>
      <w:r w:rsidR="005B77EA">
        <w:rPr>
          <w:lang w:val="es-MX"/>
        </w:rPr>
        <w:t xml:space="preserve">adopción </w:t>
      </w:r>
      <w:r w:rsidR="00D54536" w:rsidRPr="00552C93">
        <w:rPr>
          <w:lang w:val="es-MX"/>
        </w:rPr>
        <w:t>de una política pública para el desmantelamiento de organizaciones criminales por parte de la Comisión Nacional de Garantías de Seguridad que incluya la afectación del patrimonio de l</w:t>
      </w:r>
      <w:r w:rsidR="005B77EA">
        <w:rPr>
          <w:lang w:val="es-MX"/>
        </w:rPr>
        <w:t xml:space="preserve">as organizaciones </w:t>
      </w:r>
      <w:r w:rsidR="00D54536" w:rsidRPr="00552C93">
        <w:rPr>
          <w:lang w:val="es-MX"/>
        </w:rPr>
        <w:t xml:space="preserve">criminales contribuiría a este objetivo. Asimismo, </w:t>
      </w:r>
      <w:r w:rsidR="00D0616F">
        <w:rPr>
          <w:lang w:val="es-MX"/>
        </w:rPr>
        <w:t>son</w:t>
      </w:r>
      <w:r w:rsidR="00D0616F" w:rsidRPr="00552C93">
        <w:rPr>
          <w:lang w:val="es-MX"/>
        </w:rPr>
        <w:t xml:space="preserve"> </w:t>
      </w:r>
      <w:r w:rsidR="00D54536" w:rsidRPr="00552C93">
        <w:rPr>
          <w:lang w:val="es-MX"/>
        </w:rPr>
        <w:t>necesario</w:t>
      </w:r>
      <w:r w:rsidR="00D0616F">
        <w:rPr>
          <w:lang w:val="es-MX"/>
        </w:rPr>
        <w:t>s</w:t>
      </w:r>
      <w:r w:rsidR="00D54536" w:rsidRPr="00552C93">
        <w:rPr>
          <w:lang w:val="es-MX"/>
        </w:rPr>
        <w:t xml:space="preserve"> un compromiso del Estado y la coordinación de acciones preventivas que fortalezcan y hagan eficaz el Sistema de Alertas Tempranas de la Defensoría del Pueblo, una herramienta preventiva que debe ir de la mano de la política de “paz total” y el nuevo enfoque de seguridad humana.</w:t>
      </w:r>
    </w:p>
    <w:p w14:paraId="19FBD21F" w14:textId="1F752AC9" w:rsidR="00D54536" w:rsidRPr="001720EE" w:rsidRDefault="00F04C12" w:rsidP="00AB3D5F">
      <w:pPr>
        <w:pStyle w:val="H1G"/>
        <w:rPr>
          <w:bCs/>
          <w:sz w:val="28"/>
          <w:szCs w:val="28"/>
        </w:rPr>
      </w:pPr>
      <w:r>
        <w:tab/>
        <w:t>B.</w:t>
      </w:r>
      <w:r>
        <w:tab/>
      </w:r>
      <w:r w:rsidR="001720EE">
        <w:t>F</w:t>
      </w:r>
      <w:r w:rsidR="00D54536" w:rsidRPr="001720EE">
        <w:t>uerza Pública</w:t>
      </w:r>
    </w:p>
    <w:p w14:paraId="048F8415" w14:textId="6F7A9C5B" w:rsidR="00D54536" w:rsidRPr="00F04C12" w:rsidRDefault="00F04C12" w:rsidP="00F04C12">
      <w:pPr>
        <w:pStyle w:val="SingleTxtG"/>
        <w:rPr>
          <w:lang w:val="es-419"/>
        </w:rPr>
      </w:pPr>
      <w:r>
        <w:rPr>
          <w:lang w:val="es-419"/>
        </w:rPr>
        <w:t>52.</w:t>
      </w:r>
      <w:r>
        <w:rPr>
          <w:lang w:val="es-419"/>
        </w:rPr>
        <w:tab/>
      </w:r>
      <w:r w:rsidR="00D54536" w:rsidRPr="00F04C12">
        <w:rPr>
          <w:lang w:val="es-419"/>
        </w:rPr>
        <w:t xml:space="preserve">El ACNUDH recibió 71 alegaciones de privaciones arbitrarias </w:t>
      </w:r>
      <w:r w:rsidR="00D0616F">
        <w:rPr>
          <w:lang w:val="es-419"/>
        </w:rPr>
        <w:t>de</w:t>
      </w:r>
      <w:r w:rsidR="00D0616F" w:rsidRPr="00F04C12">
        <w:rPr>
          <w:lang w:val="es-419"/>
        </w:rPr>
        <w:t xml:space="preserve"> </w:t>
      </w:r>
      <w:r w:rsidR="00D54536" w:rsidRPr="00F04C12">
        <w:rPr>
          <w:lang w:val="es-419"/>
        </w:rPr>
        <w:t xml:space="preserve">la vida que habrían presuntamente cometido integrantes de la Policía y las Fuerzas Militares. Estas alegaciones se registraron en 19 departamentos, siendo los más afectados Antioquia, Cauca, Nariño y Norte de Santander. </w:t>
      </w:r>
      <w:r w:rsidR="00D0616F" w:rsidRPr="00F04C12">
        <w:rPr>
          <w:lang w:val="es-419"/>
        </w:rPr>
        <w:t xml:space="preserve">El ACNUDH </w:t>
      </w:r>
      <w:r w:rsidR="00D54536" w:rsidRPr="00F04C12">
        <w:rPr>
          <w:lang w:val="es-419"/>
        </w:rPr>
        <w:t xml:space="preserve">transmitió las 71 alegaciones al Ministerio de Defensa, que consideró que en 41 casos no se </w:t>
      </w:r>
      <w:r w:rsidR="00D0616F">
        <w:rPr>
          <w:lang w:val="es-419"/>
        </w:rPr>
        <w:t>había cometido</w:t>
      </w:r>
      <w:r w:rsidR="00D0616F" w:rsidRPr="00F04C12">
        <w:rPr>
          <w:lang w:val="es-419"/>
        </w:rPr>
        <w:t xml:space="preserve"> </w:t>
      </w:r>
      <w:r w:rsidR="00D54536" w:rsidRPr="00F04C12">
        <w:rPr>
          <w:lang w:val="es-419"/>
        </w:rPr>
        <w:t xml:space="preserve">una violación </w:t>
      </w:r>
      <w:r w:rsidR="00D0616F">
        <w:rPr>
          <w:lang w:val="es-419"/>
        </w:rPr>
        <w:t>del</w:t>
      </w:r>
      <w:r w:rsidR="00D0616F" w:rsidRPr="00F04C12">
        <w:rPr>
          <w:lang w:val="es-419"/>
        </w:rPr>
        <w:t xml:space="preserve"> </w:t>
      </w:r>
      <w:r w:rsidR="00D54536" w:rsidRPr="00F04C12">
        <w:rPr>
          <w:lang w:val="es-419"/>
        </w:rPr>
        <w:t>derecho a la vida, ya que se habrían respetado las normas y estándares internacionales de derechos humanos sobre el uso de la fuerza y de armas de fuego</w:t>
      </w:r>
      <w:r w:rsidR="00A80AA0">
        <w:rPr>
          <w:lang w:val="es-419"/>
        </w:rPr>
        <w:t>,</w:t>
      </w:r>
      <w:r w:rsidR="00D0616F">
        <w:rPr>
          <w:lang w:val="es-419"/>
        </w:rPr>
        <w:t xml:space="preserve"> y</w:t>
      </w:r>
      <w:r w:rsidR="00D54536" w:rsidRPr="00F04C12">
        <w:rPr>
          <w:lang w:val="es-419"/>
        </w:rPr>
        <w:t xml:space="preserve"> el derecho internacional humanitario, o se trató de alegaciones que no involucran a la Fuerza Pública. El Ministerio de Defensa también informó que ha tomado acción en 30 alegaciones en las cuales podría haberse conculcado el derecho a la vida, incluyendo</w:t>
      </w:r>
      <w:r w:rsidR="00616F41">
        <w:rPr>
          <w:lang w:val="es-419"/>
        </w:rPr>
        <w:t>,</w:t>
      </w:r>
      <w:r w:rsidR="00D54536" w:rsidRPr="00F04C12">
        <w:rPr>
          <w:lang w:val="es-419"/>
        </w:rPr>
        <w:t xml:space="preserve"> en algunos casos</w:t>
      </w:r>
      <w:r w:rsidR="00616F41">
        <w:rPr>
          <w:lang w:val="es-419"/>
        </w:rPr>
        <w:t>,</w:t>
      </w:r>
      <w:r w:rsidR="00D54536" w:rsidRPr="00F04C12">
        <w:rPr>
          <w:lang w:val="es-419"/>
        </w:rPr>
        <w:t xml:space="preserve"> acciones penales y/o disciplinarias</w:t>
      </w:r>
      <w:r w:rsidR="000C67E1">
        <w:rPr>
          <w:rStyle w:val="FootnoteReference"/>
          <w:lang w:val="es-419"/>
        </w:rPr>
        <w:footnoteReference w:id="44"/>
      </w:r>
      <w:r w:rsidR="000F7E08">
        <w:rPr>
          <w:lang w:val="es-419"/>
        </w:rPr>
        <w:t>.</w:t>
      </w:r>
      <w:r w:rsidR="00D0616F">
        <w:rPr>
          <w:lang w:val="es-419"/>
        </w:rPr>
        <w:t xml:space="preserve"> </w:t>
      </w:r>
    </w:p>
    <w:p w14:paraId="50398A53" w14:textId="543EFEF0" w:rsidR="00D54536" w:rsidRPr="00F04C12" w:rsidRDefault="00F04C12" w:rsidP="00F04C12">
      <w:pPr>
        <w:pStyle w:val="SingleTxtG"/>
        <w:rPr>
          <w:lang w:val="es-419"/>
        </w:rPr>
      </w:pPr>
      <w:r>
        <w:rPr>
          <w:lang w:val="es-419"/>
        </w:rPr>
        <w:t>53.</w:t>
      </w:r>
      <w:r>
        <w:rPr>
          <w:lang w:val="es-419"/>
        </w:rPr>
        <w:tab/>
      </w:r>
      <w:r w:rsidR="00D54536" w:rsidRPr="00F04C12">
        <w:rPr>
          <w:lang w:val="es-419"/>
        </w:rPr>
        <w:t xml:space="preserve">Los sucesos ocurridos </w:t>
      </w:r>
      <w:r w:rsidR="00A80AA0" w:rsidRPr="00F04C12">
        <w:rPr>
          <w:lang w:val="es-419"/>
        </w:rPr>
        <w:t xml:space="preserve">en marzo </w:t>
      </w:r>
      <w:r w:rsidR="00D54536" w:rsidRPr="00F04C12">
        <w:rPr>
          <w:lang w:val="es-419"/>
        </w:rPr>
        <w:t xml:space="preserve">en la vereda de Alto Remanso, </w:t>
      </w:r>
      <w:r w:rsidR="00D0616F">
        <w:rPr>
          <w:lang w:val="es-419"/>
        </w:rPr>
        <w:t xml:space="preserve">en </w:t>
      </w:r>
      <w:r w:rsidR="00D54536" w:rsidRPr="00F04C12">
        <w:rPr>
          <w:lang w:val="es-419"/>
        </w:rPr>
        <w:t>Puerto Leguízamo (Putumayo)</w:t>
      </w:r>
      <w:r w:rsidR="00A80AA0">
        <w:rPr>
          <w:lang w:val="es-419"/>
        </w:rPr>
        <w:t>,</w:t>
      </w:r>
      <w:r w:rsidR="00D54536" w:rsidRPr="00F04C12">
        <w:rPr>
          <w:lang w:val="es-419"/>
        </w:rPr>
        <w:t xml:space="preserve"> donde 11 personas perdieron la vida en el desarrollo de una acción del Ejército, así como los hechos </w:t>
      </w:r>
      <w:r w:rsidR="00A80AA0">
        <w:rPr>
          <w:lang w:val="es-419"/>
        </w:rPr>
        <w:t xml:space="preserve">que tuvieron lugar </w:t>
      </w:r>
      <w:r w:rsidR="00D54536" w:rsidRPr="00F04C12">
        <w:rPr>
          <w:lang w:val="es-419"/>
        </w:rPr>
        <w:t>en el corregimiento de Chocho (Sucre)</w:t>
      </w:r>
      <w:r w:rsidR="00C618B5">
        <w:rPr>
          <w:lang w:val="es-419"/>
        </w:rPr>
        <w:t>,</w:t>
      </w:r>
      <w:r w:rsidR="00D54536" w:rsidRPr="00F04C12">
        <w:rPr>
          <w:lang w:val="es-419"/>
        </w:rPr>
        <w:t xml:space="preserve"> donde miembros de la Policía Nacional privaron arbitrariamente de la vida a </w:t>
      </w:r>
      <w:r w:rsidR="00C618B5">
        <w:rPr>
          <w:lang w:val="es-419"/>
        </w:rPr>
        <w:t>3</w:t>
      </w:r>
      <w:r w:rsidR="00C618B5" w:rsidRPr="00F04C12">
        <w:rPr>
          <w:lang w:val="es-419"/>
        </w:rPr>
        <w:t xml:space="preserve"> </w:t>
      </w:r>
      <w:r w:rsidR="00D54536" w:rsidRPr="00F04C12">
        <w:rPr>
          <w:lang w:val="es-419"/>
        </w:rPr>
        <w:t>jóvenes, indican la urgencia de avanzar en la reforma a las doctrinas militar y policial, y que se priorice la protección de la población civil en el diseño y ejecución de las operaciones militares y operativos policiales.</w:t>
      </w:r>
    </w:p>
    <w:p w14:paraId="21A6C831" w14:textId="7001AE04" w:rsidR="00D54536" w:rsidRPr="00F04C12" w:rsidRDefault="00F04C12" w:rsidP="00F04C12">
      <w:pPr>
        <w:pStyle w:val="SingleTxtG"/>
        <w:rPr>
          <w:lang w:val="es-419"/>
        </w:rPr>
      </w:pPr>
      <w:r>
        <w:rPr>
          <w:lang w:val="es-419"/>
        </w:rPr>
        <w:t>54.</w:t>
      </w:r>
      <w:r>
        <w:rPr>
          <w:lang w:val="es-419"/>
        </w:rPr>
        <w:tab/>
      </w:r>
      <w:r w:rsidR="00C618B5" w:rsidRPr="00F04C12">
        <w:rPr>
          <w:lang w:val="es-419"/>
        </w:rPr>
        <w:t xml:space="preserve">El ACNUDH </w:t>
      </w:r>
      <w:r w:rsidR="00616F41">
        <w:rPr>
          <w:lang w:val="es-419"/>
        </w:rPr>
        <w:t xml:space="preserve">recibió </w:t>
      </w:r>
      <w:r w:rsidR="00D54536" w:rsidRPr="00F04C12">
        <w:rPr>
          <w:lang w:val="es-419"/>
        </w:rPr>
        <w:t xml:space="preserve">alegaciones de presuntos casos de tortura, tratos crueles y violencia sexual cuando las víctimas se encontraban bajo custodia de la Policía. En la estación de Policía de Chambacú, </w:t>
      </w:r>
      <w:r w:rsidR="00C618B5">
        <w:rPr>
          <w:lang w:val="es-419"/>
        </w:rPr>
        <w:t xml:space="preserve">en </w:t>
      </w:r>
      <w:r w:rsidR="00D54536" w:rsidRPr="00F04C12">
        <w:rPr>
          <w:lang w:val="es-419"/>
        </w:rPr>
        <w:t>Cartagena</w:t>
      </w:r>
      <w:r w:rsidR="00616F41">
        <w:rPr>
          <w:lang w:val="es-419"/>
        </w:rPr>
        <w:t xml:space="preserve"> (</w:t>
      </w:r>
      <w:r w:rsidR="00D54536" w:rsidRPr="00F04C12">
        <w:rPr>
          <w:lang w:val="es-419"/>
        </w:rPr>
        <w:t>Bolívar</w:t>
      </w:r>
      <w:r w:rsidR="00616F41">
        <w:rPr>
          <w:lang w:val="es-419"/>
        </w:rPr>
        <w:t>)</w:t>
      </w:r>
      <w:r w:rsidR="00D54536" w:rsidRPr="00F04C12">
        <w:rPr>
          <w:lang w:val="es-419"/>
        </w:rPr>
        <w:t>, 11 personas que se encontraban detenidas habrían sido víctimas de graves actos de violencia sexual por parte de otros detenidos sin que la policía lo hubie</w:t>
      </w:r>
      <w:r w:rsidR="00A80AA0">
        <w:rPr>
          <w:lang w:val="es-419"/>
        </w:rPr>
        <w:t>se</w:t>
      </w:r>
      <w:r w:rsidR="00D54536" w:rsidRPr="00F04C12">
        <w:rPr>
          <w:lang w:val="es-419"/>
        </w:rPr>
        <w:t xml:space="preserve"> impedido</w:t>
      </w:r>
      <w:r w:rsidR="00A80AA0">
        <w:rPr>
          <w:lang w:val="es-419"/>
        </w:rPr>
        <w:t>. E</w:t>
      </w:r>
      <w:r w:rsidR="00616F41">
        <w:rPr>
          <w:lang w:val="es-419"/>
        </w:rPr>
        <w:t xml:space="preserve">stos </w:t>
      </w:r>
      <w:r w:rsidR="00D54536" w:rsidRPr="00F04C12">
        <w:rPr>
          <w:lang w:val="es-419"/>
        </w:rPr>
        <w:t>hechos son investigados por</w:t>
      </w:r>
      <w:r w:rsidR="00C319C2">
        <w:rPr>
          <w:lang w:val="es-419"/>
        </w:rPr>
        <w:t xml:space="preserve"> la Fiscalía y la Procuraduría.</w:t>
      </w:r>
      <w:r w:rsidR="00C618B5">
        <w:rPr>
          <w:lang w:val="es-419"/>
        </w:rPr>
        <w:t xml:space="preserve"> </w:t>
      </w:r>
    </w:p>
    <w:p w14:paraId="30A23C35" w14:textId="58DB5D5F" w:rsidR="00D54536" w:rsidRPr="00F04C12" w:rsidRDefault="00F04C12" w:rsidP="00F04C12">
      <w:pPr>
        <w:pStyle w:val="SingleTxtG"/>
        <w:rPr>
          <w:lang w:val="es-419"/>
        </w:rPr>
      </w:pPr>
      <w:r>
        <w:rPr>
          <w:lang w:val="es-419"/>
        </w:rPr>
        <w:t>55.</w:t>
      </w:r>
      <w:r>
        <w:rPr>
          <w:lang w:val="es-419"/>
        </w:rPr>
        <w:tab/>
      </w:r>
      <w:r w:rsidR="005D34D6" w:rsidRPr="00F04C12">
        <w:rPr>
          <w:lang w:val="es-419"/>
        </w:rPr>
        <w:t xml:space="preserve">El ACNUDH </w:t>
      </w:r>
      <w:r w:rsidR="00D54536" w:rsidRPr="00F04C12">
        <w:rPr>
          <w:lang w:val="es-419"/>
        </w:rPr>
        <w:t xml:space="preserve">verificó que, en Bolívar, integrantes de las Fuerzas Armadas habrían perpetrado </w:t>
      </w:r>
      <w:r w:rsidR="005D34D6">
        <w:rPr>
          <w:lang w:val="es-419"/>
        </w:rPr>
        <w:t xml:space="preserve">actos de </w:t>
      </w:r>
      <w:r w:rsidR="00D54536" w:rsidRPr="00F04C12">
        <w:rPr>
          <w:lang w:val="es-419"/>
        </w:rPr>
        <w:t xml:space="preserve">violencia </w:t>
      </w:r>
      <w:r w:rsidR="005D34D6">
        <w:rPr>
          <w:lang w:val="es-419"/>
        </w:rPr>
        <w:t>de</w:t>
      </w:r>
      <w:r w:rsidR="00D54536" w:rsidRPr="00F04C12">
        <w:rPr>
          <w:lang w:val="es-419"/>
        </w:rPr>
        <w:t xml:space="preserve"> género, incluyendo violencia sexual, y uniones forzadas tempranas con niñas y adolescentes, aprovechándose de su situación de alta vulnerabilidad socioeconómica. Las medidas de prevención de la Política de Cero Tolerancia a la Violencia Sexual del Ministerio de Defensa en territorios afectados por el conflicto armado deben cumplirse</w:t>
      </w:r>
      <w:r w:rsidR="00A80AA0">
        <w:rPr>
          <w:lang w:val="es-419"/>
        </w:rPr>
        <w:t>,</w:t>
      </w:r>
      <w:r w:rsidR="00D54536" w:rsidRPr="00F04C12">
        <w:rPr>
          <w:lang w:val="es-419"/>
        </w:rPr>
        <w:t xml:space="preserve"> y </w:t>
      </w:r>
      <w:r w:rsidR="00616F41">
        <w:rPr>
          <w:lang w:val="es-419"/>
        </w:rPr>
        <w:t xml:space="preserve">se deben </w:t>
      </w:r>
      <w:r w:rsidR="00D54536" w:rsidRPr="00F04C12">
        <w:rPr>
          <w:lang w:val="es-419"/>
        </w:rPr>
        <w:t>aplicar</w:t>
      </w:r>
      <w:r w:rsidR="00616F41">
        <w:rPr>
          <w:lang w:val="es-419"/>
        </w:rPr>
        <w:t xml:space="preserve"> </w:t>
      </w:r>
      <w:r w:rsidR="00D54536" w:rsidRPr="00F04C12">
        <w:rPr>
          <w:lang w:val="es-419"/>
        </w:rPr>
        <w:t>mecanismos de control y rendición de cuentas acordes con la gravedad de estos hechos.</w:t>
      </w:r>
      <w:r w:rsidR="005D34D6">
        <w:rPr>
          <w:lang w:val="es-419"/>
        </w:rPr>
        <w:t xml:space="preserve"> </w:t>
      </w:r>
    </w:p>
    <w:p w14:paraId="401FD465" w14:textId="00712578" w:rsidR="00D54536" w:rsidRPr="00F04C12" w:rsidRDefault="00F04C12" w:rsidP="00F04C12">
      <w:pPr>
        <w:pStyle w:val="SingleTxtG"/>
        <w:rPr>
          <w:lang w:val="es-419"/>
        </w:rPr>
      </w:pPr>
      <w:r>
        <w:rPr>
          <w:lang w:val="es-419"/>
        </w:rPr>
        <w:t>56.</w:t>
      </w:r>
      <w:r>
        <w:rPr>
          <w:lang w:val="es-419"/>
        </w:rPr>
        <w:tab/>
      </w:r>
      <w:r w:rsidR="00D54536" w:rsidRPr="00F04C12">
        <w:rPr>
          <w:lang w:val="es-419"/>
        </w:rPr>
        <w:t xml:space="preserve">El ACNUDH saluda la adopción de un concepto de seguridad humana como fundamento de la nueva política de seguridad del Gobierno. Este concepto amplía la noción </w:t>
      </w:r>
      <w:r w:rsidR="00D54536" w:rsidRPr="00F04C12">
        <w:rPr>
          <w:lang w:val="es-419"/>
        </w:rPr>
        <w:lastRenderedPageBreak/>
        <w:t>tradicional de seguridad y establece una estrecha relación con los derechos humanos. La seguridad humana no se limita solo a aspectos relacionados con el uso de la fuerza, sino que se fundamenta en un enfoque de prevención de la violencia y priorización de la protección de la población, que participa activamente en identificar sus necesidades de seguridad. La responsabilidad en materia de seguridad deja de ceñirse exclusivamente al quehacer de la Fuerza Pública, para incluir diferentes instituciones del Estado con diversas responsabilidades y que deben coordinarse de manera efectiva para cubrir todas las dimensiones contempladas en este concepto.</w:t>
      </w:r>
    </w:p>
    <w:p w14:paraId="1D0A978D" w14:textId="3FBF85D9" w:rsidR="00D54536" w:rsidRPr="00F04C12" w:rsidRDefault="00F04C12" w:rsidP="00F04C12">
      <w:pPr>
        <w:pStyle w:val="SingleTxtG"/>
        <w:rPr>
          <w:lang w:val="es-419"/>
        </w:rPr>
      </w:pPr>
      <w:r>
        <w:rPr>
          <w:lang w:val="es-419"/>
        </w:rPr>
        <w:t>57.</w:t>
      </w:r>
      <w:r>
        <w:rPr>
          <w:lang w:val="es-419"/>
        </w:rPr>
        <w:tab/>
      </w:r>
      <w:r w:rsidR="00D54536" w:rsidRPr="00F04C12">
        <w:rPr>
          <w:lang w:val="es-419"/>
        </w:rPr>
        <w:t>Este nuevo enfoque implica cambios profundos en las actuales doctrinas policial y militar y contempla mecanismos que permiten articular todas las instituciones estatales concernidas. El ACNUDH asesora técnicamente al Gobierno para que los derechos humanos sean debidamente integrados en este nuevo paradigma de seguridad.</w:t>
      </w:r>
    </w:p>
    <w:p w14:paraId="45532514" w14:textId="146ACDC0" w:rsidR="00D54536" w:rsidRPr="00F04C12" w:rsidRDefault="00F04C12" w:rsidP="00F04C12">
      <w:pPr>
        <w:pStyle w:val="SingleTxtG"/>
        <w:rPr>
          <w:lang w:val="es-419"/>
        </w:rPr>
      </w:pPr>
      <w:r>
        <w:rPr>
          <w:lang w:val="es-419"/>
        </w:rPr>
        <w:t>58.</w:t>
      </w:r>
      <w:r>
        <w:rPr>
          <w:lang w:val="es-419"/>
        </w:rPr>
        <w:tab/>
      </w:r>
      <w:r w:rsidR="00D54536" w:rsidRPr="00F04C12">
        <w:rPr>
          <w:lang w:val="es-419"/>
        </w:rPr>
        <w:t>Es un importante avance la decisión de suspender los bombardeos dirigidos a objetivos de alto valor donde se identifique la presencia de niños, niñas y adolescentes</w:t>
      </w:r>
      <w:r w:rsidR="00B50D60">
        <w:rPr>
          <w:rStyle w:val="FootnoteReference"/>
          <w:lang w:val="es-419"/>
        </w:rPr>
        <w:footnoteReference w:id="45"/>
      </w:r>
      <w:r w:rsidR="00D54536" w:rsidRPr="00F04C12">
        <w:rPr>
          <w:lang w:val="es-419"/>
        </w:rPr>
        <w:t xml:space="preserve">. Al respecto, el ACNUDH ha observado vacíos en los mecanismos de control y verificación de la información y en los procesos de rendición de cuentas, cuya superación permitiría un mayor grado de transparencia y certeza en los informes de inteligencia. En noviembre, </w:t>
      </w:r>
      <w:r w:rsidR="00616F41">
        <w:rPr>
          <w:lang w:val="es-419"/>
        </w:rPr>
        <w:t xml:space="preserve">el Gobierno </w:t>
      </w:r>
      <w:r w:rsidR="00D54536" w:rsidRPr="00F04C12">
        <w:rPr>
          <w:lang w:val="es-419"/>
        </w:rPr>
        <w:t>anunció la adhesión de Colombia a la Declaración sobre Escuelas Seguras.</w:t>
      </w:r>
    </w:p>
    <w:p w14:paraId="32DE9F4C" w14:textId="3F5249B4" w:rsidR="00D54536" w:rsidRPr="00F04C12" w:rsidRDefault="00F04C12" w:rsidP="00F04C12">
      <w:pPr>
        <w:pStyle w:val="SingleTxtG"/>
        <w:rPr>
          <w:lang w:val="es-419"/>
        </w:rPr>
      </w:pPr>
      <w:r>
        <w:rPr>
          <w:lang w:val="es-419"/>
        </w:rPr>
        <w:t>59.</w:t>
      </w:r>
      <w:r>
        <w:rPr>
          <w:lang w:val="es-419"/>
        </w:rPr>
        <w:tab/>
      </w:r>
      <w:r w:rsidR="00D54536" w:rsidRPr="00F04C12">
        <w:rPr>
          <w:lang w:val="es-419"/>
        </w:rPr>
        <w:t>El ACNUDH saluda la decisión de la Corte Constitucional de asignar a la justicia ordinaria la jurisdicción sobre la masacre de El Tandil (Tumaco), que habría sido cometida por miembros de la Fuerza Pública en 2017</w:t>
      </w:r>
      <w:r w:rsidR="00B50D60">
        <w:rPr>
          <w:rStyle w:val="FootnoteReference"/>
          <w:lang w:val="es-419"/>
        </w:rPr>
        <w:footnoteReference w:id="46"/>
      </w:r>
      <w:r w:rsidR="00D54536" w:rsidRPr="00F04C12">
        <w:rPr>
          <w:lang w:val="es-419"/>
        </w:rPr>
        <w:t>. Esto representa un avance en la aplicación de estándares internacionales relacionados con la jurisdicción competente para conocer de presuntas violaciones de derechos humanos por miembros de la Fuerza Pública</w:t>
      </w:r>
      <w:r w:rsidR="00C44BEF">
        <w:rPr>
          <w:rStyle w:val="FootnoteReference"/>
          <w:lang w:val="es-419"/>
        </w:rPr>
        <w:footnoteReference w:id="47"/>
      </w:r>
      <w:r w:rsidR="00D54536" w:rsidRPr="00F04C12">
        <w:rPr>
          <w:lang w:val="es-419"/>
        </w:rPr>
        <w:t>. No obstante, se observa que estos estándares internacionales no se aplican de manera consistente por todos los entes de justicia, lo cual incrementaría los umbrales de impunidad y compromete la aplicación de una justicia independiente.</w:t>
      </w:r>
    </w:p>
    <w:p w14:paraId="75C9B43E" w14:textId="6063F1A0" w:rsidR="00D54536" w:rsidRPr="00F04C12" w:rsidRDefault="00F04C12" w:rsidP="00F04C12">
      <w:pPr>
        <w:pStyle w:val="SingleTxtG"/>
        <w:rPr>
          <w:lang w:val="es-419"/>
        </w:rPr>
      </w:pPr>
      <w:r w:rsidRPr="007E6BAF">
        <w:rPr>
          <w:lang w:val="es-419"/>
        </w:rPr>
        <w:t>60.</w:t>
      </w:r>
      <w:r w:rsidRPr="007E6BAF">
        <w:rPr>
          <w:lang w:val="es-419"/>
        </w:rPr>
        <w:tab/>
      </w:r>
      <w:r w:rsidR="00D54536" w:rsidRPr="007E6BAF">
        <w:rPr>
          <w:lang w:val="es-419"/>
        </w:rPr>
        <w:t>El ACNUDH ha brindado asesoría</w:t>
      </w:r>
      <w:r w:rsidR="00B60629" w:rsidRPr="007E6BAF">
        <w:rPr>
          <w:lang w:val="es-419"/>
        </w:rPr>
        <w:t xml:space="preserve"> y </w:t>
      </w:r>
      <w:r w:rsidR="00D54536" w:rsidRPr="007E6BAF">
        <w:rPr>
          <w:lang w:val="es-419"/>
        </w:rPr>
        <w:t>asistencia técnica en el proceso de reforma de la Policía Nacional para fortalecer la inclusión de los derechos humanos. Esta asesoría está dirigida principalmente a que la doctrina policial incorpore estándares internacionales de derechos humanos como eje de los manuales, directivas y órdenes operativas; se inicie una mejor comunicación con las comunidades y se establezcan o fortalezcan canales de comunicación eficaces; se realice una gestión del ejercicio del derecho de reunión pacífica de acuerdo con las normas y estándares internacionales de derechos humanos; y se contemplen los estándares internacionales de derechos humanos en el sistema disciplinario, particularmente cuando una conducta debe ser investigada y enjuiciada en la justicia ordinaria.</w:t>
      </w:r>
    </w:p>
    <w:p w14:paraId="73BC1917" w14:textId="759EE17D" w:rsidR="00D54536" w:rsidRPr="002267C6" w:rsidRDefault="002267C6" w:rsidP="00AB3D5F">
      <w:pPr>
        <w:pStyle w:val="HChG"/>
        <w:rPr>
          <w:lang w:val="es-419"/>
        </w:rPr>
      </w:pPr>
      <w:r>
        <w:rPr>
          <w:lang w:val="es-419"/>
        </w:rPr>
        <w:tab/>
        <w:t>V.</w:t>
      </w:r>
      <w:r>
        <w:rPr>
          <w:lang w:val="es-419"/>
        </w:rPr>
        <w:tab/>
      </w:r>
      <w:r w:rsidR="00D54536" w:rsidRPr="002267C6">
        <w:rPr>
          <w:lang w:val="es-419"/>
        </w:rPr>
        <w:t>Espacio cívico</w:t>
      </w:r>
    </w:p>
    <w:p w14:paraId="4174D56E" w14:textId="13A688E0" w:rsidR="00D54536" w:rsidRPr="002267C6" w:rsidRDefault="002267C6" w:rsidP="00AB3D5F">
      <w:pPr>
        <w:pStyle w:val="H1G"/>
      </w:pPr>
      <w:r>
        <w:tab/>
        <w:t>A.</w:t>
      </w:r>
      <w:r>
        <w:tab/>
      </w:r>
      <w:r w:rsidR="00D54536" w:rsidRPr="002267C6">
        <w:t>Situación de las personas defensoras de derechos humanos</w:t>
      </w:r>
    </w:p>
    <w:p w14:paraId="5DCFE647" w14:textId="2F066226" w:rsidR="00D54536" w:rsidRPr="00C06A05" w:rsidRDefault="004E6748" w:rsidP="00C06A05">
      <w:pPr>
        <w:pStyle w:val="SingleTxtG"/>
        <w:rPr>
          <w:lang w:val="es-419"/>
        </w:rPr>
      </w:pPr>
      <w:r>
        <w:rPr>
          <w:lang w:val="es-419"/>
        </w:rPr>
        <w:t>61.</w:t>
      </w:r>
      <w:r>
        <w:rPr>
          <w:lang w:val="es-419"/>
        </w:rPr>
        <w:tab/>
      </w:r>
      <w:r w:rsidR="00D54536" w:rsidRPr="00C06A05">
        <w:rPr>
          <w:lang w:val="es-419"/>
        </w:rPr>
        <w:t xml:space="preserve">Los altos niveles de violencia en contra de personas defensoras </w:t>
      </w:r>
      <w:r w:rsidR="005D34D6" w:rsidRPr="00C06A05">
        <w:rPr>
          <w:lang w:val="es-419"/>
        </w:rPr>
        <w:t xml:space="preserve">de derechos humanos </w:t>
      </w:r>
      <w:r w:rsidR="00D54536" w:rsidRPr="00C06A05">
        <w:rPr>
          <w:lang w:val="es-419"/>
        </w:rPr>
        <w:t xml:space="preserve">se mantuvieron durante 2022. El ACNUDH recibió 256 alegaciones de homicidios de personas defensoras de derechos humanos, de las cuales verificó que en 116 existía un vínculo entre </w:t>
      </w:r>
      <w:r w:rsidR="005D34D6">
        <w:rPr>
          <w:lang w:val="es-419"/>
        </w:rPr>
        <w:t>la</w:t>
      </w:r>
      <w:r w:rsidR="005D34D6" w:rsidRPr="00C06A05">
        <w:rPr>
          <w:lang w:val="es-419"/>
        </w:rPr>
        <w:t xml:space="preserve"> </w:t>
      </w:r>
      <w:r w:rsidR="00D54536" w:rsidRPr="00C06A05">
        <w:rPr>
          <w:lang w:val="es-419"/>
        </w:rPr>
        <w:t xml:space="preserve">muerte </w:t>
      </w:r>
      <w:r w:rsidR="005D34D6">
        <w:rPr>
          <w:lang w:val="es-419"/>
        </w:rPr>
        <w:t xml:space="preserve">de </w:t>
      </w:r>
      <w:r w:rsidR="00A80AA0">
        <w:rPr>
          <w:lang w:val="es-419"/>
        </w:rPr>
        <w:t>la</w:t>
      </w:r>
      <w:r w:rsidR="005D34D6">
        <w:rPr>
          <w:lang w:val="es-419"/>
        </w:rPr>
        <w:t xml:space="preserve"> persona </w:t>
      </w:r>
      <w:r w:rsidR="00D54536" w:rsidRPr="00C06A05">
        <w:rPr>
          <w:lang w:val="es-419"/>
        </w:rPr>
        <w:t xml:space="preserve">y su labor en defensa de los derechos humanos, y que </w:t>
      </w:r>
      <w:r w:rsidR="00D54536" w:rsidRPr="00C06A05">
        <w:rPr>
          <w:lang w:val="es-419"/>
        </w:rPr>
        <w:lastRenderedPageBreak/>
        <w:t xml:space="preserve">140 no </w:t>
      </w:r>
      <w:r w:rsidR="007E6BAF">
        <w:rPr>
          <w:lang w:val="es-419"/>
        </w:rPr>
        <w:t>eran</w:t>
      </w:r>
      <w:r w:rsidR="007E6BAF" w:rsidRPr="00C06A05">
        <w:rPr>
          <w:lang w:val="es-419"/>
        </w:rPr>
        <w:t xml:space="preserve"> </w:t>
      </w:r>
      <w:r w:rsidR="00D54536" w:rsidRPr="00C06A05">
        <w:rPr>
          <w:lang w:val="es-419"/>
        </w:rPr>
        <w:t>concluyentes</w:t>
      </w:r>
      <w:r w:rsidR="002E2A6C">
        <w:rPr>
          <w:rStyle w:val="FootnoteReference"/>
          <w:lang w:val="es-419"/>
        </w:rPr>
        <w:footnoteReference w:id="48"/>
      </w:r>
      <w:r w:rsidR="00D54536" w:rsidRPr="00C06A05">
        <w:rPr>
          <w:lang w:val="es-419"/>
        </w:rPr>
        <w:t xml:space="preserve">. </w:t>
      </w:r>
      <w:r w:rsidR="005D34D6">
        <w:rPr>
          <w:lang w:val="es-419"/>
        </w:rPr>
        <w:t>D</w:t>
      </w:r>
      <w:r w:rsidR="00D54536" w:rsidRPr="00C06A05">
        <w:rPr>
          <w:lang w:val="es-419"/>
        </w:rPr>
        <w:t>e las víctimas de los casos verificados</w:t>
      </w:r>
      <w:r w:rsidR="005D34D6">
        <w:rPr>
          <w:lang w:val="es-419"/>
        </w:rPr>
        <w:t>, 9</w:t>
      </w:r>
      <w:r w:rsidR="00D54536" w:rsidRPr="00C06A05">
        <w:rPr>
          <w:lang w:val="es-419"/>
        </w:rPr>
        <w:t xml:space="preserve"> eran mujeres, incluyendo </w:t>
      </w:r>
      <w:r w:rsidR="005D34D6">
        <w:rPr>
          <w:lang w:val="es-419"/>
        </w:rPr>
        <w:t>3</w:t>
      </w:r>
      <w:r w:rsidR="005D34D6" w:rsidRPr="00C06A05">
        <w:rPr>
          <w:lang w:val="es-419"/>
        </w:rPr>
        <w:t xml:space="preserve"> </w:t>
      </w:r>
      <w:r w:rsidR="00D54536" w:rsidRPr="00C06A05">
        <w:rPr>
          <w:lang w:val="es-419"/>
        </w:rPr>
        <w:t xml:space="preserve">indígenas, </w:t>
      </w:r>
      <w:r w:rsidR="005D34D6">
        <w:rPr>
          <w:lang w:val="es-419"/>
        </w:rPr>
        <w:t>1</w:t>
      </w:r>
      <w:r w:rsidR="005D34D6" w:rsidRPr="00C06A05">
        <w:rPr>
          <w:lang w:val="es-419"/>
        </w:rPr>
        <w:t xml:space="preserve"> </w:t>
      </w:r>
      <w:r w:rsidR="00D54536" w:rsidRPr="00C06A05">
        <w:rPr>
          <w:lang w:val="es-419"/>
        </w:rPr>
        <w:t xml:space="preserve">afrodescendiente, </w:t>
      </w:r>
      <w:r w:rsidR="005D34D6">
        <w:rPr>
          <w:lang w:val="es-419"/>
        </w:rPr>
        <w:t>1</w:t>
      </w:r>
      <w:r w:rsidR="005D34D6" w:rsidRPr="00C06A05">
        <w:rPr>
          <w:lang w:val="es-419"/>
        </w:rPr>
        <w:t xml:space="preserve"> </w:t>
      </w:r>
      <w:r w:rsidR="00D54536" w:rsidRPr="00C06A05">
        <w:rPr>
          <w:lang w:val="es-419"/>
        </w:rPr>
        <w:t xml:space="preserve">campesina y </w:t>
      </w:r>
      <w:r w:rsidR="005D34D6">
        <w:rPr>
          <w:lang w:val="es-419"/>
        </w:rPr>
        <w:t>1</w:t>
      </w:r>
      <w:r w:rsidR="005D34D6" w:rsidRPr="00C06A05">
        <w:rPr>
          <w:lang w:val="es-419"/>
        </w:rPr>
        <w:t xml:space="preserve"> </w:t>
      </w:r>
      <w:r w:rsidR="00D54536" w:rsidRPr="00C06A05">
        <w:rPr>
          <w:lang w:val="es-419"/>
        </w:rPr>
        <w:t xml:space="preserve">mujer trans; </w:t>
      </w:r>
      <w:r w:rsidR="007E6BAF">
        <w:rPr>
          <w:lang w:val="es-419"/>
        </w:rPr>
        <w:t xml:space="preserve">y </w:t>
      </w:r>
      <w:r w:rsidR="00D54536" w:rsidRPr="00C06A05">
        <w:rPr>
          <w:lang w:val="es-419"/>
        </w:rPr>
        <w:t>107 eran hombres, incluyendo 23 indígenas, 14 afrodescendientes y 52 campesinos. Diversos grupos armados no estatales serían los presuntos responsables del 73</w:t>
      </w:r>
      <w:r w:rsidR="005D34D6">
        <w:rPr>
          <w:lang w:val="es-419"/>
        </w:rPr>
        <w:t> </w:t>
      </w:r>
      <w:r w:rsidR="00D54536" w:rsidRPr="00C06A05">
        <w:rPr>
          <w:lang w:val="es-419"/>
        </w:rPr>
        <w:t>% de los homicidios verificados.</w:t>
      </w:r>
      <w:r w:rsidR="005D34D6">
        <w:rPr>
          <w:lang w:val="es-419"/>
        </w:rPr>
        <w:t xml:space="preserve"> </w:t>
      </w:r>
    </w:p>
    <w:p w14:paraId="2E5EF65C" w14:textId="42E0ADC9" w:rsidR="00D54536" w:rsidRPr="00C06A05" w:rsidRDefault="004E6748" w:rsidP="00C06A05">
      <w:pPr>
        <w:pStyle w:val="SingleTxtG"/>
        <w:rPr>
          <w:lang w:val="es-419"/>
        </w:rPr>
      </w:pPr>
      <w:r>
        <w:rPr>
          <w:lang w:val="es-419"/>
        </w:rPr>
        <w:t>62.</w:t>
      </w:r>
      <w:r>
        <w:rPr>
          <w:lang w:val="es-419"/>
        </w:rPr>
        <w:tab/>
      </w:r>
      <w:r w:rsidR="00D54536" w:rsidRPr="00C06A05">
        <w:rPr>
          <w:lang w:val="es-419"/>
        </w:rPr>
        <w:t>En 2022</w:t>
      </w:r>
      <w:r w:rsidR="005D34D6">
        <w:rPr>
          <w:lang w:val="es-419"/>
        </w:rPr>
        <w:t>,</w:t>
      </w:r>
      <w:r w:rsidR="00D54536" w:rsidRPr="00C06A05">
        <w:rPr>
          <w:lang w:val="es-419"/>
        </w:rPr>
        <w:t xml:space="preserve"> el ACNUDH observó un incremento significativo de alegaciones de homicidios en contra de integrantes de </w:t>
      </w:r>
      <w:r w:rsidR="005D34D6">
        <w:rPr>
          <w:lang w:val="es-419"/>
        </w:rPr>
        <w:t>j</w:t>
      </w:r>
      <w:r w:rsidR="00D54536" w:rsidRPr="00C06A05">
        <w:rPr>
          <w:lang w:val="es-419"/>
        </w:rPr>
        <w:t xml:space="preserve">untas de </w:t>
      </w:r>
      <w:r w:rsidR="005D34D6">
        <w:rPr>
          <w:lang w:val="es-419"/>
        </w:rPr>
        <w:t>a</w:t>
      </w:r>
      <w:r w:rsidR="00D54536" w:rsidRPr="00C06A05">
        <w:rPr>
          <w:lang w:val="es-419"/>
        </w:rPr>
        <w:t xml:space="preserve">cción </w:t>
      </w:r>
      <w:r w:rsidR="005D34D6">
        <w:rPr>
          <w:lang w:val="es-419"/>
        </w:rPr>
        <w:t>c</w:t>
      </w:r>
      <w:r w:rsidR="00D54536" w:rsidRPr="00C06A05">
        <w:rPr>
          <w:lang w:val="es-419"/>
        </w:rPr>
        <w:t>omunal vinculados al control comunitario y territorial ejercido por los grupos armados no estatales, particularmente en Arauca, Bolívar y Putumayo. Del total de alegaciones de homicidios de personas defensoras verificados en 2022, el 45</w:t>
      </w:r>
      <w:r w:rsidR="005D34D6">
        <w:rPr>
          <w:lang w:val="es-419"/>
        </w:rPr>
        <w:t> </w:t>
      </w:r>
      <w:r w:rsidR="00D54536" w:rsidRPr="00C06A05">
        <w:rPr>
          <w:lang w:val="es-419"/>
        </w:rPr>
        <w:t xml:space="preserve">% correspondieron a miembros de </w:t>
      </w:r>
      <w:r w:rsidR="005D34D6">
        <w:rPr>
          <w:lang w:val="es-419"/>
        </w:rPr>
        <w:t>j</w:t>
      </w:r>
      <w:r w:rsidR="00616F41">
        <w:rPr>
          <w:lang w:val="es-419"/>
        </w:rPr>
        <w:t xml:space="preserve">untas de </w:t>
      </w:r>
      <w:r w:rsidR="005D34D6">
        <w:rPr>
          <w:lang w:val="es-419"/>
        </w:rPr>
        <w:t>a</w:t>
      </w:r>
      <w:r w:rsidR="00616F41">
        <w:rPr>
          <w:lang w:val="es-419"/>
        </w:rPr>
        <w:t xml:space="preserve">cción </w:t>
      </w:r>
      <w:r w:rsidR="005D34D6">
        <w:rPr>
          <w:lang w:val="es-419"/>
        </w:rPr>
        <w:t>c</w:t>
      </w:r>
      <w:r w:rsidR="00616F41">
        <w:rPr>
          <w:lang w:val="es-419"/>
        </w:rPr>
        <w:t>omunal</w:t>
      </w:r>
      <w:r w:rsidR="00D54536" w:rsidRPr="00C06A05">
        <w:rPr>
          <w:lang w:val="es-419"/>
        </w:rPr>
        <w:t>, lo cual signific</w:t>
      </w:r>
      <w:r w:rsidR="00616F41">
        <w:rPr>
          <w:lang w:val="es-419"/>
        </w:rPr>
        <w:t>a</w:t>
      </w:r>
      <w:r w:rsidR="00D54536" w:rsidRPr="00C06A05">
        <w:rPr>
          <w:lang w:val="es-419"/>
        </w:rPr>
        <w:t xml:space="preserve"> que de 13 casos en 2021 se pasó a 52 en 2022.</w:t>
      </w:r>
    </w:p>
    <w:p w14:paraId="7642D796" w14:textId="12B6257D" w:rsidR="00D54536" w:rsidRPr="00C06A05" w:rsidRDefault="004E6748" w:rsidP="00C06A05">
      <w:pPr>
        <w:pStyle w:val="SingleTxtG"/>
        <w:rPr>
          <w:lang w:val="es-419"/>
        </w:rPr>
      </w:pPr>
      <w:r>
        <w:rPr>
          <w:lang w:val="es-419"/>
        </w:rPr>
        <w:t>63.</w:t>
      </w:r>
      <w:r>
        <w:rPr>
          <w:lang w:val="es-419"/>
        </w:rPr>
        <w:tab/>
      </w:r>
      <w:r w:rsidR="00D54536" w:rsidRPr="00C06A05">
        <w:rPr>
          <w:lang w:val="es-419"/>
        </w:rPr>
        <w:t xml:space="preserve">Estos grupos también ejercieron violencia en contra de autoridades indígenas y afrodescendientes, incluyendo guardias indígenas y cimarronas, para quebrantar su autoridad y </w:t>
      </w:r>
      <w:r w:rsidR="005D34D6">
        <w:rPr>
          <w:lang w:val="es-419"/>
        </w:rPr>
        <w:t xml:space="preserve">sus </w:t>
      </w:r>
      <w:r w:rsidR="00D54536" w:rsidRPr="00C06A05">
        <w:rPr>
          <w:lang w:val="es-419"/>
        </w:rPr>
        <w:t>procesos organizativos. El ACNUDH verificó las alegaciones de homicidios de los hermanos Marcos Fidel y Albeiro Camayo, Guillermo Chicame, Miller Correa, Luis Tombé, Yemi Chocué, y del niño Breiner Cucuñame</w:t>
      </w:r>
      <w:r w:rsidR="005D34D6">
        <w:rPr>
          <w:lang w:val="es-419"/>
        </w:rPr>
        <w:t>,</w:t>
      </w:r>
      <w:r w:rsidR="00D54536" w:rsidRPr="00C06A05">
        <w:rPr>
          <w:lang w:val="es-419"/>
        </w:rPr>
        <w:t xml:space="preserve"> del pueblo </w:t>
      </w:r>
      <w:r w:rsidR="007E6BAF">
        <w:rPr>
          <w:lang w:val="es-419"/>
        </w:rPr>
        <w:t>n</w:t>
      </w:r>
      <w:r w:rsidR="00D54536" w:rsidRPr="00C06A05">
        <w:rPr>
          <w:lang w:val="es-419"/>
        </w:rPr>
        <w:t xml:space="preserve">asa en el Cauca. En Nariño, verificó las alegaciones de los homicidios de cinco autoridades y guardias indígenas del </w:t>
      </w:r>
      <w:r w:rsidR="005D34D6">
        <w:rPr>
          <w:lang w:val="es-419"/>
        </w:rPr>
        <w:t>p</w:t>
      </w:r>
      <w:r w:rsidR="00D54536" w:rsidRPr="00C06A05">
        <w:rPr>
          <w:lang w:val="es-419"/>
        </w:rPr>
        <w:t xml:space="preserve">ueblo </w:t>
      </w:r>
      <w:r w:rsidR="005D34D6">
        <w:rPr>
          <w:lang w:val="es-419"/>
        </w:rPr>
        <w:t>a</w:t>
      </w:r>
      <w:r w:rsidR="00D54536" w:rsidRPr="00C06A05">
        <w:rPr>
          <w:lang w:val="es-419"/>
        </w:rPr>
        <w:t>wá: Juan Orlando Moriano, John Faver Nastacuas, Carlos José García, Gerardo Pai y Carlos García. En Chocó verificó los casos de Luis Champuro</w:t>
      </w:r>
      <w:r w:rsidR="005D34D6">
        <w:rPr>
          <w:lang w:val="es-419"/>
        </w:rPr>
        <w:t>,</w:t>
      </w:r>
      <w:r w:rsidR="00D54536" w:rsidRPr="00C06A05">
        <w:rPr>
          <w:lang w:val="es-419"/>
        </w:rPr>
        <w:t xml:space="preserve"> del pueblo </w:t>
      </w:r>
      <w:r w:rsidR="005D34D6">
        <w:rPr>
          <w:lang w:val="es-419"/>
        </w:rPr>
        <w:t>w</w:t>
      </w:r>
      <w:r w:rsidR="00D54536" w:rsidRPr="00C06A05">
        <w:rPr>
          <w:lang w:val="es-419"/>
        </w:rPr>
        <w:t>ounaan</w:t>
      </w:r>
      <w:r w:rsidR="005D34D6">
        <w:rPr>
          <w:lang w:val="es-419"/>
        </w:rPr>
        <w:t>;</w:t>
      </w:r>
      <w:r w:rsidR="00D54536" w:rsidRPr="00C06A05">
        <w:rPr>
          <w:lang w:val="es-419"/>
        </w:rPr>
        <w:t xml:space="preserve"> Sercelino Lana</w:t>
      </w:r>
      <w:r w:rsidR="005D34D6">
        <w:rPr>
          <w:lang w:val="es-419"/>
        </w:rPr>
        <w:t>,</w:t>
      </w:r>
      <w:r w:rsidR="00D54536" w:rsidRPr="00C06A05">
        <w:rPr>
          <w:lang w:val="es-419"/>
        </w:rPr>
        <w:t xml:space="preserve"> del pueblo </w:t>
      </w:r>
      <w:r w:rsidR="007E6BAF">
        <w:rPr>
          <w:lang w:val="es-419"/>
        </w:rPr>
        <w:t>e</w:t>
      </w:r>
      <w:r w:rsidR="00D54536" w:rsidRPr="00C06A05">
        <w:rPr>
          <w:lang w:val="es-419"/>
        </w:rPr>
        <w:t>mbera</w:t>
      </w:r>
      <w:r w:rsidR="005D34D6">
        <w:rPr>
          <w:lang w:val="es-419"/>
        </w:rPr>
        <w:t>;</w:t>
      </w:r>
      <w:r w:rsidR="00D54536" w:rsidRPr="00C06A05">
        <w:rPr>
          <w:lang w:val="es-419"/>
        </w:rPr>
        <w:t xml:space="preserve"> Julio Cárdenas</w:t>
      </w:r>
      <w:r w:rsidR="005D34D6">
        <w:rPr>
          <w:lang w:val="es-419"/>
        </w:rPr>
        <w:t>,</w:t>
      </w:r>
      <w:r w:rsidR="00D54536" w:rsidRPr="00C06A05">
        <w:rPr>
          <w:lang w:val="es-419"/>
        </w:rPr>
        <w:t xml:space="preserve"> del Consejo Comunitario Local Barrios Unidos</w:t>
      </w:r>
      <w:r w:rsidR="005D34D6">
        <w:rPr>
          <w:lang w:val="es-419"/>
        </w:rPr>
        <w:t>;</w:t>
      </w:r>
      <w:r w:rsidR="00D54536" w:rsidRPr="00C06A05">
        <w:rPr>
          <w:lang w:val="es-419"/>
        </w:rPr>
        <w:t xml:space="preserve"> y Fredy Mena</w:t>
      </w:r>
      <w:r w:rsidR="005D34D6">
        <w:rPr>
          <w:lang w:val="es-419"/>
        </w:rPr>
        <w:t>,</w:t>
      </w:r>
      <w:r w:rsidR="00D54536" w:rsidRPr="00C06A05">
        <w:rPr>
          <w:lang w:val="es-419"/>
        </w:rPr>
        <w:t xml:space="preserve"> del Consejo Comunitario de </w:t>
      </w:r>
      <w:r w:rsidR="00A80AA0">
        <w:rPr>
          <w:lang w:val="es-419"/>
        </w:rPr>
        <w:t>L</w:t>
      </w:r>
      <w:r w:rsidR="00D54536" w:rsidRPr="00C06A05">
        <w:rPr>
          <w:lang w:val="es-419"/>
        </w:rPr>
        <w:t>a Playa.</w:t>
      </w:r>
    </w:p>
    <w:p w14:paraId="56400C23" w14:textId="70C8F9CF" w:rsidR="00D54536" w:rsidRPr="00C06A05" w:rsidRDefault="004E6748" w:rsidP="00C06A05">
      <w:pPr>
        <w:pStyle w:val="SingleTxtG"/>
        <w:rPr>
          <w:lang w:val="es-419"/>
        </w:rPr>
      </w:pPr>
      <w:r>
        <w:rPr>
          <w:lang w:val="es-419"/>
        </w:rPr>
        <w:t>64.</w:t>
      </w:r>
      <w:r>
        <w:rPr>
          <w:lang w:val="es-419"/>
        </w:rPr>
        <w:tab/>
      </w:r>
      <w:r w:rsidR="00D54536" w:rsidRPr="00C06A05">
        <w:rPr>
          <w:lang w:val="es-419"/>
        </w:rPr>
        <w:t>En la región del Magdalena Medio, el ACNUDH verificó las alegaciones de homicidios de Teófilo Acuña, Jorge Tafur y Luis Quiñones, qui</w:t>
      </w:r>
      <w:r w:rsidR="005D34D6">
        <w:rPr>
          <w:lang w:val="es-419"/>
        </w:rPr>
        <w:t>e</w:t>
      </w:r>
      <w:r w:rsidR="00D54536" w:rsidRPr="00C06A05">
        <w:rPr>
          <w:lang w:val="es-419"/>
        </w:rPr>
        <w:t>nes eran líderes campesinos con trabajo en la defensa de la tierra y el medio ambiente. En Casanare, verificó la alegación del homicidio de Luz Marina Arteaga, quien acompañaba a las comunidades en su lucha por el acceso a la tierra y ejercía la labor de veeduría municipal en Orocué.</w:t>
      </w:r>
    </w:p>
    <w:p w14:paraId="190213E0" w14:textId="6C4C9E28" w:rsidR="00D54536" w:rsidRPr="00C06A05" w:rsidRDefault="004E6748" w:rsidP="00C06A05">
      <w:pPr>
        <w:pStyle w:val="SingleTxtG"/>
        <w:rPr>
          <w:lang w:val="es-419"/>
        </w:rPr>
      </w:pPr>
      <w:r>
        <w:rPr>
          <w:lang w:val="es-419"/>
        </w:rPr>
        <w:t>65.</w:t>
      </w:r>
      <w:r>
        <w:rPr>
          <w:lang w:val="es-419"/>
        </w:rPr>
        <w:tab/>
      </w:r>
      <w:r w:rsidR="00D54536" w:rsidRPr="00C06A05">
        <w:rPr>
          <w:lang w:val="es-419"/>
        </w:rPr>
        <w:t>El ACNUDH promovió medidas de protección y acciones investigativas para 682 casos de amenazas y ataques en contra de personas defensoras</w:t>
      </w:r>
      <w:r w:rsidR="00A80AA0">
        <w:rPr>
          <w:lang w:val="es-419"/>
        </w:rPr>
        <w:t>:</w:t>
      </w:r>
      <w:r w:rsidR="00D54536" w:rsidRPr="00C06A05">
        <w:rPr>
          <w:lang w:val="es-419"/>
        </w:rPr>
        <w:t xml:space="preserve"> 501 en contra de hombres</w:t>
      </w:r>
      <w:r w:rsidR="00A80AA0">
        <w:rPr>
          <w:lang w:val="es-419"/>
        </w:rPr>
        <w:t>;</w:t>
      </w:r>
      <w:r w:rsidR="00D54536" w:rsidRPr="00C06A05">
        <w:rPr>
          <w:lang w:val="es-419"/>
        </w:rPr>
        <w:t xml:space="preserve"> 163 en contra de mujeres, algun</w:t>
      </w:r>
      <w:r w:rsidR="00AA2296">
        <w:rPr>
          <w:lang w:val="es-419"/>
        </w:rPr>
        <w:t>o</w:t>
      </w:r>
      <w:r w:rsidR="00D54536" w:rsidRPr="00C06A05">
        <w:rPr>
          <w:lang w:val="es-419"/>
        </w:rPr>
        <w:t>s de l</w:t>
      </w:r>
      <w:r w:rsidR="00AA2296">
        <w:rPr>
          <w:lang w:val="es-419"/>
        </w:rPr>
        <w:t>o</w:t>
      </w:r>
      <w:r w:rsidR="00D54536" w:rsidRPr="00C06A05">
        <w:rPr>
          <w:lang w:val="es-419"/>
        </w:rPr>
        <w:t>s cuales constituirían violencia de género</w:t>
      </w:r>
      <w:r w:rsidR="00A80AA0">
        <w:rPr>
          <w:lang w:val="es-419"/>
        </w:rPr>
        <w:t>;</w:t>
      </w:r>
      <w:r w:rsidR="00D54536" w:rsidRPr="00C06A05">
        <w:rPr>
          <w:lang w:val="es-419"/>
        </w:rPr>
        <w:t xml:space="preserve"> 8 en contra de personas LGBTIQ+</w:t>
      </w:r>
      <w:r w:rsidR="00A80AA0">
        <w:rPr>
          <w:lang w:val="es-419"/>
        </w:rPr>
        <w:t>,</w:t>
      </w:r>
      <w:r w:rsidR="00D54536" w:rsidRPr="00C06A05">
        <w:rPr>
          <w:lang w:val="es-419"/>
        </w:rPr>
        <w:t xml:space="preserve"> y 10 en contra de organizaciones. Destaca</w:t>
      </w:r>
      <w:r w:rsidR="00AA2296">
        <w:rPr>
          <w:lang w:val="es-419"/>
        </w:rPr>
        <w:t>n</w:t>
      </w:r>
      <w:r w:rsidR="00D54536" w:rsidRPr="00C06A05">
        <w:rPr>
          <w:lang w:val="es-419"/>
        </w:rPr>
        <w:t xml:space="preserve"> el ataque con un carro bomba en contra de personas defensoras</w:t>
      </w:r>
      <w:r w:rsidR="00AA2296">
        <w:rPr>
          <w:lang w:val="es-419"/>
        </w:rPr>
        <w:t xml:space="preserve"> que</w:t>
      </w:r>
      <w:r w:rsidR="00D54536" w:rsidRPr="00C06A05">
        <w:rPr>
          <w:lang w:val="es-419"/>
        </w:rPr>
        <w:t xml:space="preserve"> se encontraban en la sede del Movimiento de Masas Social y Popular del Centro Oriente</w:t>
      </w:r>
      <w:r w:rsidR="00AA2296" w:rsidRPr="00AA2296">
        <w:rPr>
          <w:lang w:val="es-419"/>
        </w:rPr>
        <w:t xml:space="preserve"> </w:t>
      </w:r>
      <w:r w:rsidR="00AA2296" w:rsidRPr="00C06A05">
        <w:rPr>
          <w:lang w:val="es-419"/>
        </w:rPr>
        <w:t>en enero en Arauca</w:t>
      </w:r>
      <w:r w:rsidR="00D54536" w:rsidRPr="00C06A05">
        <w:rPr>
          <w:lang w:val="es-419"/>
        </w:rPr>
        <w:t xml:space="preserve">; el ataque con artefacto explosivo en contra del resguardo indígena </w:t>
      </w:r>
      <w:r w:rsidR="00A80AA0">
        <w:rPr>
          <w:lang w:val="es-419"/>
        </w:rPr>
        <w:t>nasa</w:t>
      </w:r>
      <w:r w:rsidR="00D54536" w:rsidRPr="00C06A05">
        <w:rPr>
          <w:lang w:val="es-419"/>
        </w:rPr>
        <w:t xml:space="preserve"> </w:t>
      </w:r>
      <w:r w:rsidR="00A80AA0">
        <w:rPr>
          <w:lang w:val="es-419"/>
        </w:rPr>
        <w:t>p</w:t>
      </w:r>
      <w:r w:rsidR="00D54536" w:rsidRPr="00C06A05">
        <w:rPr>
          <w:lang w:val="es-419"/>
        </w:rPr>
        <w:t xml:space="preserve">aéz en Huila; y los atentados con bombas contra el alcalde de Cumbal en abril y contra el Gobernador del </w:t>
      </w:r>
      <w:r w:rsidR="00AA2296">
        <w:rPr>
          <w:lang w:val="es-419"/>
        </w:rPr>
        <w:t>r</w:t>
      </w:r>
      <w:r w:rsidR="00D54536" w:rsidRPr="00C06A05">
        <w:rPr>
          <w:lang w:val="es-419"/>
        </w:rPr>
        <w:t xml:space="preserve">esguardo </w:t>
      </w:r>
      <w:r w:rsidR="00AA2296">
        <w:rPr>
          <w:lang w:val="es-419"/>
        </w:rPr>
        <w:t>i</w:t>
      </w:r>
      <w:r w:rsidR="00D54536" w:rsidRPr="00C06A05">
        <w:rPr>
          <w:lang w:val="es-419"/>
        </w:rPr>
        <w:t>ndígena de Cumbal en octubre en Nariño.</w:t>
      </w:r>
    </w:p>
    <w:p w14:paraId="34487300" w14:textId="3802E010" w:rsidR="00D54536" w:rsidRPr="00C06A05" w:rsidRDefault="004E6748" w:rsidP="00C06A05">
      <w:pPr>
        <w:pStyle w:val="SingleTxtG"/>
        <w:rPr>
          <w:lang w:val="es-419"/>
        </w:rPr>
      </w:pPr>
      <w:r>
        <w:rPr>
          <w:lang w:val="es-419"/>
        </w:rPr>
        <w:t>66.</w:t>
      </w:r>
      <w:r>
        <w:rPr>
          <w:lang w:val="es-419"/>
        </w:rPr>
        <w:tab/>
      </w:r>
      <w:r w:rsidR="00D54536" w:rsidRPr="00C06A05">
        <w:rPr>
          <w:lang w:val="es-419"/>
        </w:rPr>
        <w:t xml:space="preserve">Preocupa, además, el impacto negativo de una serie de panfletos presuntamente firmados por las “Águilas Negras”, </w:t>
      </w:r>
      <w:r w:rsidR="00AA2296">
        <w:rPr>
          <w:lang w:val="es-419"/>
        </w:rPr>
        <w:t xml:space="preserve">en los </w:t>
      </w:r>
      <w:r w:rsidR="00D54536" w:rsidRPr="00C06A05">
        <w:rPr>
          <w:lang w:val="es-419"/>
        </w:rPr>
        <w:t xml:space="preserve">que </w:t>
      </w:r>
      <w:r w:rsidR="00AA2296">
        <w:rPr>
          <w:lang w:val="es-419"/>
        </w:rPr>
        <w:t xml:space="preserve">se </w:t>
      </w:r>
      <w:r w:rsidR="00D54536" w:rsidRPr="00C06A05">
        <w:rPr>
          <w:lang w:val="es-419"/>
        </w:rPr>
        <w:t>amenazaba a varias personas defensoras</w:t>
      </w:r>
      <w:r w:rsidR="007E6BAF">
        <w:rPr>
          <w:lang w:val="es-419"/>
        </w:rPr>
        <w:t xml:space="preserve"> de derechos humanos</w:t>
      </w:r>
      <w:r w:rsidR="00D54536" w:rsidRPr="00C06A05">
        <w:rPr>
          <w:lang w:val="es-419"/>
        </w:rPr>
        <w:t>, incluyendo miembros del Consejo Regional Indígena del Cauca, miembros del movimiento estudiantil de la Universidad EAFIT en Antioquia, magistrados</w:t>
      </w:r>
      <w:r w:rsidR="00AA2296">
        <w:rPr>
          <w:lang w:val="es-419"/>
        </w:rPr>
        <w:t xml:space="preserve"> y magistrad</w:t>
      </w:r>
      <w:r w:rsidR="00D54536" w:rsidRPr="00C06A05">
        <w:rPr>
          <w:lang w:val="es-419"/>
        </w:rPr>
        <w:t xml:space="preserve">as de la Corte Constitucional quienes votaron a favor de la sentencia que despenalizó en febrero la interrupción del embarazo, y la Vicepresidenta de la República cuando era candidata. Otros panfletos, seguidos de amenazas de muerte, generaron temor y desplazamientos de personas defensoras del </w:t>
      </w:r>
      <w:r w:rsidR="00AA2296">
        <w:rPr>
          <w:lang w:val="es-419"/>
        </w:rPr>
        <w:t>medio</w:t>
      </w:r>
      <w:r w:rsidR="00D54536" w:rsidRPr="00C06A05">
        <w:rPr>
          <w:lang w:val="es-419"/>
        </w:rPr>
        <w:t xml:space="preserve">ambiente que denunciaban los riesgos de los proyectos piloto de </w:t>
      </w:r>
      <w:r w:rsidR="00AA2296" w:rsidRPr="00AB3D5F">
        <w:rPr>
          <w:i/>
          <w:iCs/>
          <w:lang w:val="es-419"/>
        </w:rPr>
        <w:t>f</w:t>
      </w:r>
      <w:r w:rsidR="00D54536" w:rsidRPr="00AB3D5F">
        <w:rPr>
          <w:i/>
          <w:iCs/>
          <w:lang w:val="es-419"/>
        </w:rPr>
        <w:t>racking</w:t>
      </w:r>
      <w:r w:rsidR="00D54536" w:rsidRPr="00C06A05">
        <w:rPr>
          <w:lang w:val="es-419"/>
        </w:rPr>
        <w:t xml:space="preserve"> en Puerto Wilches (Bolívar). Un grupo importante de alcaldes</w:t>
      </w:r>
      <w:r w:rsidR="00AA2296">
        <w:rPr>
          <w:lang w:val="es-419"/>
        </w:rPr>
        <w:t xml:space="preserve"> y alcaldesas</w:t>
      </w:r>
      <w:r w:rsidR="00D54536" w:rsidRPr="00C06A05">
        <w:rPr>
          <w:lang w:val="es-419"/>
        </w:rPr>
        <w:t>, personeros</w:t>
      </w:r>
      <w:r w:rsidR="00AA2296">
        <w:rPr>
          <w:lang w:val="es-419"/>
        </w:rPr>
        <w:t xml:space="preserve"> y personeras</w:t>
      </w:r>
      <w:r w:rsidR="00D54536" w:rsidRPr="00C06A05">
        <w:rPr>
          <w:lang w:val="es-419"/>
        </w:rPr>
        <w:t xml:space="preserve">, personas defensoras e integrantes de la comunidad indígena </w:t>
      </w:r>
      <w:r w:rsidR="00AA2296">
        <w:rPr>
          <w:lang w:val="es-419"/>
        </w:rPr>
        <w:t>b</w:t>
      </w:r>
      <w:r w:rsidR="00D54536" w:rsidRPr="00C06A05">
        <w:rPr>
          <w:lang w:val="es-419"/>
        </w:rPr>
        <w:t xml:space="preserve">arí en Norte de Santander recibieron amenazas de muerte e incluso </w:t>
      </w:r>
      <w:r w:rsidR="007E6BAF">
        <w:rPr>
          <w:lang w:val="es-419"/>
        </w:rPr>
        <w:t xml:space="preserve">sufrieron </w:t>
      </w:r>
      <w:r w:rsidR="00D54536" w:rsidRPr="00C06A05">
        <w:rPr>
          <w:lang w:val="es-419"/>
        </w:rPr>
        <w:t>atentados contra su vida</w:t>
      </w:r>
      <w:r w:rsidR="007E6BAF">
        <w:rPr>
          <w:lang w:val="es-419"/>
        </w:rPr>
        <w:t>,</w:t>
      </w:r>
      <w:r w:rsidR="00D54536" w:rsidRPr="00C06A05">
        <w:rPr>
          <w:lang w:val="es-419"/>
        </w:rPr>
        <w:t xml:space="preserve"> presuntamente por parte de grupos armados no estatales en su búsqueda por ejercer control territorial.</w:t>
      </w:r>
    </w:p>
    <w:p w14:paraId="2E1C26AD" w14:textId="621ED1C9" w:rsidR="00D54536" w:rsidRPr="00C06A05" w:rsidRDefault="004E6748" w:rsidP="00C06A05">
      <w:pPr>
        <w:pStyle w:val="SingleTxtG"/>
        <w:rPr>
          <w:lang w:val="es-419"/>
        </w:rPr>
      </w:pPr>
      <w:r>
        <w:rPr>
          <w:lang w:val="es-419"/>
        </w:rPr>
        <w:t>67.</w:t>
      </w:r>
      <w:r>
        <w:rPr>
          <w:lang w:val="es-419"/>
        </w:rPr>
        <w:tab/>
      </w:r>
      <w:r w:rsidR="00D54536" w:rsidRPr="00C06A05">
        <w:rPr>
          <w:lang w:val="es-419"/>
        </w:rPr>
        <w:t xml:space="preserve">El ACNUDH reconoce como positiva la adopción en agosto por parte del Gobierno de un Plan de </w:t>
      </w:r>
      <w:r w:rsidR="00AA2296">
        <w:rPr>
          <w:lang w:val="es-419"/>
        </w:rPr>
        <w:t>E</w:t>
      </w:r>
      <w:r w:rsidR="00D54536" w:rsidRPr="00C06A05">
        <w:rPr>
          <w:lang w:val="es-419"/>
        </w:rPr>
        <w:t xml:space="preserve">mergencia propuesto por la sociedad civil para proteger a personas defensoras, líderes sociales y firmantes de paz en 65 municipios y </w:t>
      </w:r>
      <w:r w:rsidR="00AA2296">
        <w:rPr>
          <w:lang w:val="es-419"/>
        </w:rPr>
        <w:t>6</w:t>
      </w:r>
      <w:r w:rsidR="00AA2296" w:rsidRPr="00C06A05">
        <w:rPr>
          <w:lang w:val="es-419"/>
        </w:rPr>
        <w:t xml:space="preserve"> </w:t>
      </w:r>
      <w:r w:rsidR="00D54536" w:rsidRPr="00C06A05">
        <w:rPr>
          <w:lang w:val="es-419"/>
        </w:rPr>
        <w:t xml:space="preserve">capitales priorizadas. El Plan se estructura en </w:t>
      </w:r>
      <w:r w:rsidR="00AA2296">
        <w:rPr>
          <w:lang w:val="es-419"/>
        </w:rPr>
        <w:t>6</w:t>
      </w:r>
      <w:r w:rsidR="00AA2296" w:rsidRPr="00C06A05">
        <w:rPr>
          <w:lang w:val="es-419"/>
        </w:rPr>
        <w:t xml:space="preserve"> </w:t>
      </w:r>
      <w:r w:rsidR="00D54536" w:rsidRPr="00C06A05">
        <w:rPr>
          <w:lang w:val="es-419"/>
        </w:rPr>
        <w:t xml:space="preserve">ejes y 49 acciones </w:t>
      </w:r>
      <w:r w:rsidR="00A80AA0">
        <w:rPr>
          <w:lang w:val="es-419"/>
        </w:rPr>
        <w:t>a</w:t>
      </w:r>
      <w:r w:rsidR="00A80AA0" w:rsidRPr="00C06A05">
        <w:rPr>
          <w:lang w:val="es-419"/>
        </w:rPr>
        <w:t xml:space="preserve"> </w:t>
      </w:r>
      <w:r w:rsidR="00D54536" w:rsidRPr="00C06A05">
        <w:rPr>
          <w:lang w:val="es-419"/>
        </w:rPr>
        <w:t xml:space="preserve">corto y mediano plazo. La más visible ha sido </w:t>
      </w:r>
      <w:r w:rsidR="00AA2296">
        <w:rPr>
          <w:lang w:val="es-419"/>
        </w:rPr>
        <w:t xml:space="preserve">la creación de </w:t>
      </w:r>
      <w:r w:rsidR="00D54536" w:rsidRPr="00C06A05">
        <w:rPr>
          <w:lang w:val="es-419"/>
        </w:rPr>
        <w:t xml:space="preserve">los Puestos de Mando Unificados por la Vida, pensados como espacios operativos </w:t>
      </w:r>
      <w:r w:rsidR="00D54536" w:rsidRPr="00C06A05">
        <w:rPr>
          <w:lang w:val="es-419"/>
        </w:rPr>
        <w:lastRenderedPageBreak/>
        <w:t>a nivel local para la adopción de acciones concretas de prevención y protección. Su implementación experimentó desafíos relacionados con la falta de un enfoque preventivo de algunas autoridades locales, limitaciones del Gobierno nacional para acompañar los espacios municipales, la ausencia de confianza entre autoridades y sociedad civil, y las causas estructurales de la violencia en los territorios. En algunos municipios, sin embargo, se lograron iniciar procesos para revertir algunos de los factores de riesgo que afectan a las personas defensoras.</w:t>
      </w:r>
    </w:p>
    <w:p w14:paraId="0C64DCAB" w14:textId="17C7D02D" w:rsidR="00D54536" w:rsidRPr="00C06A05" w:rsidRDefault="004E6748" w:rsidP="00C06A05">
      <w:pPr>
        <w:pStyle w:val="SingleTxtG"/>
        <w:rPr>
          <w:lang w:val="es-419"/>
        </w:rPr>
      </w:pPr>
      <w:r>
        <w:rPr>
          <w:lang w:val="es-419"/>
        </w:rPr>
        <w:t>68.</w:t>
      </w:r>
      <w:r>
        <w:rPr>
          <w:lang w:val="es-419"/>
        </w:rPr>
        <w:tab/>
      </w:r>
      <w:r w:rsidR="00D54536" w:rsidRPr="00C06A05">
        <w:rPr>
          <w:lang w:val="es-419"/>
        </w:rPr>
        <w:t xml:space="preserve">El ACNUDH espera que el Plan de </w:t>
      </w:r>
      <w:r w:rsidR="00AA2296">
        <w:rPr>
          <w:lang w:val="es-419"/>
        </w:rPr>
        <w:t>E</w:t>
      </w:r>
      <w:r w:rsidR="00D54536" w:rsidRPr="00C06A05">
        <w:rPr>
          <w:lang w:val="es-419"/>
        </w:rPr>
        <w:t>mergencia sirva de base para la adopción de una política pública integral y coherente de prevención y protección a favor de personas defensoras que se construya participativamente con la sociedad civil y autoridades étnico-territoriales. Uno de sus elementos básicos debe ser el fortalecimiento de las personerías municipales como primeras autoridades responsables en derechos humanos a nivel local, sobre todo en aquellos municipios que experimentan las mayores tasas de violencia y pobreza multidimensional.</w:t>
      </w:r>
    </w:p>
    <w:p w14:paraId="007705CE" w14:textId="678A1EBE" w:rsidR="00D54536" w:rsidRPr="00C06A05" w:rsidRDefault="004E6748" w:rsidP="00C06A05">
      <w:pPr>
        <w:pStyle w:val="SingleTxtG"/>
        <w:rPr>
          <w:lang w:val="es-419"/>
        </w:rPr>
      </w:pPr>
      <w:r>
        <w:rPr>
          <w:lang w:val="es-419"/>
        </w:rPr>
        <w:t>69.</w:t>
      </w:r>
      <w:r>
        <w:rPr>
          <w:lang w:val="es-419"/>
        </w:rPr>
        <w:tab/>
      </w:r>
      <w:r w:rsidR="00AA2296" w:rsidRPr="00C06A05">
        <w:rPr>
          <w:lang w:val="es-419"/>
        </w:rPr>
        <w:t xml:space="preserve">El ACNUDH </w:t>
      </w:r>
      <w:r w:rsidR="00D54536" w:rsidRPr="00C06A05">
        <w:rPr>
          <w:lang w:val="es-419"/>
        </w:rPr>
        <w:t>recibió un número alto de quejas relativas a la implementación de los esquemas de protección individual y colectiva. Las quejas se refieren a demoras en la implementación de medidas de protección, la tendencia a disminuir el nivel de riesgo en los estudios de análisis de riesgo, la falta de pertinencia de las medidas a las realidades de los territorios, la débil incorporación de los enfoques étnico y de género y las deficiencias en el funcionamiento de las medidas. El ACNUDH considera que el proceso en curso ante la Corte Constitucional, a raíz de las acciones de tutela presentadas por varias personas defensoras, es una oportunidad única para revisar a fondo el sistema de protección individual y colectiva de la Unidad Nacional de Protección</w:t>
      </w:r>
      <w:r w:rsidR="00017BF4">
        <w:rPr>
          <w:rStyle w:val="FootnoteReference"/>
          <w:lang w:val="es-419"/>
        </w:rPr>
        <w:footnoteReference w:id="49"/>
      </w:r>
      <w:r w:rsidR="00D54536" w:rsidRPr="00C06A05">
        <w:rPr>
          <w:lang w:val="es-419"/>
        </w:rPr>
        <w:t>. Esta reforma resulta impostergable.</w:t>
      </w:r>
      <w:r w:rsidR="00AA2296">
        <w:rPr>
          <w:lang w:val="es-419"/>
        </w:rPr>
        <w:t xml:space="preserve"> </w:t>
      </w:r>
    </w:p>
    <w:p w14:paraId="6AC7EE32" w14:textId="19206D65" w:rsidR="00D54536" w:rsidRPr="00C06A05" w:rsidRDefault="004E6748" w:rsidP="00C06A05">
      <w:pPr>
        <w:pStyle w:val="SingleTxtG"/>
        <w:rPr>
          <w:lang w:val="es-419"/>
        </w:rPr>
      </w:pPr>
      <w:r>
        <w:rPr>
          <w:lang w:val="es-419"/>
        </w:rPr>
        <w:t>70.</w:t>
      </w:r>
      <w:r>
        <w:rPr>
          <w:lang w:val="es-419"/>
        </w:rPr>
        <w:tab/>
      </w:r>
      <w:r w:rsidR="00D54536" w:rsidRPr="00C06A05">
        <w:rPr>
          <w:lang w:val="es-419"/>
        </w:rPr>
        <w:t>También es necesaria la reactivación del proceso nacional de garantías a través del establecimiento de la Mesa Nacional para iniciar la construcción de una política nacional de garantías para personas defensoras de derechos humanos. Además, se requieren mayores esfuerzos por parte de las autoridades nacionales y departamentales para reactivar las mesas territoriales y transformarlas en espacios que atiendan efectivamente los principales factores de riesgo que impiden a las personas defensoras ejercer su labor en los territorios. Salvo algunas excepciones, en el pasado la operatividad de las mesas territoriales se vio afectada por la falta de voluntad política, de presencia de autoridades con poder de decisión</w:t>
      </w:r>
      <w:r w:rsidR="005F4CB8">
        <w:rPr>
          <w:lang w:val="es-419"/>
        </w:rPr>
        <w:t xml:space="preserve"> y</w:t>
      </w:r>
      <w:r w:rsidR="00D54536" w:rsidRPr="00C06A05">
        <w:rPr>
          <w:lang w:val="es-419"/>
        </w:rPr>
        <w:t xml:space="preserve"> de metodologías claras para el seguimiento e implementación de compromisos, y </w:t>
      </w:r>
      <w:r w:rsidR="005F4CB8">
        <w:rPr>
          <w:lang w:val="es-419"/>
        </w:rPr>
        <w:t xml:space="preserve">también por </w:t>
      </w:r>
      <w:r w:rsidR="00D54536" w:rsidRPr="00C06A05">
        <w:rPr>
          <w:lang w:val="es-419"/>
        </w:rPr>
        <w:t xml:space="preserve">la </w:t>
      </w:r>
      <w:r w:rsidR="005F4CB8">
        <w:rPr>
          <w:lang w:val="es-419"/>
        </w:rPr>
        <w:t>ausencia</w:t>
      </w:r>
      <w:r w:rsidR="005F4CB8" w:rsidRPr="00C06A05">
        <w:rPr>
          <w:lang w:val="es-419"/>
        </w:rPr>
        <w:t xml:space="preserve"> </w:t>
      </w:r>
      <w:r w:rsidR="00D54536" w:rsidRPr="00C06A05">
        <w:rPr>
          <w:lang w:val="es-419"/>
        </w:rPr>
        <w:t xml:space="preserve">de una representatividad amplia de </w:t>
      </w:r>
      <w:r w:rsidR="003B72A2">
        <w:rPr>
          <w:lang w:val="es-419"/>
        </w:rPr>
        <w:t xml:space="preserve">la </w:t>
      </w:r>
      <w:r w:rsidR="00D54536" w:rsidRPr="00C06A05">
        <w:rPr>
          <w:lang w:val="es-419"/>
        </w:rPr>
        <w:t xml:space="preserve">sociedad civil, especialmente de </w:t>
      </w:r>
      <w:r w:rsidR="003B72A2">
        <w:rPr>
          <w:lang w:val="es-419"/>
        </w:rPr>
        <w:t xml:space="preserve">los </w:t>
      </w:r>
      <w:r w:rsidR="00D54536" w:rsidRPr="00C06A05">
        <w:rPr>
          <w:lang w:val="es-419"/>
        </w:rPr>
        <w:t>pueblos étnicos.</w:t>
      </w:r>
    </w:p>
    <w:p w14:paraId="7E6F5D39" w14:textId="15985F94" w:rsidR="00D54536" w:rsidRPr="001E198D" w:rsidRDefault="00314B2F" w:rsidP="00AB3D5F">
      <w:pPr>
        <w:pStyle w:val="H1G"/>
      </w:pPr>
      <w:r>
        <w:tab/>
        <w:t>B.</w:t>
      </w:r>
      <w:r>
        <w:tab/>
      </w:r>
      <w:r w:rsidR="00D54536" w:rsidRPr="001E198D">
        <w:t>Derecho de reunión pacífica</w:t>
      </w:r>
    </w:p>
    <w:p w14:paraId="0216E029" w14:textId="3069185B" w:rsidR="00D54536" w:rsidRPr="00314B2F" w:rsidRDefault="00B931B3" w:rsidP="00314B2F">
      <w:pPr>
        <w:pStyle w:val="SingleTxtG"/>
        <w:rPr>
          <w:lang w:val="es-419"/>
        </w:rPr>
      </w:pPr>
      <w:r>
        <w:rPr>
          <w:lang w:val="es-419"/>
        </w:rPr>
        <w:t>71.</w:t>
      </w:r>
      <w:r>
        <w:rPr>
          <w:lang w:val="es-419"/>
        </w:rPr>
        <w:tab/>
      </w:r>
      <w:r w:rsidR="00D54536" w:rsidRPr="00314B2F">
        <w:rPr>
          <w:lang w:val="es-419"/>
        </w:rPr>
        <w:t xml:space="preserve">El Gobierno actual adoptó algunas medidas significativas para cumplir con los estándares internacionales de derechos humanos sobre el derecho de reunión pacífica. En el marco de la reforma a la Policía Nacional, se anunció un proceso de transformación del Escuadrón Móvil Antidisturbios, entre ellas, la preminencia del diálogo, la utilización de la fuerza diferenciada y como último recurso, y la rendición de cuentas. La reforma del </w:t>
      </w:r>
      <w:r w:rsidR="007A6B53" w:rsidRPr="00314B2F">
        <w:rPr>
          <w:lang w:val="es-419"/>
        </w:rPr>
        <w:t>Escuadrón</w:t>
      </w:r>
      <w:r w:rsidR="00D54536" w:rsidRPr="00314B2F">
        <w:rPr>
          <w:lang w:val="es-419"/>
        </w:rPr>
        <w:t xml:space="preserve">, sin embargo, debe ser el resultado de un amplio proceso participativo con diversos actores de sociedad civil y debe incluir cambios de fondo como la revisión de sus protocolos sobre el uso de la fuerza y de las armas menos letales, así como el fortalecimiento de los mecanismos internos de control que garanticen el estricto cumplimiento de los estándares internacionales. También es crucial fortalecer los mecanismos para prevenir </w:t>
      </w:r>
      <w:r w:rsidR="007E6BAF">
        <w:rPr>
          <w:lang w:val="es-419"/>
        </w:rPr>
        <w:t xml:space="preserve">la </w:t>
      </w:r>
      <w:r w:rsidR="00D54536" w:rsidRPr="00314B2F">
        <w:rPr>
          <w:lang w:val="es-419"/>
        </w:rPr>
        <w:t xml:space="preserve">violencia sexual y </w:t>
      </w:r>
      <w:r w:rsidR="007A6B53">
        <w:rPr>
          <w:lang w:val="es-419"/>
        </w:rPr>
        <w:t>de</w:t>
      </w:r>
      <w:r w:rsidR="00D54536" w:rsidRPr="00314B2F">
        <w:rPr>
          <w:lang w:val="es-419"/>
        </w:rPr>
        <w:t xml:space="preserve"> género contra mujeres, niñas y personas LGBTIQ+ </w:t>
      </w:r>
      <w:r w:rsidR="007E6BAF">
        <w:rPr>
          <w:lang w:val="es-419"/>
        </w:rPr>
        <w:t>e investigar los actos de esa naturaleza cometidos</w:t>
      </w:r>
      <w:r w:rsidR="007E6BAF" w:rsidRPr="00314B2F">
        <w:rPr>
          <w:lang w:val="es-419"/>
        </w:rPr>
        <w:t xml:space="preserve"> </w:t>
      </w:r>
      <w:r w:rsidR="00D54536" w:rsidRPr="00314B2F">
        <w:rPr>
          <w:lang w:val="es-419"/>
        </w:rPr>
        <w:t xml:space="preserve">en 2021. </w:t>
      </w:r>
      <w:r w:rsidR="007A6B53">
        <w:rPr>
          <w:lang w:val="es-419"/>
        </w:rPr>
        <w:t>E</w:t>
      </w:r>
      <w:r w:rsidR="007A6B53" w:rsidRPr="00314B2F">
        <w:rPr>
          <w:lang w:val="es-419"/>
        </w:rPr>
        <w:t xml:space="preserve">l ACNUDH </w:t>
      </w:r>
      <w:r w:rsidR="00D54536" w:rsidRPr="00314B2F">
        <w:rPr>
          <w:lang w:val="es-419"/>
        </w:rPr>
        <w:t xml:space="preserve">acompañó una reunión entre el </w:t>
      </w:r>
      <w:r w:rsidR="007A6B53">
        <w:rPr>
          <w:lang w:val="es-419"/>
        </w:rPr>
        <w:t>c</w:t>
      </w:r>
      <w:r w:rsidR="00D54536" w:rsidRPr="00314B2F">
        <w:rPr>
          <w:lang w:val="es-419"/>
        </w:rPr>
        <w:t>omandante de la Policía Nacional y jóvenes de las “primeras líneas”</w:t>
      </w:r>
      <w:r w:rsidR="00300CBC">
        <w:rPr>
          <w:rStyle w:val="FootnoteReference"/>
          <w:lang w:val="es-419"/>
        </w:rPr>
        <w:footnoteReference w:id="50"/>
      </w:r>
      <w:r w:rsidR="00D54536" w:rsidRPr="00314B2F">
        <w:rPr>
          <w:lang w:val="es-419"/>
        </w:rPr>
        <w:t xml:space="preserve">, </w:t>
      </w:r>
      <w:r w:rsidR="00616F41">
        <w:rPr>
          <w:lang w:val="es-419"/>
        </w:rPr>
        <w:t xml:space="preserve">durante la cual los jóvenes </w:t>
      </w:r>
      <w:r w:rsidR="00D54536" w:rsidRPr="00314B2F">
        <w:rPr>
          <w:lang w:val="es-419"/>
        </w:rPr>
        <w:t>compartieron recomendaciones elaboradas desde su experiencia.</w:t>
      </w:r>
    </w:p>
    <w:p w14:paraId="640609EF" w14:textId="7F105443" w:rsidR="00D54536" w:rsidRPr="00314B2F" w:rsidRDefault="00B931B3" w:rsidP="00314B2F">
      <w:pPr>
        <w:pStyle w:val="SingleTxtG"/>
        <w:rPr>
          <w:lang w:val="es-419"/>
        </w:rPr>
      </w:pPr>
      <w:r>
        <w:rPr>
          <w:lang w:val="es-419"/>
        </w:rPr>
        <w:lastRenderedPageBreak/>
        <w:t>72.</w:t>
      </w:r>
      <w:r>
        <w:rPr>
          <w:lang w:val="es-419"/>
        </w:rPr>
        <w:tab/>
      </w:r>
      <w:r w:rsidR="00D54536" w:rsidRPr="00314B2F">
        <w:rPr>
          <w:lang w:val="es-419"/>
        </w:rPr>
        <w:t xml:space="preserve">Durante el primer semestre de 2022, el ACNUDH documentó 110 casos de personas (95 hombres y 15 mujeres) detenidas y privadas de su libertad en relación con las protestas del </w:t>
      </w:r>
      <w:r w:rsidR="007A6B53">
        <w:rPr>
          <w:lang w:val="es-419"/>
        </w:rPr>
        <w:t>p</w:t>
      </w:r>
      <w:r w:rsidR="00D54536" w:rsidRPr="00314B2F">
        <w:rPr>
          <w:lang w:val="es-419"/>
        </w:rPr>
        <w:t xml:space="preserve">aro </w:t>
      </w:r>
      <w:r w:rsidR="007A6B53">
        <w:rPr>
          <w:lang w:val="es-419"/>
        </w:rPr>
        <w:t>n</w:t>
      </w:r>
      <w:r w:rsidR="00D54536" w:rsidRPr="00314B2F">
        <w:rPr>
          <w:lang w:val="es-419"/>
        </w:rPr>
        <w:t xml:space="preserve">acional en 2021. Las detenciones se </w:t>
      </w:r>
      <w:r w:rsidR="007E6BAF">
        <w:rPr>
          <w:lang w:val="es-419"/>
        </w:rPr>
        <w:t>llevaron a cabo</w:t>
      </w:r>
      <w:r w:rsidR="007E6BAF" w:rsidRPr="00314B2F">
        <w:rPr>
          <w:lang w:val="es-419"/>
        </w:rPr>
        <w:t xml:space="preserve"> </w:t>
      </w:r>
      <w:r w:rsidR="00D54536" w:rsidRPr="00314B2F">
        <w:rPr>
          <w:lang w:val="es-419"/>
        </w:rPr>
        <w:t>por orden judicial y como resultado de un proceso de investigación por parte de la Fiscalía General de la Nación, con información aportada por la Policía Nacional. En 85 de los casos registrados, la Fiscalía incluyó el delito de concierto para delinquir entre los delitos imputados</w:t>
      </w:r>
      <w:r w:rsidR="00F051F9">
        <w:rPr>
          <w:lang w:val="es-419"/>
        </w:rPr>
        <w:t>,</w:t>
      </w:r>
      <w:r w:rsidR="00D54536" w:rsidRPr="00314B2F">
        <w:rPr>
          <w:lang w:val="es-419"/>
        </w:rPr>
        <w:t xml:space="preserve"> y en 54 casos el delito de terrorismo. En otros casos, también se incluyeron delitos de especial gravedad</w:t>
      </w:r>
      <w:r w:rsidR="007A6B53">
        <w:rPr>
          <w:lang w:val="es-419"/>
        </w:rPr>
        <w:t>,</w:t>
      </w:r>
      <w:r w:rsidR="00D54536" w:rsidRPr="00314B2F">
        <w:rPr>
          <w:lang w:val="es-419"/>
        </w:rPr>
        <w:t xml:space="preserve"> como tortura, secuestro, tentativa de homicidio u homicidio. La mayoría de las personas imputadas son jóvenes entre 18 y 28 años en condiciones de vulnerabilidad, que habrían participado en las protestas o en los denominados </w:t>
      </w:r>
      <w:r w:rsidR="007A6B53">
        <w:rPr>
          <w:lang w:val="es-419"/>
        </w:rPr>
        <w:t>“</w:t>
      </w:r>
      <w:r w:rsidR="00D54536" w:rsidRPr="00314B2F">
        <w:rPr>
          <w:lang w:val="es-419"/>
        </w:rPr>
        <w:t>espacios de resistencia</w:t>
      </w:r>
      <w:r w:rsidR="007A6B53">
        <w:rPr>
          <w:lang w:val="es-419"/>
        </w:rPr>
        <w:t>”</w:t>
      </w:r>
      <w:r w:rsidR="00D54536" w:rsidRPr="00314B2F">
        <w:rPr>
          <w:lang w:val="es-419"/>
        </w:rPr>
        <w:t xml:space="preserve"> en las principales ciudades del país.</w:t>
      </w:r>
    </w:p>
    <w:p w14:paraId="6D7CEFDF" w14:textId="592BDAC3" w:rsidR="00D54536" w:rsidRPr="00314B2F" w:rsidRDefault="00B931B3" w:rsidP="00314B2F">
      <w:pPr>
        <w:pStyle w:val="SingleTxtG"/>
        <w:rPr>
          <w:lang w:val="es-419"/>
        </w:rPr>
      </w:pPr>
      <w:r>
        <w:rPr>
          <w:lang w:val="es-419"/>
        </w:rPr>
        <w:t>73.</w:t>
      </w:r>
      <w:r>
        <w:rPr>
          <w:lang w:val="es-419"/>
        </w:rPr>
        <w:tab/>
      </w:r>
      <w:r w:rsidR="00D54536" w:rsidRPr="00314B2F">
        <w:rPr>
          <w:lang w:val="es-419"/>
        </w:rPr>
        <w:t>El ACNUDH observa que la utilización de tipos penales como terrorismo y concierto para delinquir por la Fiscalía y las detenciones en torno a fechas clave cuando los jóvenes solían salir a protestar estigmatizan a las personas que participan en las protestas y generan un entorno que no permite el ejercicio pleno y libre del derecho de reunión pacífica</w:t>
      </w:r>
      <w:r w:rsidR="00D94885">
        <w:rPr>
          <w:rStyle w:val="FootnoteReference"/>
          <w:lang w:val="es-419"/>
        </w:rPr>
        <w:footnoteReference w:id="51"/>
      </w:r>
      <w:r w:rsidR="00D54536" w:rsidRPr="00314B2F">
        <w:rPr>
          <w:lang w:val="es-419"/>
        </w:rPr>
        <w:t xml:space="preserve">. </w:t>
      </w:r>
      <w:r w:rsidR="00D54536" w:rsidRPr="007A6B53">
        <w:rPr>
          <w:lang w:val="es-419"/>
        </w:rPr>
        <w:t>Para</w:t>
      </w:r>
      <w:r w:rsidR="00D54536" w:rsidRPr="00314B2F">
        <w:rPr>
          <w:lang w:val="es-419"/>
        </w:rPr>
        <w:t xml:space="preserve"> abordar esta situación,</w:t>
      </w:r>
      <w:r w:rsidR="003B72A2">
        <w:rPr>
          <w:lang w:val="es-419"/>
        </w:rPr>
        <w:t xml:space="preserve"> </w:t>
      </w:r>
      <w:r w:rsidR="00D54536" w:rsidRPr="00314B2F">
        <w:rPr>
          <w:lang w:val="es-419"/>
        </w:rPr>
        <w:t xml:space="preserve">el Gobierno expidió </w:t>
      </w:r>
      <w:r w:rsidR="003B72A2" w:rsidRPr="00314B2F">
        <w:rPr>
          <w:lang w:val="es-419"/>
        </w:rPr>
        <w:t xml:space="preserve">en diciembre </w:t>
      </w:r>
      <w:r w:rsidR="00D54536" w:rsidRPr="00314B2F">
        <w:rPr>
          <w:lang w:val="es-419"/>
        </w:rPr>
        <w:t>el Decreto 2422</w:t>
      </w:r>
      <w:r w:rsidR="009E07A6">
        <w:rPr>
          <w:rStyle w:val="FootnoteReference"/>
          <w:lang w:val="es-419"/>
        </w:rPr>
        <w:footnoteReference w:id="52"/>
      </w:r>
      <w:r w:rsidR="00D54536" w:rsidRPr="00314B2F">
        <w:rPr>
          <w:lang w:val="es-419"/>
        </w:rPr>
        <w:t xml:space="preserve">, por medio del cual </w:t>
      </w:r>
      <w:r w:rsidR="00616F41">
        <w:rPr>
          <w:lang w:val="es-419"/>
        </w:rPr>
        <w:t xml:space="preserve">creó </w:t>
      </w:r>
      <w:r w:rsidR="00D54536" w:rsidRPr="00314B2F">
        <w:rPr>
          <w:lang w:val="es-419"/>
        </w:rPr>
        <w:t>una Comisión Inter</w:t>
      </w:r>
      <w:r w:rsidR="007A6B53">
        <w:rPr>
          <w:lang w:val="es-419"/>
        </w:rPr>
        <w:t>sectorial</w:t>
      </w:r>
      <w:r w:rsidR="00D54536" w:rsidRPr="00314B2F">
        <w:rPr>
          <w:lang w:val="es-419"/>
        </w:rPr>
        <w:t xml:space="preserve"> </w:t>
      </w:r>
      <w:r w:rsidR="00616F41">
        <w:rPr>
          <w:lang w:val="es-419"/>
        </w:rPr>
        <w:t xml:space="preserve">con </w:t>
      </w:r>
      <w:r w:rsidR="00D54536" w:rsidRPr="00314B2F">
        <w:rPr>
          <w:lang w:val="es-419"/>
        </w:rPr>
        <w:t>la facultad de admitir como voceros de paz a ciudadanos</w:t>
      </w:r>
      <w:r w:rsidR="00616F41">
        <w:rPr>
          <w:lang w:val="es-419"/>
        </w:rPr>
        <w:t xml:space="preserve"> y ciudadanas </w:t>
      </w:r>
      <w:r w:rsidR="00D54536" w:rsidRPr="00314B2F">
        <w:rPr>
          <w:lang w:val="es-419"/>
        </w:rPr>
        <w:t xml:space="preserve">pertenecientes a organizaciones sociales y humanitarias que tienen órdenes de captura. </w:t>
      </w:r>
    </w:p>
    <w:p w14:paraId="5F7082FD" w14:textId="22CC169F" w:rsidR="00D54536" w:rsidRPr="00314B2F" w:rsidRDefault="00026C85" w:rsidP="00314B2F">
      <w:pPr>
        <w:pStyle w:val="SingleTxtG"/>
        <w:rPr>
          <w:lang w:val="es-419"/>
        </w:rPr>
      </w:pPr>
      <w:r w:rsidRPr="009D3C30">
        <w:rPr>
          <w:lang w:val="es-419"/>
        </w:rPr>
        <w:t>74.</w:t>
      </w:r>
      <w:r w:rsidRPr="009D3C30">
        <w:rPr>
          <w:lang w:val="es-419"/>
        </w:rPr>
        <w:tab/>
      </w:r>
      <w:r w:rsidR="00D54536" w:rsidRPr="009D3C30">
        <w:rPr>
          <w:lang w:val="es-419"/>
        </w:rPr>
        <w:t xml:space="preserve">En contraste con el avance en las investigaciones en contra de personas que participaron en las protestas, el ACNUDH identificó un lento avance en el procesamiento de los casos de violaciones de derechos humanos por parte de miembros de la Fuerza Pública durante el </w:t>
      </w:r>
      <w:r w:rsidR="009D3C30">
        <w:rPr>
          <w:lang w:val="es-419"/>
        </w:rPr>
        <w:t>p</w:t>
      </w:r>
      <w:r w:rsidR="00D54536" w:rsidRPr="009D3C30">
        <w:rPr>
          <w:lang w:val="es-419"/>
        </w:rPr>
        <w:t xml:space="preserve">aro </w:t>
      </w:r>
      <w:r w:rsidR="009D3C30">
        <w:rPr>
          <w:lang w:val="es-419"/>
        </w:rPr>
        <w:t>n</w:t>
      </w:r>
      <w:r w:rsidR="00D54536" w:rsidRPr="009D3C30">
        <w:rPr>
          <w:lang w:val="es-419"/>
        </w:rPr>
        <w:t>acional en 2021</w:t>
      </w:r>
      <w:r w:rsidR="003C50A2" w:rsidRPr="009D3C30">
        <w:rPr>
          <w:rStyle w:val="FootnoteReference"/>
          <w:lang w:val="es-419"/>
        </w:rPr>
        <w:footnoteReference w:id="53"/>
      </w:r>
      <w:r w:rsidR="00D54536" w:rsidRPr="009D3C30">
        <w:rPr>
          <w:lang w:val="es-419"/>
        </w:rPr>
        <w:t xml:space="preserve">. De los 46 casos de muertes en protesta entre abril y julio de 2021 verificados por el ACNUDH, 13 se encuentran en fase de juicio, 29 en indagación, 3 se han archivado y en </w:t>
      </w:r>
      <w:r w:rsidR="009D3C30">
        <w:rPr>
          <w:lang w:val="es-419"/>
        </w:rPr>
        <w:t>1</w:t>
      </w:r>
      <w:r w:rsidR="009D3C30" w:rsidRPr="009D3C30">
        <w:rPr>
          <w:lang w:val="es-419"/>
        </w:rPr>
        <w:t xml:space="preserve"> </w:t>
      </w:r>
      <w:r w:rsidR="00D54536" w:rsidRPr="009D3C30">
        <w:rPr>
          <w:lang w:val="es-419"/>
        </w:rPr>
        <w:t xml:space="preserve">no se obtuvo información. La Fiscalía ha imputado a 10 miembros de la Fuerza Pública, de los cuales </w:t>
      </w:r>
      <w:r w:rsidR="009D3C30">
        <w:rPr>
          <w:lang w:val="es-419"/>
        </w:rPr>
        <w:t>5</w:t>
      </w:r>
      <w:r w:rsidR="009D3C30" w:rsidRPr="009D3C30">
        <w:rPr>
          <w:lang w:val="es-419"/>
        </w:rPr>
        <w:t xml:space="preserve"> </w:t>
      </w:r>
      <w:r w:rsidR="00D54536" w:rsidRPr="009D3C30">
        <w:rPr>
          <w:lang w:val="es-419"/>
        </w:rPr>
        <w:t xml:space="preserve">son de rango superior. En los 28 </w:t>
      </w:r>
      <w:r w:rsidR="00616F41" w:rsidRPr="009D3C30">
        <w:rPr>
          <w:lang w:val="es-419"/>
        </w:rPr>
        <w:t>casos (</w:t>
      </w:r>
      <w:r w:rsidR="00D54536" w:rsidRPr="009D3C30">
        <w:rPr>
          <w:lang w:val="es-419"/>
        </w:rPr>
        <w:t>de</w:t>
      </w:r>
      <w:r w:rsidR="009D3C30">
        <w:rPr>
          <w:lang w:val="es-419"/>
        </w:rPr>
        <w:t>l total de</w:t>
      </w:r>
      <w:r w:rsidR="00D54536" w:rsidRPr="009D3C30">
        <w:rPr>
          <w:lang w:val="es-419"/>
        </w:rPr>
        <w:t xml:space="preserve"> 46</w:t>
      </w:r>
      <w:r w:rsidR="00616F41" w:rsidRPr="009D3C30">
        <w:rPr>
          <w:lang w:val="es-419"/>
        </w:rPr>
        <w:t>)</w:t>
      </w:r>
      <w:r w:rsidR="00D54536" w:rsidRPr="009D3C30">
        <w:rPr>
          <w:lang w:val="es-419"/>
        </w:rPr>
        <w:t xml:space="preserve"> en los que se vincula a la Fuerza Pública, no hay privados de la liberta</w:t>
      </w:r>
      <w:r w:rsidR="00877684" w:rsidRPr="009D3C30">
        <w:rPr>
          <w:lang w:val="es-419"/>
        </w:rPr>
        <w:t>d o no se han dictado condenas.</w:t>
      </w:r>
    </w:p>
    <w:p w14:paraId="07490D79" w14:textId="0A8C949A" w:rsidR="00D54536" w:rsidRPr="00314B2F" w:rsidRDefault="00026C85" w:rsidP="00314B2F">
      <w:pPr>
        <w:pStyle w:val="SingleTxtG"/>
        <w:rPr>
          <w:lang w:val="es-419"/>
        </w:rPr>
      </w:pPr>
      <w:r>
        <w:rPr>
          <w:lang w:val="es-419"/>
        </w:rPr>
        <w:t>75.</w:t>
      </w:r>
      <w:r>
        <w:rPr>
          <w:lang w:val="es-419"/>
        </w:rPr>
        <w:tab/>
      </w:r>
      <w:r w:rsidR="00D54536" w:rsidRPr="00314B2F">
        <w:rPr>
          <w:lang w:val="es-419"/>
        </w:rPr>
        <w:t xml:space="preserve">En relación con los casos de 2021 referidos en el párrafo anterior y las 14 personas que fueron privadas de la vida en el contexto de las protestas de septiembre de 2020, se estableció una mesa de trabajo entre el Ministerio de Defensa, la Inspección de la Policía, la Fiscalía, la Procuraduría y el ACNUDH para agilizar las investigaciones y </w:t>
      </w:r>
      <w:r w:rsidR="009D3C30">
        <w:rPr>
          <w:lang w:val="es-419"/>
        </w:rPr>
        <w:t xml:space="preserve">el </w:t>
      </w:r>
      <w:r w:rsidR="00D54536" w:rsidRPr="00314B2F">
        <w:rPr>
          <w:lang w:val="es-419"/>
        </w:rPr>
        <w:t>procesamiento de miembros de la Fuerza Pública presuntamente responsables</w:t>
      </w:r>
      <w:r w:rsidR="008953CE">
        <w:rPr>
          <w:rStyle w:val="FootnoteReference"/>
          <w:lang w:val="es-419"/>
        </w:rPr>
        <w:footnoteReference w:id="54"/>
      </w:r>
      <w:r w:rsidR="00D54536" w:rsidRPr="00314B2F">
        <w:rPr>
          <w:lang w:val="es-419"/>
        </w:rPr>
        <w:t xml:space="preserve">. Es positivo también el establecimiento de canales de diálogo entre la </w:t>
      </w:r>
      <w:r w:rsidR="009D3C30">
        <w:rPr>
          <w:lang w:val="es-419"/>
        </w:rPr>
        <w:t>a</w:t>
      </w:r>
      <w:r w:rsidR="00D54536" w:rsidRPr="00314B2F">
        <w:rPr>
          <w:lang w:val="es-419"/>
        </w:rPr>
        <w:t>lcaldía de Bogotá y el Ministerio de Defensa con los familiares de las víctimas.</w:t>
      </w:r>
    </w:p>
    <w:p w14:paraId="60F4A03D" w14:textId="32C4EC3C" w:rsidR="00D54536" w:rsidRPr="007719CA" w:rsidRDefault="00342CAC" w:rsidP="00AB3D5F">
      <w:pPr>
        <w:pStyle w:val="HChG"/>
        <w:rPr>
          <w:lang w:val="es-419"/>
        </w:rPr>
      </w:pPr>
      <w:r>
        <w:rPr>
          <w:lang w:val="es-419"/>
        </w:rPr>
        <w:tab/>
        <w:t>VI.</w:t>
      </w:r>
      <w:r>
        <w:rPr>
          <w:lang w:val="es-419"/>
        </w:rPr>
        <w:tab/>
      </w:r>
      <w:r>
        <w:rPr>
          <w:lang w:val="es-419"/>
        </w:rPr>
        <w:tab/>
      </w:r>
      <w:r w:rsidR="00D54536" w:rsidRPr="007719CA">
        <w:rPr>
          <w:lang w:val="es-419"/>
        </w:rPr>
        <w:t>Recomendaciones</w:t>
      </w:r>
    </w:p>
    <w:p w14:paraId="529BD8E4" w14:textId="62943C5F" w:rsidR="00D54536" w:rsidRPr="000D4841" w:rsidRDefault="00AF3334" w:rsidP="00AF3334">
      <w:pPr>
        <w:pStyle w:val="SingleTxtG"/>
        <w:rPr>
          <w:b/>
          <w:bCs/>
          <w:lang w:val="es-419"/>
        </w:rPr>
      </w:pPr>
      <w:r w:rsidRPr="00BE18E6">
        <w:rPr>
          <w:bCs/>
          <w:lang w:val="es-419"/>
        </w:rPr>
        <w:t>76.</w:t>
      </w:r>
      <w:r w:rsidRPr="000D4841">
        <w:rPr>
          <w:b/>
          <w:bCs/>
          <w:lang w:val="es-419"/>
        </w:rPr>
        <w:tab/>
      </w:r>
      <w:r w:rsidR="00D54536" w:rsidRPr="000D4841">
        <w:rPr>
          <w:b/>
          <w:bCs/>
          <w:lang w:val="es-419"/>
        </w:rPr>
        <w:t>El Alto Comisionado de las Naciones Unidas para los Derechos Humanos recuerda las recomendaciones hechas en informes anteriores y:</w:t>
      </w:r>
    </w:p>
    <w:p w14:paraId="0B1461DD" w14:textId="4E2D8C52" w:rsidR="00D54536" w:rsidRPr="00AB3D5F" w:rsidRDefault="008053E8" w:rsidP="008053E8">
      <w:pPr>
        <w:pStyle w:val="SingleTxtG"/>
        <w:ind w:firstLine="567"/>
        <w:rPr>
          <w:b/>
          <w:lang w:eastAsia="es-CO"/>
        </w:rPr>
      </w:pPr>
      <w:r w:rsidRPr="00AB3D5F">
        <w:rPr>
          <w:b/>
          <w:lang w:val="es-419" w:eastAsia="es-CO"/>
        </w:rPr>
        <w:t>a)</w:t>
      </w:r>
      <w:r w:rsidRPr="00AB3D5F">
        <w:rPr>
          <w:b/>
          <w:lang w:val="es-419" w:eastAsia="es-CO"/>
        </w:rPr>
        <w:tab/>
      </w:r>
      <w:r w:rsidR="00D54536" w:rsidRPr="00AB3D5F">
        <w:rPr>
          <w:b/>
          <w:lang w:eastAsia="es-CO"/>
        </w:rPr>
        <w:t>Exhorta al Estado a fortalecer la presencia y capacidad de sus autoridades e instituciones civiles en los territorios más afectados por la violencia, incluyendo a las autoridades étnico-territoriales</w:t>
      </w:r>
      <w:r w:rsidR="00207AB9" w:rsidRPr="00AB3D5F">
        <w:rPr>
          <w:b/>
          <w:lang w:eastAsia="es-CO"/>
        </w:rPr>
        <w:t>,</w:t>
      </w:r>
      <w:r w:rsidR="00D54536" w:rsidRPr="00AB3D5F">
        <w:rPr>
          <w:b/>
          <w:lang w:eastAsia="es-CO"/>
        </w:rPr>
        <w:t xml:space="preserve"> y a reforzar la articulación de acciones locales, departamentales y nacionales para responder </w:t>
      </w:r>
      <w:r w:rsidR="00D54536" w:rsidRPr="00AB3D5F">
        <w:rPr>
          <w:b/>
          <w:lang w:val="es-419" w:eastAsia="es-CO"/>
        </w:rPr>
        <w:t>al</w:t>
      </w:r>
      <w:r w:rsidR="00D54536" w:rsidRPr="00AB3D5F">
        <w:rPr>
          <w:b/>
          <w:lang w:eastAsia="es-CO"/>
        </w:rPr>
        <w:t xml:space="preserve"> conflicto y </w:t>
      </w:r>
      <w:r w:rsidR="009D3C30" w:rsidRPr="00AB3D5F">
        <w:rPr>
          <w:b/>
          <w:lang w:eastAsia="es-CO"/>
        </w:rPr>
        <w:t xml:space="preserve">a </w:t>
      </w:r>
      <w:r w:rsidR="00D54536" w:rsidRPr="00AB3D5F">
        <w:rPr>
          <w:b/>
          <w:lang w:eastAsia="es-CO"/>
        </w:rPr>
        <w:t>la violencia</w:t>
      </w:r>
      <w:r w:rsidR="00F53233" w:rsidRPr="00AB3D5F">
        <w:rPr>
          <w:b/>
          <w:lang w:eastAsia="es-CO"/>
        </w:rPr>
        <w:t>;</w:t>
      </w:r>
    </w:p>
    <w:p w14:paraId="6435EEBC" w14:textId="446CFE5B" w:rsidR="00D54536" w:rsidRPr="000A6C2B" w:rsidRDefault="00110764" w:rsidP="00110764">
      <w:pPr>
        <w:pStyle w:val="SingleTxtG"/>
        <w:ind w:firstLine="567"/>
        <w:rPr>
          <w:b/>
          <w:bCs/>
          <w:lang w:eastAsia="es-CO"/>
        </w:rPr>
      </w:pPr>
      <w:r w:rsidRPr="00AB3D5F">
        <w:rPr>
          <w:b/>
          <w:lang w:eastAsia="es-CO"/>
        </w:rPr>
        <w:t>b)</w:t>
      </w:r>
      <w:r w:rsidRPr="00AB3D5F">
        <w:rPr>
          <w:b/>
          <w:lang w:eastAsia="es-CO"/>
        </w:rPr>
        <w:tab/>
      </w:r>
      <w:r w:rsidR="00D54536" w:rsidRPr="00AB3D5F">
        <w:rPr>
          <w:b/>
          <w:lang w:eastAsia="es-CO"/>
        </w:rPr>
        <w:t>Exhorta a que</w:t>
      </w:r>
      <w:r w:rsidR="00207AB9" w:rsidRPr="00AB3D5F">
        <w:rPr>
          <w:b/>
          <w:lang w:eastAsia="es-CO"/>
        </w:rPr>
        <w:t>,</w:t>
      </w:r>
      <w:r w:rsidR="00D54536" w:rsidRPr="00AB3D5F">
        <w:rPr>
          <w:b/>
          <w:lang w:eastAsia="es-CO"/>
        </w:rPr>
        <w:t xml:space="preserve"> en los procesos de diálogo y/o negociación con grupos armados no</w:t>
      </w:r>
      <w:r w:rsidR="00D54536" w:rsidRPr="000A6C2B">
        <w:rPr>
          <w:b/>
          <w:bCs/>
          <w:lang w:eastAsia="es-CO"/>
        </w:rPr>
        <w:t xml:space="preserve"> estatales y/o organizaciones criminales</w:t>
      </w:r>
      <w:r w:rsidR="00207AB9">
        <w:rPr>
          <w:b/>
          <w:bCs/>
          <w:lang w:eastAsia="es-CO"/>
        </w:rPr>
        <w:t>,</w:t>
      </w:r>
      <w:r w:rsidR="00D54536" w:rsidRPr="000A6C2B">
        <w:rPr>
          <w:b/>
          <w:bCs/>
          <w:lang w:eastAsia="es-CO"/>
        </w:rPr>
        <w:t xml:space="preserve"> se acuerden medidas inmediatas </w:t>
      </w:r>
      <w:r w:rsidR="00D54536" w:rsidRPr="000A6C2B">
        <w:rPr>
          <w:b/>
          <w:bCs/>
          <w:lang w:eastAsia="es-CO"/>
        </w:rPr>
        <w:lastRenderedPageBreak/>
        <w:t>para desescalar la violencia y mitigar sus impactos, y se consideren las normas y estándares internacionales sobre derechos de las víctimas y lucha contra la impunidad</w:t>
      </w:r>
      <w:r w:rsidR="00F53233">
        <w:rPr>
          <w:b/>
          <w:bCs/>
          <w:lang w:eastAsia="es-CO"/>
        </w:rPr>
        <w:t>;</w:t>
      </w:r>
    </w:p>
    <w:p w14:paraId="258B671B" w14:textId="2466B75C" w:rsidR="00D54536" w:rsidRPr="00AB3D5F" w:rsidRDefault="006E444A" w:rsidP="00414D44">
      <w:pPr>
        <w:pStyle w:val="SingleTxtG"/>
        <w:ind w:firstLine="567"/>
        <w:rPr>
          <w:b/>
          <w:lang w:eastAsia="es-CO"/>
        </w:rPr>
      </w:pPr>
      <w:r w:rsidRPr="00AB3D5F">
        <w:rPr>
          <w:b/>
          <w:lang w:eastAsia="es-CO"/>
        </w:rPr>
        <w:t>c)</w:t>
      </w:r>
      <w:r w:rsidRPr="00AB3D5F">
        <w:rPr>
          <w:b/>
          <w:lang w:eastAsia="es-CO"/>
        </w:rPr>
        <w:tab/>
      </w:r>
      <w:r w:rsidR="00D54536" w:rsidRPr="00AB3D5F">
        <w:rPr>
          <w:b/>
          <w:lang w:eastAsia="es-CO"/>
        </w:rPr>
        <w:t>Urge a los grupos armados no estatales a respetar irrestrictamente los derechos humanos y, cuando sea aplicable, el derecho internacional humanitario</w:t>
      </w:r>
      <w:r w:rsidR="00F53233" w:rsidRPr="00AB3D5F">
        <w:rPr>
          <w:b/>
          <w:lang w:eastAsia="es-CO"/>
        </w:rPr>
        <w:t>;</w:t>
      </w:r>
    </w:p>
    <w:p w14:paraId="2F3913D3" w14:textId="441C7ADE" w:rsidR="00D54536" w:rsidRPr="00AB3D5F" w:rsidRDefault="006E444A" w:rsidP="00414D44">
      <w:pPr>
        <w:pStyle w:val="SingleTxtG"/>
        <w:ind w:firstLine="567"/>
        <w:rPr>
          <w:b/>
        </w:rPr>
      </w:pPr>
      <w:r w:rsidRPr="00AB3D5F">
        <w:rPr>
          <w:b/>
        </w:rPr>
        <w:t>d)</w:t>
      </w:r>
      <w:r w:rsidRPr="00AB3D5F">
        <w:rPr>
          <w:b/>
        </w:rPr>
        <w:tab/>
      </w:r>
      <w:r w:rsidR="00D54536" w:rsidRPr="00AB3D5F">
        <w:rPr>
          <w:b/>
        </w:rPr>
        <w:t>Insta a fortalecer la participación de las comunidades en la implementación de la reforma rural, los planes de ordenamiento social de la propiedad rural</w:t>
      </w:r>
      <w:r w:rsidR="009D3C30" w:rsidRPr="00AB3D5F">
        <w:rPr>
          <w:b/>
        </w:rPr>
        <w:t xml:space="preserve"> y</w:t>
      </w:r>
      <w:r w:rsidR="00D54536" w:rsidRPr="00AB3D5F">
        <w:rPr>
          <w:b/>
        </w:rPr>
        <w:t xml:space="preserve"> las políticas de acceso a tierras para mujeres rurales y campesinas y para que la compra de tierras por parte del Estado no genere procesos especulativos</w:t>
      </w:r>
      <w:r w:rsidR="00F53233" w:rsidRPr="00AB3D5F">
        <w:rPr>
          <w:b/>
          <w:lang w:eastAsia="es-CO"/>
        </w:rPr>
        <w:t>;</w:t>
      </w:r>
    </w:p>
    <w:p w14:paraId="76DA42DC" w14:textId="586F0C57" w:rsidR="00D54536" w:rsidRPr="00AB3D5F" w:rsidRDefault="006E444A" w:rsidP="00414D44">
      <w:pPr>
        <w:pStyle w:val="SingleTxtG"/>
        <w:ind w:firstLine="567"/>
        <w:rPr>
          <w:b/>
        </w:rPr>
      </w:pPr>
      <w:r w:rsidRPr="00AB3D5F">
        <w:rPr>
          <w:b/>
        </w:rPr>
        <w:t>e)</w:t>
      </w:r>
      <w:r w:rsidRPr="00AB3D5F">
        <w:rPr>
          <w:b/>
        </w:rPr>
        <w:tab/>
      </w:r>
      <w:r w:rsidR="00D54536" w:rsidRPr="00AB3D5F">
        <w:rPr>
          <w:b/>
        </w:rPr>
        <w:t xml:space="preserve">Exhorta al Estado a impulsar y fortalecer los espacios de interlocución para el cumplimiento del Acuerdo de Paz relacionados con la reforma rural integral y la política de drogas, como la Mesa Nacional de Seguimiento </w:t>
      </w:r>
      <w:r w:rsidR="009D3C30" w:rsidRPr="00AB3D5F">
        <w:rPr>
          <w:b/>
        </w:rPr>
        <w:t>de</w:t>
      </w:r>
      <w:r w:rsidR="00D54536" w:rsidRPr="00AB3D5F">
        <w:rPr>
          <w:b/>
        </w:rPr>
        <w:t xml:space="preserve"> los Programas de Desarrollo con Enfoque Territorial</w:t>
      </w:r>
      <w:r w:rsidR="00F53233" w:rsidRPr="00AB3D5F">
        <w:rPr>
          <w:b/>
          <w:lang w:eastAsia="es-CO"/>
        </w:rPr>
        <w:t>;</w:t>
      </w:r>
    </w:p>
    <w:p w14:paraId="7BA775AB" w14:textId="7B312A34" w:rsidR="00D54536" w:rsidRPr="00AB3D5F" w:rsidRDefault="006E444A" w:rsidP="00414D44">
      <w:pPr>
        <w:pStyle w:val="SingleTxtG"/>
        <w:ind w:firstLine="567"/>
        <w:rPr>
          <w:b/>
        </w:rPr>
      </w:pPr>
      <w:r w:rsidRPr="00AB3D5F">
        <w:rPr>
          <w:b/>
        </w:rPr>
        <w:t>f)</w:t>
      </w:r>
      <w:r w:rsidRPr="00AB3D5F">
        <w:rPr>
          <w:b/>
        </w:rPr>
        <w:tab/>
      </w:r>
      <w:r w:rsidR="009D3C30" w:rsidRPr="00AB3D5F">
        <w:rPr>
          <w:b/>
        </w:rPr>
        <w:t xml:space="preserve">Hace un llamamiento </w:t>
      </w:r>
      <w:r w:rsidR="00D54536" w:rsidRPr="00AB3D5F">
        <w:rPr>
          <w:b/>
        </w:rPr>
        <w:t xml:space="preserve">al Ministerio de Agricultura y Desarrollo Rural, a la Agencia Nacional de Tierras y demás entidades del sector, </w:t>
      </w:r>
      <w:r w:rsidR="009D3C30" w:rsidRPr="00AB3D5F">
        <w:rPr>
          <w:b/>
        </w:rPr>
        <w:t>par</w:t>
      </w:r>
      <w:r w:rsidR="00D54536" w:rsidRPr="00AB3D5F">
        <w:rPr>
          <w:b/>
        </w:rPr>
        <w:t xml:space="preserve">a </w:t>
      </w:r>
      <w:r w:rsidR="009D3C30" w:rsidRPr="00AB3D5F">
        <w:rPr>
          <w:b/>
        </w:rPr>
        <w:t xml:space="preserve">que </w:t>
      </w:r>
      <w:r w:rsidR="00D54536" w:rsidRPr="00AB3D5F">
        <w:rPr>
          <w:b/>
        </w:rPr>
        <w:t>gener</w:t>
      </w:r>
      <w:r w:rsidR="009D3C30" w:rsidRPr="00AB3D5F">
        <w:rPr>
          <w:b/>
        </w:rPr>
        <w:t>en</w:t>
      </w:r>
      <w:r w:rsidR="00D54536" w:rsidRPr="00AB3D5F">
        <w:rPr>
          <w:b/>
        </w:rPr>
        <w:t xml:space="preserve"> un programa de acceso prioritario de mujeres campesinas a la tierra</w:t>
      </w:r>
      <w:r w:rsidR="00F53233" w:rsidRPr="00AB3D5F">
        <w:rPr>
          <w:b/>
          <w:lang w:eastAsia="es-CO"/>
        </w:rPr>
        <w:t>;</w:t>
      </w:r>
    </w:p>
    <w:p w14:paraId="34983787" w14:textId="282D0DC5" w:rsidR="00D54536" w:rsidRPr="00AB3D5F" w:rsidRDefault="00BE18E6" w:rsidP="00414D44">
      <w:pPr>
        <w:pStyle w:val="SingleTxtG"/>
        <w:ind w:firstLine="567"/>
        <w:rPr>
          <w:b/>
        </w:rPr>
      </w:pPr>
      <w:r w:rsidRPr="00AB3D5F">
        <w:rPr>
          <w:b/>
        </w:rPr>
        <w:t>g)</w:t>
      </w:r>
      <w:r w:rsidR="006E444A" w:rsidRPr="00AB3D5F">
        <w:rPr>
          <w:b/>
        </w:rPr>
        <w:tab/>
      </w:r>
      <w:r w:rsidR="00D54536" w:rsidRPr="00AB3D5F">
        <w:rPr>
          <w:b/>
        </w:rPr>
        <w:t>Insta a que se asignen recursos adecuados para la efectiva implementación del Acuerdo de Escazú</w:t>
      </w:r>
      <w:r w:rsidR="00F53233" w:rsidRPr="00AB3D5F">
        <w:rPr>
          <w:b/>
          <w:lang w:eastAsia="es-CO"/>
        </w:rPr>
        <w:t>;</w:t>
      </w:r>
    </w:p>
    <w:p w14:paraId="1171E37F" w14:textId="6376023A" w:rsidR="00D54536" w:rsidRPr="00AB3D5F" w:rsidRDefault="006E444A" w:rsidP="00414D44">
      <w:pPr>
        <w:pStyle w:val="SingleTxtG"/>
        <w:ind w:firstLine="567"/>
        <w:rPr>
          <w:b/>
        </w:rPr>
      </w:pPr>
      <w:r w:rsidRPr="00AB3D5F">
        <w:rPr>
          <w:b/>
        </w:rPr>
        <w:t>h)</w:t>
      </w:r>
      <w:r w:rsidRPr="00AB3D5F">
        <w:rPr>
          <w:b/>
        </w:rPr>
        <w:tab/>
      </w:r>
      <w:r w:rsidR="00D54536" w:rsidRPr="00AB3D5F">
        <w:rPr>
          <w:b/>
        </w:rPr>
        <w:t xml:space="preserve">Insta al Estado a fortalecer la participación de las comunidades en el marco del Programa Nacional </w:t>
      </w:r>
      <w:r w:rsidR="00207AB9" w:rsidRPr="00AB3D5F">
        <w:rPr>
          <w:b/>
        </w:rPr>
        <w:t xml:space="preserve">Integral </w:t>
      </w:r>
      <w:r w:rsidR="00D54536" w:rsidRPr="00AB3D5F">
        <w:rPr>
          <w:b/>
        </w:rPr>
        <w:t>de Sustitución de Cultivos Ilícitos, su articulación con la reforma rural integral, el enfoque territorial y la implementación del programa de acceso a tierras</w:t>
      </w:r>
      <w:r w:rsidR="00F53233" w:rsidRPr="00AB3D5F">
        <w:rPr>
          <w:b/>
          <w:lang w:eastAsia="es-CO"/>
        </w:rPr>
        <w:t>;</w:t>
      </w:r>
    </w:p>
    <w:p w14:paraId="5063D7B7" w14:textId="414045BC" w:rsidR="00D54536" w:rsidRPr="00AB3D5F" w:rsidRDefault="006E444A" w:rsidP="00414D44">
      <w:pPr>
        <w:pStyle w:val="SingleTxtG"/>
        <w:ind w:firstLine="567"/>
        <w:rPr>
          <w:b/>
          <w:bCs/>
        </w:rPr>
      </w:pPr>
      <w:r w:rsidRPr="00AB3D5F">
        <w:rPr>
          <w:b/>
        </w:rPr>
        <w:t>i)</w:t>
      </w:r>
      <w:r w:rsidRPr="00AB3D5F">
        <w:rPr>
          <w:b/>
        </w:rPr>
        <w:tab/>
      </w:r>
      <w:r w:rsidR="00D54536" w:rsidRPr="00AB3D5F">
        <w:rPr>
          <w:b/>
        </w:rPr>
        <w:t>Insta</w:t>
      </w:r>
      <w:r w:rsidR="00D54536" w:rsidRPr="000A6C2B">
        <w:rPr>
          <w:b/>
          <w:bCs/>
        </w:rPr>
        <w:t xml:space="preserve"> al Estado a incorporar en las políticas públicas existentes y futuras las recomendaciones de la Comisión de la Verdad. También alienta la continuidad de los procesos de reconocimiento de responsabilidades ante la Jurisdicción Especial para la </w:t>
      </w:r>
      <w:r w:rsidR="00D54536" w:rsidRPr="00AB3D5F">
        <w:rPr>
          <w:b/>
          <w:bCs/>
        </w:rPr>
        <w:t>Paz</w:t>
      </w:r>
      <w:r w:rsidR="009D3C30" w:rsidRPr="00AB3D5F">
        <w:rPr>
          <w:b/>
          <w:bCs/>
        </w:rPr>
        <w:t>,</w:t>
      </w:r>
      <w:r w:rsidR="00D54536" w:rsidRPr="00AB3D5F">
        <w:rPr>
          <w:b/>
          <w:bCs/>
        </w:rPr>
        <w:t xml:space="preserve"> que son vitales para la rendición de cuentas y la lucha contra la impunidad</w:t>
      </w:r>
      <w:r w:rsidR="00F53233" w:rsidRPr="00AB3D5F">
        <w:rPr>
          <w:b/>
          <w:bCs/>
          <w:lang w:eastAsia="es-CO"/>
        </w:rPr>
        <w:t>;</w:t>
      </w:r>
    </w:p>
    <w:p w14:paraId="2F6B81E7" w14:textId="3808399D" w:rsidR="00D54536" w:rsidRPr="00AB3D5F" w:rsidRDefault="006E444A" w:rsidP="00414D44">
      <w:pPr>
        <w:pStyle w:val="SingleTxtG"/>
        <w:ind w:firstLine="567"/>
        <w:rPr>
          <w:b/>
          <w:bCs/>
        </w:rPr>
      </w:pPr>
      <w:r w:rsidRPr="00AB3D5F">
        <w:rPr>
          <w:b/>
          <w:bCs/>
        </w:rPr>
        <w:t>j)</w:t>
      </w:r>
      <w:r w:rsidRPr="00AB3D5F">
        <w:rPr>
          <w:b/>
          <w:bCs/>
        </w:rPr>
        <w:tab/>
      </w:r>
      <w:r w:rsidR="00D54536" w:rsidRPr="00AB3D5F">
        <w:rPr>
          <w:b/>
          <w:bCs/>
        </w:rPr>
        <w:t>Insta al Estado a que implemente una política pública integral y transparente para la prevención y atención de la desaparición forzada. Esto incluye fortalecer el Instituto Nacional de Medicina Legal y Ciencias Forenses</w:t>
      </w:r>
      <w:r w:rsidR="009D3C30" w:rsidRPr="00AB3D5F">
        <w:rPr>
          <w:b/>
          <w:bCs/>
        </w:rPr>
        <w:t xml:space="preserve"> y</w:t>
      </w:r>
      <w:r w:rsidR="00D54536" w:rsidRPr="00AB3D5F">
        <w:rPr>
          <w:b/>
          <w:bCs/>
        </w:rPr>
        <w:t xml:space="preserve"> el Banco de Perfiles Genéticos </w:t>
      </w:r>
      <w:r w:rsidR="009D3C30" w:rsidRPr="00AB3D5F">
        <w:rPr>
          <w:b/>
          <w:bCs/>
        </w:rPr>
        <w:t xml:space="preserve">de Desaparecidos </w:t>
      </w:r>
      <w:r w:rsidR="00D54536" w:rsidRPr="00AB3D5F">
        <w:rPr>
          <w:b/>
          <w:bCs/>
        </w:rPr>
        <w:t>y reforzar la eficacia del Mecanismo de Búsqueda Urgente</w:t>
      </w:r>
      <w:r w:rsidR="00F53233" w:rsidRPr="00AB3D5F">
        <w:rPr>
          <w:b/>
          <w:bCs/>
          <w:lang w:eastAsia="es-CO"/>
        </w:rPr>
        <w:t>;</w:t>
      </w:r>
    </w:p>
    <w:p w14:paraId="5EBD5366" w14:textId="2E970E62" w:rsidR="00D54536" w:rsidRPr="00AB3D5F" w:rsidRDefault="006E444A" w:rsidP="00414D44">
      <w:pPr>
        <w:pStyle w:val="SingleTxtG"/>
        <w:ind w:firstLine="567"/>
        <w:rPr>
          <w:b/>
          <w:bCs/>
        </w:rPr>
      </w:pPr>
      <w:r w:rsidRPr="00AB3D5F">
        <w:rPr>
          <w:b/>
          <w:bCs/>
        </w:rPr>
        <w:t>k)</w:t>
      </w:r>
      <w:r w:rsidRPr="00AB3D5F">
        <w:rPr>
          <w:b/>
          <w:bCs/>
        </w:rPr>
        <w:tab/>
      </w:r>
      <w:r w:rsidR="00D54536" w:rsidRPr="00AB3D5F">
        <w:rPr>
          <w:b/>
          <w:bCs/>
        </w:rPr>
        <w:t>Exhorta al Estado a proporcionar las condiciones administrativas, presupuestales y jurídicas necesarias para que el régimen de sanciones propias que imponga la Jurisdicción Especial para la Paz garantice los derechos de las víctimas y las garantías de no repetición</w:t>
      </w:r>
      <w:r w:rsidR="00F53233" w:rsidRPr="00AB3D5F">
        <w:rPr>
          <w:b/>
          <w:bCs/>
          <w:lang w:eastAsia="es-CO"/>
        </w:rPr>
        <w:t>;</w:t>
      </w:r>
    </w:p>
    <w:p w14:paraId="394C31C0" w14:textId="740F90FA" w:rsidR="00D54536" w:rsidRPr="00AB3D5F" w:rsidRDefault="006E444A" w:rsidP="00414D44">
      <w:pPr>
        <w:pStyle w:val="SingleTxtG"/>
        <w:ind w:firstLine="567"/>
        <w:rPr>
          <w:b/>
          <w:bCs/>
        </w:rPr>
      </w:pPr>
      <w:r w:rsidRPr="00AB3D5F">
        <w:rPr>
          <w:b/>
          <w:bCs/>
        </w:rPr>
        <w:t>l)</w:t>
      </w:r>
      <w:r w:rsidRPr="00AB3D5F">
        <w:rPr>
          <w:b/>
          <w:bCs/>
        </w:rPr>
        <w:tab/>
      </w:r>
      <w:r w:rsidR="00D54536" w:rsidRPr="00AB3D5F">
        <w:rPr>
          <w:b/>
          <w:bCs/>
        </w:rPr>
        <w:t xml:space="preserve">Urge al Estado a adoptar e implementar una política pública de desmantelamiento de organizaciones criminales y un plan de acción para la Comisión Nacional de Garantías de Seguridad que tome en cuenta las recomendaciones de la Comisión de la Verdad, cumpla con las obligaciones internacionales en materia de derechos humanos y cuente con </w:t>
      </w:r>
      <w:r w:rsidR="00207AB9" w:rsidRPr="00AB3D5F">
        <w:rPr>
          <w:b/>
          <w:bCs/>
        </w:rPr>
        <w:t xml:space="preserve">la </w:t>
      </w:r>
      <w:r w:rsidR="00D54536" w:rsidRPr="00AB3D5F">
        <w:rPr>
          <w:b/>
          <w:bCs/>
        </w:rPr>
        <w:t>participación de la sociedad civil</w:t>
      </w:r>
      <w:r w:rsidR="00F53233" w:rsidRPr="00AB3D5F">
        <w:rPr>
          <w:b/>
          <w:bCs/>
          <w:lang w:eastAsia="es-CO"/>
        </w:rPr>
        <w:t>;</w:t>
      </w:r>
    </w:p>
    <w:p w14:paraId="70AB27BE" w14:textId="1439BCAF" w:rsidR="00D54536" w:rsidRPr="00AB3D5F" w:rsidRDefault="006E444A" w:rsidP="00414D44">
      <w:pPr>
        <w:pStyle w:val="SingleTxtG"/>
        <w:ind w:firstLine="567"/>
        <w:rPr>
          <w:b/>
          <w:bCs/>
        </w:rPr>
      </w:pPr>
      <w:r w:rsidRPr="00AB3D5F">
        <w:rPr>
          <w:b/>
          <w:bCs/>
        </w:rPr>
        <w:t>m)</w:t>
      </w:r>
      <w:r w:rsidRPr="00AB3D5F">
        <w:rPr>
          <w:b/>
          <w:bCs/>
        </w:rPr>
        <w:tab/>
      </w:r>
      <w:r w:rsidR="00D54536" w:rsidRPr="00AB3D5F">
        <w:rPr>
          <w:b/>
          <w:bCs/>
        </w:rPr>
        <w:t>Insta al Gobierno</w:t>
      </w:r>
      <w:r w:rsidR="00D54536" w:rsidRPr="000A6C2B">
        <w:rPr>
          <w:b/>
          <w:bCs/>
        </w:rPr>
        <w:t xml:space="preserve"> a reactivar y fortalecer las instancias de participación étnica y facilitar el seguimiento constante y participativo de la implementación del </w:t>
      </w:r>
      <w:r w:rsidR="00D54536" w:rsidRPr="00AB3D5F">
        <w:rPr>
          <w:b/>
          <w:bCs/>
        </w:rPr>
        <w:t>capítulo étnico del Acuerdo de Paz desde las regiones</w:t>
      </w:r>
      <w:r w:rsidR="00F53233" w:rsidRPr="00AB3D5F">
        <w:rPr>
          <w:b/>
          <w:bCs/>
          <w:lang w:eastAsia="es-CO"/>
        </w:rPr>
        <w:t>;</w:t>
      </w:r>
    </w:p>
    <w:p w14:paraId="0BEA3B2A" w14:textId="46EB6BE1" w:rsidR="00D54536" w:rsidRPr="00AB3D5F" w:rsidRDefault="006E444A" w:rsidP="00414D44">
      <w:pPr>
        <w:pStyle w:val="SingleTxtG"/>
        <w:ind w:firstLine="567"/>
        <w:rPr>
          <w:b/>
          <w:bCs/>
        </w:rPr>
      </w:pPr>
      <w:r w:rsidRPr="00AB3D5F">
        <w:rPr>
          <w:b/>
          <w:bCs/>
        </w:rPr>
        <w:t>n)</w:t>
      </w:r>
      <w:r w:rsidRPr="00AB3D5F">
        <w:rPr>
          <w:b/>
          <w:bCs/>
        </w:rPr>
        <w:tab/>
      </w:r>
      <w:r w:rsidR="00D54536" w:rsidRPr="00AB3D5F">
        <w:rPr>
          <w:b/>
          <w:bCs/>
        </w:rPr>
        <w:t xml:space="preserve">Insta al Estado a reglamentar la Ley 70 </w:t>
      </w:r>
      <w:r w:rsidR="009D3C30" w:rsidRPr="00AB3D5F">
        <w:rPr>
          <w:b/>
          <w:bCs/>
        </w:rPr>
        <w:t xml:space="preserve">de 1993 </w:t>
      </w:r>
      <w:r w:rsidR="00D54536" w:rsidRPr="00AB3D5F">
        <w:rPr>
          <w:b/>
          <w:bCs/>
        </w:rPr>
        <w:t>y adoptar una metodología para garantizar el derecho a la consulta previa</w:t>
      </w:r>
      <w:r w:rsidR="00207AB9" w:rsidRPr="00AB3D5F">
        <w:rPr>
          <w:b/>
          <w:bCs/>
        </w:rPr>
        <w:t>,</w:t>
      </w:r>
      <w:r w:rsidR="00D54536" w:rsidRPr="00AB3D5F">
        <w:rPr>
          <w:b/>
          <w:bCs/>
        </w:rPr>
        <w:t xml:space="preserve"> de conformidad con los estándares internacionales en todas las decisiones que afectan a los </w:t>
      </w:r>
      <w:r w:rsidR="009D3C30" w:rsidRPr="00AB3D5F">
        <w:rPr>
          <w:b/>
          <w:bCs/>
        </w:rPr>
        <w:t>P</w:t>
      </w:r>
      <w:r w:rsidR="00D54536" w:rsidRPr="00AB3D5F">
        <w:rPr>
          <w:b/>
          <w:bCs/>
        </w:rPr>
        <w:t xml:space="preserve">ueblos </w:t>
      </w:r>
      <w:r w:rsidR="009D3C30" w:rsidRPr="00AB3D5F">
        <w:rPr>
          <w:b/>
          <w:bCs/>
        </w:rPr>
        <w:t>I</w:t>
      </w:r>
      <w:r w:rsidR="00D54536" w:rsidRPr="00AB3D5F">
        <w:rPr>
          <w:b/>
          <w:bCs/>
        </w:rPr>
        <w:t>ndígenas y afrodescendientes</w:t>
      </w:r>
      <w:r w:rsidR="00207AB9" w:rsidRPr="00AB3D5F">
        <w:rPr>
          <w:b/>
          <w:bCs/>
        </w:rPr>
        <w:t>,</w:t>
      </w:r>
      <w:r w:rsidR="00D54536" w:rsidRPr="00AB3D5F">
        <w:rPr>
          <w:b/>
          <w:bCs/>
        </w:rPr>
        <w:t xml:space="preserve"> incluyendo las relacionadas con el cumplimiento del Acuerdo de </w:t>
      </w:r>
      <w:r w:rsidR="001C6BAE" w:rsidRPr="00AB3D5F">
        <w:rPr>
          <w:b/>
          <w:bCs/>
        </w:rPr>
        <w:t>P</w:t>
      </w:r>
      <w:r w:rsidR="00D54536" w:rsidRPr="00AB3D5F">
        <w:rPr>
          <w:b/>
          <w:bCs/>
        </w:rPr>
        <w:t>az</w:t>
      </w:r>
      <w:r w:rsidR="00F53233" w:rsidRPr="00AB3D5F">
        <w:rPr>
          <w:b/>
          <w:bCs/>
          <w:lang w:eastAsia="es-CO"/>
        </w:rPr>
        <w:t>;</w:t>
      </w:r>
    </w:p>
    <w:p w14:paraId="0FA51DB2" w14:textId="54B9E3AA" w:rsidR="00D54536" w:rsidRPr="000A6C2B" w:rsidRDefault="006E444A" w:rsidP="00414D44">
      <w:pPr>
        <w:pStyle w:val="SingleTxtG"/>
        <w:ind w:firstLine="567"/>
        <w:rPr>
          <w:b/>
          <w:bCs/>
        </w:rPr>
      </w:pPr>
      <w:r w:rsidRPr="00AB3D5F">
        <w:rPr>
          <w:b/>
          <w:bCs/>
        </w:rPr>
        <w:t>o)</w:t>
      </w:r>
      <w:r w:rsidRPr="00AB3D5F">
        <w:rPr>
          <w:b/>
          <w:bCs/>
        </w:rPr>
        <w:tab/>
      </w:r>
      <w:r w:rsidR="00D54536" w:rsidRPr="00AB3D5F">
        <w:rPr>
          <w:b/>
          <w:bCs/>
        </w:rPr>
        <w:t xml:space="preserve">Exhorta a intensificar esfuerzos para garantizar el acceso de las personas sobrevivientes de violencia sexual y </w:t>
      </w:r>
      <w:r w:rsidR="009D3C30" w:rsidRPr="00AB3D5F">
        <w:rPr>
          <w:b/>
          <w:bCs/>
        </w:rPr>
        <w:t>de</w:t>
      </w:r>
      <w:r w:rsidR="00D54536" w:rsidRPr="00AB3D5F">
        <w:rPr>
          <w:b/>
          <w:bCs/>
        </w:rPr>
        <w:t xml:space="preserve"> género en el marco del conflicto a una atención integral, evitando</w:t>
      </w:r>
      <w:r w:rsidR="00D54536" w:rsidRPr="000A6C2B">
        <w:rPr>
          <w:b/>
          <w:bCs/>
        </w:rPr>
        <w:t xml:space="preserve"> la estigmatización. Es necesario priorizar la prevención de la violencia </w:t>
      </w:r>
      <w:r w:rsidR="009D3C30">
        <w:rPr>
          <w:b/>
          <w:bCs/>
        </w:rPr>
        <w:t>de</w:t>
      </w:r>
      <w:r w:rsidR="00D54536" w:rsidRPr="000A6C2B">
        <w:rPr>
          <w:b/>
          <w:bCs/>
        </w:rPr>
        <w:t xml:space="preserve"> género y sexual en las zonas más afectadas por el conflicto</w:t>
      </w:r>
      <w:r w:rsidR="00F53233">
        <w:rPr>
          <w:b/>
          <w:bCs/>
          <w:lang w:eastAsia="es-CO"/>
        </w:rPr>
        <w:t>;</w:t>
      </w:r>
    </w:p>
    <w:p w14:paraId="25F9F5BB" w14:textId="7A5FCC04" w:rsidR="00D54536" w:rsidRPr="00AB3D5F" w:rsidRDefault="006E444A" w:rsidP="00414D44">
      <w:pPr>
        <w:pStyle w:val="SingleTxtG"/>
        <w:ind w:firstLine="567"/>
        <w:rPr>
          <w:b/>
        </w:rPr>
      </w:pPr>
      <w:r w:rsidRPr="00AB3D5F">
        <w:rPr>
          <w:b/>
        </w:rPr>
        <w:lastRenderedPageBreak/>
        <w:t>p)</w:t>
      </w:r>
      <w:r w:rsidRPr="00AB3D5F">
        <w:rPr>
          <w:b/>
        </w:rPr>
        <w:tab/>
      </w:r>
      <w:r w:rsidR="00D54536" w:rsidRPr="00AB3D5F">
        <w:rPr>
          <w:b/>
        </w:rPr>
        <w:t>Urge al Ministerio de Defensa a implementar de manera efectiva la Política de Cero Tolerancia a la Violencia Sexual, especialmente en los territorios afectados por la violencia y el conflicto armado</w:t>
      </w:r>
      <w:r w:rsidR="00F53233" w:rsidRPr="00AB3D5F">
        <w:rPr>
          <w:b/>
          <w:lang w:eastAsia="es-CO"/>
        </w:rPr>
        <w:t>;</w:t>
      </w:r>
    </w:p>
    <w:p w14:paraId="2CD604EB" w14:textId="4822BECC" w:rsidR="00D54536" w:rsidRPr="00AB3D5F" w:rsidRDefault="006E444A" w:rsidP="00414D44">
      <w:pPr>
        <w:pStyle w:val="SingleTxtG"/>
        <w:ind w:firstLine="567"/>
        <w:rPr>
          <w:b/>
        </w:rPr>
      </w:pPr>
      <w:r w:rsidRPr="00AB3D5F">
        <w:rPr>
          <w:b/>
        </w:rPr>
        <w:t>q)</w:t>
      </w:r>
      <w:r w:rsidRPr="00AB3D5F">
        <w:rPr>
          <w:b/>
        </w:rPr>
        <w:tab/>
      </w:r>
      <w:r w:rsidR="00D54536" w:rsidRPr="00AB3D5F">
        <w:rPr>
          <w:b/>
        </w:rPr>
        <w:t>Insta al Estado a tomar medidas integrales y diferenciadas de prevención y respuesta temprana al reclutamiento de niños, niñas y adolescentes en el marco del conflicto, incluyendo medidas para prevenir el reclutamiento con fines de explotación sexual y el fortalecimiento de entornos protectores a nivel familiar, escolar y comunitario</w:t>
      </w:r>
      <w:r w:rsidR="00F53233" w:rsidRPr="00AB3D5F">
        <w:rPr>
          <w:b/>
          <w:lang w:eastAsia="es-CO"/>
        </w:rPr>
        <w:t>;</w:t>
      </w:r>
    </w:p>
    <w:p w14:paraId="4D031D54" w14:textId="76E2AA82" w:rsidR="00D54536" w:rsidRPr="00AB3D5F" w:rsidRDefault="006E444A" w:rsidP="00414D44">
      <w:pPr>
        <w:pStyle w:val="SingleTxtG"/>
        <w:ind w:firstLine="567"/>
        <w:rPr>
          <w:b/>
        </w:rPr>
      </w:pPr>
      <w:r w:rsidRPr="00AB3D5F">
        <w:rPr>
          <w:b/>
        </w:rPr>
        <w:t>r)</w:t>
      </w:r>
      <w:r w:rsidRPr="00AB3D5F">
        <w:rPr>
          <w:b/>
        </w:rPr>
        <w:tab/>
      </w:r>
      <w:r w:rsidR="00D54536" w:rsidRPr="00AB3D5F">
        <w:rPr>
          <w:b/>
        </w:rPr>
        <w:t xml:space="preserve">Urge al Estado a iniciar un proceso de reforma </w:t>
      </w:r>
      <w:r w:rsidR="003B72A2" w:rsidRPr="00AB3D5F">
        <w:rPr>
          <w:b/>
        </w:rPr>
        <w:t xml:space="preserve">de </w:t>
      </w:r>
      <w:r w:rsidR="00D54536" w:rsidRPr="00AB3D5F">
        <w:rPr>
          <w:b/>
        </w:rPr>
        <w:t xml:space="preserve">la </w:t>
      </w:r>
      <w:r w:rsidR="009D3C30" w:rsidRPr="00AB3D5F">
        <w:rPr>
          <w:b/>
        </w:rPr>
        <w:t>L</w:t>
      </w:r>
      <w:r w:rsidR="00D54536" w:rsidRPr="00AB3D5F">
        <w:rPr>
          <w:b/>
        </w:rPr>
        <w:t xml:space="preserve">ey </w:t>
      </w:r>
      <w:r w:rsidR="009D3C30" w:rsidRPr="00AB3D5F">
        <w:rPr>
          <w:b/>
        </w:rPr>
        <w:t xml:space="preserve">que fija las actividades </w:t>
      </w:r>
      <w:r w:rsidR="00D54536" w:rsidRPr="00AB3D5F">
        <w:rPr>
          <w:b/>
        </w:rPr>
        <w:t xml:space="preserve">de inteligencia, con amplia participación de la sociedad civil, que contemple mecanismos adecuados de control y de análisis de la información. Asimismo, insta a incluir la causal de desclasificación de información de inteligencia cuando existan indicios consistentes de que, a raíz de la recolección o </w:t>
      </w:r>
      <w:r w:rsidR="009D3C30" w:rsidRPr="00AB3D5F">
        <w:rPr>
          <w:b/>
        </w:rPr>
        <w:t xml:space="preserve">el </w:t>
      </w:r>
      <w:r w:rsidR="00D54536" w:rsidRPr="00AB3D5F">
        <w:rPr>
          <w:b/>
        </w:rPr>
        <w:t>uso de esa información, se pudieron haber cometido violaciones de derechos humanos y del derecho internacional humanitario</w:t>
      </w:r>
      <w:r w:rsidR="00F53233" w:rsidRPr="00AB3D5F">
        <w:rPr>
          <w:b/>
          <w:lang w:eastAsia="es-CO"/>
        </w:rPr>
        <w:t>;</w:t>
      </w:r>
    </w:p>
    <w:p w14:paraId="205E7F02" w14:textId="4A751B70" w:rsidR="00D54536" w:rsidRPr="00AB3D5F" w:rsidRDefault="006E444A" w:rsidP="00414D44">
      <w:pPr>
        <w:pStyle w:val="SingleTxtG"/>
        <w:ind w:firstLine="567"/>
        <w:rPr>
          <w:b/>
        </w:rPr>
      </w:pPr>
      <w:r w:rsidRPr="00AB3D5F">
        <w:rPr>
          <w:b/>
        </w:rPr>
        <w:t>s)</w:t>
      </w:r>
      <w:r w:rsidRPr="00AB3D5F">
        <w:rPr>
          <w:b/>
        </w:rPr>
        <w:tab/>
      </w:r>
      <w:r w:rsidR="00D54536" w:rsidRPr="00AB3D5F">
        <w:rPr>
          <w:b/>
        </w:rPr>
        <w:t>Invita al Estado a avanzar en la reforma del sector de seguridad mediante la nueva política de seguridad humana, con base en indicadores medibles y objetivos</w:t>
      </w:r>
      <w:r w:rsidR="009D3C30" w:rsidRPr="00AB3D5F">
        <w:rPr>
          <w:b/>
        </w:rPr>
        <w:t xml:space="preserve"> y</w:t>
      </w:r>
      <w:r w:rsidR="00D54536" w:rsidRPr="00AB3D5F">
        <w:rPr>
          <w:b/>
        </w:rPr>
        <w:t xml:space="preserve"> que contemplen la inclusión de los enfoques diferencial, de género y étnico, para cambiar las doctrinas militar y policial. Exhorta también a establecer los espacios de coordinación interinstitucionales que permitan la operatividad de la política de seguridad humana</w:t>
      </w:r>
      <w:r w:rsidR="00F53233" w:rsidRPr="00AB3D5F">
        <w:rPr>
          <w:b/>
          <w:lang w:eastAsia="es-CO"/>
        </w:rPr>
        <w:t>;</w:t>
      </w:r>
    </w:p>
    <w:p w14:paraId="4E3AB71C" w14:textId="09AA653E" w:rsidR="00D54536" w:rsidRPr="00AB3D5F" w:rsidRDefault="006E444A" w:rsidP="00414D44">
      <w:pPr>
        <w:pStyle w:val="SingleTxtG"/>
        <w:ind w:firstLine="567"/>
        <w:rPr>
          <w:b/>
        </w:rPr>
      </w:pPr>
      <w:r w:rsidRPr="00AB3D5F">
        <w:rPr>
          <w:b/>
        </w:rPr>
        <w:t>t)</w:t>
      </w:r>
      <w:r w:rsidRPr="00AB3D5F">
        <w:rPr>
          <w:b/>
        </w:rPr>
        <w:tab/>
      </w:r>
      <w:r w:rsidR="00D54536" w:rsidRPr="00AB3D5F">
        <w:rPr>
          <w:b/>
        </w:rPr>
        <w:t>Insta nuevamente al Estado a avanzar en el anunciado proceso de traslado de la Policía Nacional a un ministerio de carácter civil fuera del Ministerio de Defensa</w:t>
      </w:r>
      <w:r w:rsidR="00F53233" w:rsidRPr="00AB3D5F">
        <w:rPr>
          <w:b/>
          <w:lang w:eastAsia="es-CO"/>
        </w:rPr>
        <w:t>;</w:t>
      </w:r>
    </w:p>
    <w:p w14:paraId="48467839" w14:textId="68FAAEEC" w:rsidR="00D54536" w:rsidRPr="000A6C2B" w:rsidRDefault="006E444A" w:rsidP="00414D44">
      <w:pPr>
        <w:pStyle w:val="SingleTxtG"/>
        <w:ind w:firstLine="567"/>
        <w:rPr>
          <w:b/>
          <w:bCs/>
        </w:rPr>
      </w:pPr>
      <w:r w:rsidRPr="00AB3D5F">
        <w:rPr>
          <w:b/>
        </w:rPr>
        <w:t>u)</w:t>
      </w:r>
      <w:r w:rsidRPr="00AB3D5F">
        <w:rPr>
          <w:b/>
        </w:rPr>
        <w:tab/>
      </w:r>
      <w:r w:rsidR="00D54536" w:rsidRPr="00AB3D5F">
        <w:rPr>
          <w:b/>
        </w:rPr>
        <w:t>Insta al Gobierno a adoptar e implementar una política nacional para la protección de personas defensoras, en el marco del proceso nacional de garantías, con una amplia participación de la sociedad civil, que pueda dar respuesta a las necesidades de prevención, protección</w:t>
      </w:r>
      <w:r w:rsidR="00D54536" w:rsidRPr="009D3C30">
        <w:rPr>
          <w:b/>
          <w:bCs/>
        </w:rPr>
        <w:t>, lucha contra de la impunidad y no estigmatización de las personas defensoras</w:t>
      </w:r>
      <w:r w:rsidR="00F53233" w:rsidRPr="009D3C30">
        <w:rPr>
          <w:b/>
          <w:bCs/>
          <w:lang w:eastAsia="es-CO"/>
        </w:rPr>
        <w:t>;</w:t>
      </w:r>
    </w:p>
    <w:p w14:paraId="6F2F3B8F" w14:textId="757E5665" w:rsidR="00D54536" w:rsidRPr="00AB3D5F" w:rsidRDefault="00801E94" w:rsidP="00414D44">
      <w:pPr>
        <w:pStyle w:val="SingleTxtG"/>
        <w:ind w:firstLine="567"/>
        <w:rPr>
          <w:b/>
        </w:rPr>
      </w:pPr>
      <w:r w:rsidRPr="00AB3D5F">
        <w:rPr>
          <w:b/>
        </w:rPr>
        <w:t>v)</w:t>
      </w:r>
      <w:r w:rsidRPr="00AB3D5F">
        <w:rPr>
          <w:b/>
        </w:rPr>
        <w:tab/>
      </w:r>
      <w:r w:rsidR="007E6BAF" w:rsidRPr="00AB3D5F">
        <w:rPr>
          <w:b/>
        </w:rPr>
        <w:t xml:space="preserve">Hace un llamamiento </w:t>
      </w:r>
      <w:r w:rsidR="00D54536" w:rsidRPr="00AB3D5F">
        <w:rPr>
          <w:b/>
        </w:rPr>
        <w:t xml:space="preserve">al Congreso </w:t>
      </w:r>
      <w:r w:rsidR="007E6BAF" w:rsidRPr="00AB3D5F">
        <w:rPr>
          <w:b/>
        </w:rPr>
        <w:t>par</w:t>
      </w:r>
      <w:r w:rsidR="00D54536" w:rsidRPr="00AB3D5F">
        <w:rPr>
          <w:b/>
        </w:rPr>
        <w:t xml:space="preserve">a </w:t>
      </w:r>
      <w:r w:rsidR="007E6BAF" w:rsidRPr="00AB3D5F">
        <w:rPr>
          <w:b/>
        </w:rPr>
        <w:t xml:space="preserve">que </w:t>
      </w:r>
      <w:r w:rsidR="00D54536" w:rsidRPr="00AB3D5F">
        <w:rPr>
          <w:b/>
        </w:rPr>
        <w:t>asign</w:t>
      </w:r>
      <w:r w:rsidR="007E6BAF" w:rsidRPr="00AB3D5F">
        <w:rPr>
          <w:b/>
        </w:rPr>
        <w:t>e</w:t>
      </w:r>
      <w:r w:rsidR="00D54536" w:rsidRPr="00AB3D5F">
        <w:rPr>
          <w:b/>
        </w:rPr>
        <w:t xml:space="preserve"> recursos adecuados a cada uno de los ministerios e instituciones responsables de la adopción e implementación de las medidas de protección colectiva</w:t>
      </w:r>
      <w:r w:rsidR="00F53233" w:rsidRPr="00AB3D5F">
        <w:rPr>
          <w:b/>
          <w:lang w:eastAsia="es-CO"/>
        </w:rPr>
        <w:t>;</w:t>
      </w:r>
    </w:p>
    <w:p w14:paraId="421FB7D4" w14:textId="389BF56C" w:rsidR="00D54536" w:rsidRPr="00AB3D5F" w:rsidRDefault="00801E94" w:rsidP="00414D44">
      <w:pPr>
        <w:pStyle w:val="SingleTxtG"/>
        <w:ind w:firstLine="567"/>
        <w:rPr>
          <w:b/>
        </w:rPr>
      </w:pPr>
      <w:r w:rsidRPr="00AB3D5F">
        <w:rPr>
          <w:b/>
        </w:rPr>
        <w:t>w)</w:t>
      </w:r>
      <w:r w:rsidRPr="00AB3D5F">
        <w:rPr>
          <w:b/>
        </w:rPr>
        <w:tab/>
      </w:r>
      <w:r w:rsidR="007E6BAF" w:rsidRPr="00AB3D5F">
        <w:rPr>
          <w:b/>
        </w:rPr>
        <w:t xml:space="preserve">Hace un llamamiento </w:t>
      </w:r>
      <w:r w:rsidR="00D54536" w:rsidRPr="00AB3D5F">
        <w:rPr>
          <w:b/>
        </w:rPr>
        <w:t xml:space="preserve">al Congreso </w:t>
      </w:r>
      <w:r w:rsidR="007E6BAF" w:rsidRPr="00AB3D5F">
        <w:rPr>
          <w:b/>
        </w:rPr>
        <w:t>par</w:t>
      </w:r>
      <w:r w:rsidR="00D54536" w:rsidRPr="00AB3D5F">
        <w:rPr>
          <w:b/>
        </w:rPr>
        <w:t xml:space="preserve">a </w:t>
      </w:r>
      <w:r w:rsidR="007E6BAF" w:rsidRPr="00AB3D5F">
        <w:rPr>
          <w:b/>
        </w:rPr>
        <w:t xml:space="preserve">que </w:t>
      </w:r>
      <w:r w:rsidR="00D54536" w:rsidRPr="00AB3D5F">
        <w:rPr>
          <w:b/>
        </w:rPr>
        <w:t>apr</w:t>
      </w:r>
      <w:r w:rsidR="007E6BAF" w:rsidRPr="00AB3D5F">
        <w:rPr>
          <w:b/>
        </w:rPr>
        <w:t>uebe</w:t>
      </w:r>
      <w:r w:rsidR="00D54536" w:rsidRPr="00AB3D5F">
        <w:rPr>
          <w:b/>
        </w:rPr>
        <w:t xml:space="preserve"> la iniciativa para fortalecer la labor de derechos humanos de las personerías en los municipios de categoría</w:t>
      </w:r>
      <w:r w:rsidR="009D3C30" w:rsidRPr="00AB3D5F">
        <w:rPr>
          <w:b/>
        </w:rPr>
        <w:t>s</w:t>
      </w:r>
      <w:r w:rsidR="00D54536" w:rsidRPr="00AB3D5F">
        <w:rPr>
          <w:b/>
        </w:rPr>
        <w:t xml:space="preserve"> </w:t>
      </w:r>
      <w:r w:rsidR="009D3C30" w:rsidRPr="00AB3D5F">
        <w:rPr>
          <w:b/>
        </w:rPr>
        <w:t xml:space="preserve">quinta </w:t>
      </w:r>
      <w:r w:rsidR="00D54536" w:rsidRPr="00AB3D5F">
        <w:rPr>
          <w:b/>
        </w:rPr>
        <w:t xml:space="preserve">y </w:t>
      </w:r>
      <w:r w:rsidR="009D3C30" w:rsidRPr="00AB3D5F">
        <w:rPr>
          <w:b/>
        </w:rPr>
        <w:t>sexta</w:t>
      </w:r>
      <w:r w:rsidR="00D54536" w:rsidRPr="00AB3D5F">
        <w:rPr>
          <w:b/>
        </w:rPr>
        <w:t xml:space="preserve"> que registren niveles altos de violencia en contra de las comunidades</w:t>
      </w:r>
      <w:r w:rsidR="00F53233" w:rsidRPr="00AB3D5F">
        <w:rPr>
          <w:b/>
          <w:lang w:eastAsia="es-CO"/>
        </w:rPr>
        <w:t>;</w:t>
      </w:r>
    </w:p>
    <w:p w14:paraId="794B9E8C" w14:textId="2ABA153F" w:rsidR="00D54536" w:rsidRPr="00AB3D5F" w:rsidRDefault="00801E94" w:rsidP="00414D44">
      <w:pPr>
        <w:pStyle w:val="SingleTxtG"/>
        <w:ind w:firstLine="567"/>
        <w:rPr>
          <w:b/>
        </w:rPr>
      </w:pPr>
      <w:r w:rsidRPr="00AB3D5F">
        <w:rPr>
          <w:b/>
        </w:rPr>
        <w:t>x)</w:t>
      </w:r>
      <w:r w:rsidRPr="00AB3D5F">
        <w:rPr>
          <w:b/>
        </w:rPr>
        <w:tab/>
      </w:r>
      <w:r w:rsidR="00D54536" w:rsidRPr="00AB3D5F">
        <w:rPr>
          <w:b/>
        </w:rPr>
        <w:t xml:space="preserve">Insta a la Fiscalía General de la Nación a que avance en la investigación de las presuntas violaciones y abusos </w:t>
      </w:r>
      <w:r w:rsidR="00207AB9" w:rsidRPr="00AB3D5F">
        <w:rPr>
          <w:b/>
        </w:rPr>
        <w:t xml:space="preserve">de </w:t>
      </w:r>
      <w:r w:rsidR="00D54536" w:rsidRPr="00AB3D5F">
        <w:rPr>
          <w:b/>
        </w:rPr>
        <w:t xml:space="preserve">derechos humanos y las violaciones del derecho internacional humanitario de manera exhaustiva, rápida, independiente, imparcial y eficaz, incluyendo las violaciones cometidas durante el </w:t>
      </w:r>
      <w:r w:rsidR="009D3C30" w:rsidRPr="00AB3D5F">
        <w:rPr>
          <w:b/>
        </w:rPr>
        <w:t>p</w:t>
      </w:r>
      <w:r w:rsidR="00D54536" w:rsidRPr="00AB3D5F">
        <w:rPr>
          <w:b/>
        </w:rPr>
        <w:t xml:space="preserve">aro </w:t>
      </w:r>
      <w:r w:rsidR="009D3C30" w:rsidRPr="00AB3D5F">
        <w:rPr>
          <w:b/>
        </w:rPr>
        <w:t>n</w:t>
      </w:r>
      <w:r w:rsidR="00D54536" w:rsidRPr="00AB3D5F">
        <w:rPr>
          <w:b/>
        </w:rPr>
        <w:t>acional de 2021, particularmente los homicidios en el contexto de protestas, lesiones graves, incluyendo oculares, y la violencia de género, y lleve a los presuntos perpetradores ante la justicia</w:t>
      </w:r>
      <w:r w:rsidR="00F53233" w:rsidRPr="00AB3D5F">
        <w:rPr>
          <w:b/>
          <w:lang w:eastAsia="es-CO"/>
        </w:rPr>
        <w:t>;</w:t>
      </w:r>
    </w:p>
    <w:p w14:paraId="73C4FA74" w14:textId="401F7AD4" w:rsidR="003B443D" w:rsidRDefault="00801E94" w:rsidP="00414D44">
      <w:pPr>
        <w:pStyle w:val="SingleTxtG"/>
        <w:ind w:firstLine="567"/>
        <w:rPr>
          <w:b/>
          <w:bCs/>
        </w:rPr>
      </w:pPr>
      <w:r w:rsidRPr="00AB3D5F">
        <w:rPr>
          <w:b/>
        </w:rPr>
        <w:t>y)</w:t>
      </w:r>
      <w:r w:rsidRPr="00AB3D5F">
        <w:rPr>
          <w:b/>
        </w:rPr>
        <w:tab/>
      </w:r>
      <w:r w:rsidR="00D54536" w:rsidRPr="00AB3D5F">
        <w:rPr>
          <w:b/>
        </w:rPr>
        <w:t xml:space="preserve">Exhorta a la Fiscalía General de la Nación a que </w:t>
      </w:r>
      <w:r w:rsidR="009D3C30" w:rsidRPr="00AB3D5F">
        <w:rPr>
          <w:b/>
        </w:rPr>
        <w:t xml:space="preserve">en </w:t>
      </w:r>
      <w:r w:rsidR="00D54536" w:rsidRPr="00AB3D5F">
        <w:rPr>
          <w:b/>
        </w:rPr>
        <w:t>la persecución de hechos violentos durante</w:t>
      </w:r>
      <w:r w:rsidR="00D54536" w:rsidRPr="000A6C2B">
        <w:rPr>
          <w:b/>
          <w:bCs/>
        </w:rPr>
        <w:t xml:space="preserve"> las protestas </w:t>
      </w:r>
      <w:r w:rsidR="009D3C30">
        <w:rPr>
          <w:b/>
          <w:bCs/>
        </w:rPr>
        <w:t xml:space="preserve">se </w:t>
      </w:r>
      <w:r w:rsidR="00D54536" w:rsidRPr="000A6C2B">
        <w:rPr>
          <w:b/>
          <w:bCs/>
        </w:rPr>
        <w:t>observe</w:t>
      </w:r>
      <w:r w:rsidR="009D3C30">
        <w:rPr>
          <w:b/>
          <w:bCs/>
        </w:rPr>
        <w:t>n</w:t>
      </w:r>
      <w:r w:rsidR="00D54536" w:rsidRPr="000A6C2B">
        <w:rPr>
          <w:b/>
          <w:bCs/>
        </w:rPr>
        <w:t xml:space="preserve"> las normas y estándares de derechos humanos, incluyendo la aplicación e interpretación de tipos penales acorde</w:t>
      </w:r>
      <w:r w:rsidR="009D3C30">
        <w:rPr>
          <w:b/>
          <w:bCs/>
        </w:rPr>
        <w:t>s</w:t>
      </w:r>
      <w:r w:rsidR="00D54536" w:rsidRPr="000A6C2B">
        <w:rPr>
          <w:b/>
          <w:bCs/>
        </w:rPr>
        <w:t xml:space="preserve"> a los hechos</w:t>
      </w:r>
      <w:r w:rsidR="00D047AE" w:rsidRPr="000A6C2B">
        <w:rPr>
          <w:b/>
          <w:bCs/>
        </w:rPr>
        <w:t xml:space="preserve"> perseguidos.</w:t>
      </w:r>
    </w:p>
    <w:p w14:paraId="30AE0026" w14:textId="21B0DBD5" w:rsidR="00BE18E6" w:rsidRPr="00BE18E6" w:rsidRDefault="00BE18E6" w:rsidP="00BE18E6">
      <w:pPr>
        <w:pStyle w:val="SingleTxtG"/>
        <w:spacing w:before="240" w:after="0"/>
        <w:jc w:val="center"/>
        <w:rPr>
          <w:b/>
          <w:bCs/>
          <w:u w:val="single"/>
        </w:rPr>
      </w:pPr>
      <w:r>
        <w:rPr>
          <w:bCs/>
          <w:u w:val="single"/>
        </w:rPr>
        <w:tab/>
      </w:r>
      <w:r>
        <w:rPr>
          <w:bCs/>
          <w:u w:val="single"/>
        </w:rPr>
        <w:tab/>
      </w:r>
      <w:r>
        <w:rPr>
          <w:bCs/>
          <w:u w:val="single"/>
        </w:rPr>
        <w:tab/>
      </w:r>
      <w:r>
        <w:rPr>
          <w:bCs/>
          <w:u w:val="single"/>
        </w:rPr>
        <w:tab/>
      </w:r>
    </w:p>
    <w:sectPr w:rsidR="00BE18E6" w:rsidRPr="00BE18E6" w:rsidSect="00E80EC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A0529" w14:textId="77777777" w:rsidR="000B2171" w:rsidRDefault="000B2171"/>
  </w:endnote>
  <w:endnote w:type="continuationSeparator" w:id="0">
    <w:p w14:paraId="62B428A2" w14:textId="77777777" w:rsidR="000B2171" w:rsidRDefault="000B2171"/>
  </w:endnote>
  <w:endnote w:type="continuationNotice" w:id="1">
    <w:p w14:paraId="5716D52A" w14:textId="77777777" w:rsidR="000B2171" w:rsidRDefault="000B2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9030" w14:textId="12668916" w:rsidR="00E80EC7" w:rsidRPr="00E80EC7" w:rsidRDefault="00E80EC7" w:rsidP="00E80EC7">
    <w:pPr>
      <w:pStyle w:val="Footer"/>
      <w:tabs>
        <w:tab w:val="right" w:pos="9638"/>
      </w:tabs>
    </w:pPr>
    <w:r w:rsidRPr="00E80EC7">
      <w:rPr>
        <w:b/>
        <w:sz w:val="18"/>
      </w:rPr>
      <w:fldChar w:fldCharType="begin"/>
    </w:r>
    <w:r w:rsidRPr="00E80EC7">
      <w:rPr>
        <w:b/>
        <w:sz w:val="18"/>
      </w:rPr>
      <w:instrText xml:space="preserve"> PAGE  \* MERGEFORMAT </w:instrText>
    </w:r>
    <w:r w:rsidRPr="00E80EC7">
      <w:rPr>
        <w:b/>
        <w:sz w:val="18"/>
      </w:rPr>
      <w:fldChar w:fldCharType="separate"/>
    </w:r>
    <w:r w:rsidR="0026367A">
      <w:rPr>
        <w:b/>
        <w:noProof/>
        <w:sz w:val="18"/>
      </w:rPr>
      <w:t>16</w:t>
    </w:r>
    <w:r w:rsidRPr="00E80EC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15DD" w14:textId="64B72030" w:rsidR="00E80EC7" w:rsidRPr="00E80EC7" w:rsidRDefault="00E80EC7" w:rsidP="00E80EC7">
    <w:pPr>
      <w:pStyle w:val="Footer"/>
      <w:tabs>
        <w:tab w:val="right" w:pos="9638"/>
      </w:tabs>
      <w:rPr>
        <w:b/>
        <w:sz w:val="18"/>
      </w:rPr>
    </w:pPr>
    <w:r>
      <w:tab/>
    </w:r>
    <w:r w:rsidRPr="00E80EC7">
      <w:rPr>
        <w:b/>
        <w:sz w:val="18"/>
      </w:rPr>
      <w:fldChar w:fldCharType="begin"/>
    </w:r>
    <w:r w:rsidRPr="00E80EC7">
      <w:rPr>
        <w:b/>
        <w:sz w:val="18"/>
      </w:rPr>
      <w:instrText xml:space="preserve"> PAGE  \* MERGEFORMAT </w:instrText>
    </w:r>
    <w:r w:rsidRPr="00E80EC7">
      <w:rPr>
        <w:b/>
        <w:sz w:val="18"/>
      </w:rPr>
      <w:fldChar w:fldCharType="separate"/>
    </w:r>
    <w:r w:rsidR="0026367A">
      <w:rPr>
        <w:b/>
        <w:noProof/>
        <w:sz w:val="18"/>
      </w:rPr>
      <w:t>15</w:t>
    </w:r>
    <w:r w:rsidRPr="00E80EC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FACD" w14:textId="77777777" w:rsidR="00F36303" w:rsidRDefault="00F36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87AD1" w14:textId="77777777" w:rsidR="000B2171" w:rsidRPr="000B175B" w:rsidRDefault="000B2171" w:rsidP="000B175B">
      <w:pPr>
        <w:tabs>
          <w:tab w:val="right" w:pos="2155"/>
        </w:tabs>
        <w:spacing w:after="80"/>
        <w:ind w:left="680"/>
        <w:rPr>
          <w:u w:val="single"/>
        </w:rPr>
      </w:pPr>
      <w:r>
        <w:rPr>
          <w:u w:val="single"/>
        </w:rPr>
        <w:tab/>
      </w:r>
    </w:p>
  </w:footnote>
  <w:footnote w:type="continuationSeparator" w:id="0">
    <w:p w14:paraId="75D645E6" w14:textId="77777777" w:rsidR="000B2171" w:rsidRPr="00FC68B7" w:rsidRDefault="000B2171" w:rsidP="00FC68B7">
      <w:pPr>
        <w:tabs>
          <w:tab w:val="left" w:pos="2155"/>
        </w:tabs>
        <w:spacing w:after="80"/>
        <w:ind w:left="680"/>
        <w:rPr>
          <w:u w:val="single"/>
        </w:rPr>
      </w:pPr>
      <w:r>
        <w:rPr>
          <w:u w:val="single"/>
        </w:rPr>
        <w:tab/>
      </w:r>
    </w:p>
  </w:footnote>
  <w:footnote w:type="continuationNotice" w:id="1">
    <w:p w14:paraId="381FAD92" w14:textId="77777777" w:rsidR="000B2171" w:rsidRDefault="000B2171"/>
  </w:footnote>
  <w:footnote w:id="2">
    <w:p w14:paraId="39B3CBF0" w14:textId="61E28887" w:rsidR="00AB3D5F" w:rsidRPr="00AB3D5F" w:rsidRDefault="00AB3D5F">
      <w:pPr>
        <w:pStyle w:val="FootnoteText"/>
        <w:rPr>
          <w:sz w:val="20"/>
          <w:lang w:val="es-ES"/>
        </w:rPr>
      </w:pPr>
      <w:r>
        <w:tab/>
      </w:r>
      <w:r w:rsidRPr="00F36303">
        <w:rPr>
          <w:rStyle w:val="FootnoteReference"/>
          <w:sz w:val="20"/>
          <w:vertAlign w:val="baseline"/>
          <w:lang w:val="fr-CH"/>
        </w:rPr>
        <w:t>*</w:t>
      </w:r>
      <w:r w:rsidRPr="00F36303">
        <w:rPr>
          <w:rStyle w:val="FootnoteReference"/>
          <w:vertAlign w:val="baseline"/>
          <w:lang w:val="fr-CH"/>
        </w:rPr>
        <w:tab/>
      </w:r>
      <w:r w:rsidRPr="00430F3A">
        <w:rPr>
          <w:szCs w:val="18"/>
          <w:lang w:val="es-ES"/>
        </w:rPr>
        <w:t>El resumen del presente informe se distribuye en todos los idiomas oficiales. El informe propiamente dicho</w:t>
      </w:r>
      <w:r>
        <w:rPr>
          <w:szCs w:val="18"/>
          <w:lang w:val="es-ES"/>
        </w:rPr>
        <w:t>, que figura en el anexo,</w:t>
      </w:r>
      <w:r w:rsidRPr="00430F3A">
        <w:rPr>
          <w:szCs w:val="18"/>
          <w:lang w:val="es-ES"/>
        </w:rPr>
        <w:t xml:space="preserve"> se distribuye únicamente en el idioma en que se presentó y en inglés.</w:t>
      </w:r>
    </w:p>
  </w:footnote>
  <w:footnote w:id="3">
    <w:p w14:paraId="14AE927E" w14:textId="17FD4FB4" w:rsidR="00AB3D5F" w:rsidRPr="00AB3D5F" w:rsidRDefault="00AB3D5F">
      <w:pPr>
        <w:pStyle w:val="FootnoteText"/>
        <w:rPr>
          <w:sz w:val="20"/>
          <w:lang w:val="es-ES"/>
        </w:rPr>
      </w:pPr>
      <w:r w:rsidRPr="00F36303">
        <w:rPr>
          <w:lang w:val="fr-CH"/>
        </w:rPr>
        <w:tab/>
      </w:r>
      <w:r w:rsidRPr="00F36303">
        <w:rPr>
          <w:rStyle w:val="FootnoteReference"/>
          <w:sz w:val="20"/>
          <w:vertAlign w:val="baseline"/>
          <w:lang w:val="fr-CH"/>
        </w:rPr>
        <w:t>**</w:t>
      </w:r>
      <w:r w:rsidRPr="00F36303">
        <w:rPr>
          <w:rStyle w:val="FootnoteReference"/>
          <w:vertAlign w:val="baseline"/>
          <w:lang w:val="fr-CH"/>
        </w:rPr>
        <w:tab/>
      </w:r>
      <w:r w:rsidRPr="00430F3A">
        <w:rPr>
          <w:szCs w:val="18"/>
          <w:lang w:val="es-ES"/>
        </w:rPr>
        <w:t xml:space="preserve">Este informe </w:t>
      </w:r>
      <w:r>
        <w:rPr>
          <w:szCs w:val="18"/>
          <w:lang w:val="es-ES"/>
        </w:rPr>
        <w:t>se</w:t>
      </w:r>
      <w:r w:rsidRPr="00430F3A">
        <w:rPr>
          <w:szCs w:val="18"/>
          <w:lang w:val="es-ES"/>
        </w:rPr>
        <w:t xml:space="preserve"> present</w:t>
      </w:r>
      <w:r>
        <w:rPr>
          <w:szCs w:val="18"/>
          <w:lang w:val="es-ES"/>
        </w:rPr>
        <w:t>ó</w:t>
      </w:r>
      <w:r w:rsidRPr="00430F3A">
        <w:rPr>
          <w:szCs w:val="18"/>
          <w:lang w:val="es-ES"/>
        </w:rPr>
        <w:t xml:space="preserve"> </w:t>
      </w:r>
      <w:r>
        <w:rPr>
          <w:szCs w:val="18"/>
          <w:lang w:val="es-ES"/>
        </w:rPr>
        <w:t xml:space="preserve">con retraso para </w:t>
      </w:r>
      <w:r w:rsidRPr="00430F3A">
        <w:rPr>
          <w:szCs w:val="18"/>
          <w:lang w:val="es-ES"/>
        </w:rPr>
        <w:t xml:space="preserve">incluir </w:t>
      </w:r>
      <w:r>
        <w:rPr>
          <w:szCs w:val="18"/>
          <w:lang w:val="es-ES"/>
        </w:rPr>
        <w:t xml:space="preserve">en él </w:t>
      </w:r>
      <w:r w:rsidRPr="00430F3A">
        <w:rPr>
          <w:szCs w:val="18"/>
          <w:lang w:val="es-ES"/>
        </w:rPr>
        <w:t xml:space="preserve">información sobre los </w:t>
      </w:r>
      <w:r>
        <w:rPr>
          <w:szCs w:val="18"/>
          <w:lang w:val="es-ES"/>
        </w:rPr>
        <w:t>acontecimientos</w:t>
      </w:r>
      <w:r w:rsidRPr="00430F3A">
        <w:rPr>
          <w:szCs w:val="18"/>
          <w:lang w:val="es-ES"/>
        </w:rPr>
        <w:t xml:space="preserve"> más recientes.</w:t>
      </w:r>
    </w:p>
  </w:footnote>
  <w:footnote w:id="4">
    <w:p w14:paraId="0E9E74DE" w14:textId="6E704FDF" w:rsidR="00EC4516" w:rsidRPr="00430F3A" w:rsidRDefault="00EC4516" w:rsidP="00EC4516">
      <w:pPr>
        <w:pStyle w:val="FootnoteText"/>
        <w:widowControl w:val="0"/>
        <w:tabs>
          <w:tab w:val="clear" w:pos="1021"/>
          <w:tab w:val="right" w:pos="1020"/>
        </w:tabs>
        <w:rPr>
          <w:szCs w:val="18"/>
          <w:lang w:val="es-ES"/>
        </w:rPr>
      </w:pPr>
      <w:r w:rsidRPr="00430F3A">
        <w:rPr>
          <w:szCs w:val="18"/>
          <w:lang w:val="es-CO"/>
        </w:rPr>
        <w:tab/>
      </w:r>
      <w:r w:rsidRPr="00430F3A">
        <w:rPr>
          <w:rStyle w:val="FootnoteReference"/>
          <w:szCs w:val="18"/>
        </w:rPr>
        <w:footnoteRef/>
      </w:r>
      <w:r w:rsidRPr="00430F3A">
        <w:rPr>
          <w:szCs w:val="18"/>
          <w:lang w:val="es-ES"/>
        </w:rPr>
        <w:tab/>
        <w:t>El 29 de mayo, en Meta, durante la primera vuelta electoral, miembros de un grupo armado no estatal atacaron a integrantes del Ejército cuando retiraban material electoral</w:t>
      </w:r>
      <w:r w:rsidR="00607483">
        <w:rPr>
          <w:szCs w:val="18"/>
          <w:lang w:val="es-ES"/>
        </w:rPr>
        <w:t>,</w:t>
      </w:r>
      <w:r w:rsidRPr="00430F3A">
        <w:rPr>
          <w:szCs w:val="18"/>
          <w:lang w:val="es-ES"/>
        </w:rPr>
        <w:t xml:space="preserve"> dejando como resultado la muerte de un jurado de votación y un soldado herido. Durante el proceso de escrutinio, en Cauca, desconocidos asesinaron a dos líderes sociales en dos incidentes distintos. Ambas víctimas habrían apoyado la campaña del Presidente </w:t>
      </w:r>
      <w:r w:rsidR="00607483" w:rsidRPr="00FA61EE">
        <w:rPr>
          <w:lang w:val="es-CO"/>
        </w:rPr>
        <w:t xml:space="preserve">Gustavo </w:t>
      </w:r>
      <w:r w:rsidRPr="00430F3A">
        <w:rPr>
          <w:szCs w:val="18"/>
          <w:lang w:val="es-ES"/>
        </w:rPr>
        <w:t>Petro.</w:t>
      </w:r>
    </w:p>
  </w:footnote>
  <w:footnote w:id="5">
    <w:p w14:paraId="47F50546" w14:textId="46339CF0" w:rsidR="00EC4516" w:rsidRPr="00430F3A" w:rsidRDefault="00EC4516" w:rsidP="00BE18E6">
      <w:pPr>
        <w:pStyle w:val="FootnoteText"/>
        <w:tabs>
          <w:tab w:val="clear" w:pos="1021"/>
          <w:tab w:val="right" w:pos="1020"/>
        </w:tabs>
        <w:rPr>
          <w:szCs w:val="18"/>
          <w:lang w:val="es-CO"/>
        </w:rPr>
      </w:pPr>
      <w:r w:rsidRPr="00430F3A">
        <w:rPr>
          <w:szCs w:val="18"/>
          <w:lang w:val="es-CO"/>
        </w:rPr>
        <w:tab/>
      </w:r>
      <w:r w:rsidRPr="00430F3A">
        <w:rPr>
          <w:rStyle w:val="FootnoteReference"/>
          <w:szCs w:val="18"/>
        </w:rPr>
        <w:footnoteRef/>
      </w:r>
      <w:r w:rsidR="006D5C2B">
        <w:rPr>
          <w:szCs w:val="18"/>
          <w:lang w:val="es-CO"/>
        </w:rPr>
        <w:tab/>
      </w:r>
      <w:r w:rsidR="009B684D">
        <w:rPr>
          <w:szCs w:val="18"/>
          <w:lang w:val="es-CO"/>
        </w:rPr>
        <w:t xml:space="preserve">El informe puede consultarse en </w:t>
      </w:r>
      <w:r w:rsidR="00F36303">
        <w:fldChar w:fldCharType="begin"/>
      </w:r>
      <w:r w:rsidR="00F36303" w:rsidRPr="00F36303">
        <w:rPr>
          <w:lang w:val="fr-CH"/>
        </w:rPr>
        <w:instrText>HYPERLINK "file:///C:\\Users\\merino\\Downloads\\www.hchr.org.co\\informes_tematicos\\violencia-terr</w:instrText>
      </w:r>
      <w:r w:rsidR="00F36303" w:rsidRPr="00F36303">
        <w:rPr>
          <w:lang w:val="fr-CH"/>
        </w:rPr>
        <w:instrText>itorial-en-colombia-recomendaciones-al-nuevo-gobierno\\"</w:instrText>
      </w:r>
      <w:r w:rsidR="00F36303">
        <w:fldChar w:fldCharType="separate"/>
      </w:r>
      <w:r w:rsidRPr="003344C1">
        <w:rPr>
          <w:rStyle w:val="Hyperlink"/>
          <w:szCs w:val="18"/>
          <w:lang w:val="es-CO"/>
        </w:rPr>
        <w:t>www.hchr.org.co/informes_tematicos/violencia-territorial-en-colombia-recomendaciones-al-nuevo-gobierno/</w:t>
      </w:r>
      <w:r w:rsidR="00F36303">
        <w:rPr>
          <w:rStyle w:val="Hyperlink"/>
          <w:szCs w:val="18"/>
          <w:lang w:val="es-CO"/>
        </w:rPr>
        <w:fldChar w:fldCharType="end"/>
      </w:r>
      <w:r w:rsidRPr="00430F3A">
        <w:rPr>
          <w:szCs w:val="18"/>
          <w:lang w:val="es-CO"/>
        </w:rPr>
        <w:t>.</w:t>
      </w:r>
    </w:p>
  </w:footnote>
  <w:footnote w:id="6">
    <w:p w14:paraId="54FC7E10" w14:textId="3C52E3B4" w:rsidR="00CF3909" w:rsidRPr="00430F3A" w:rsidRDefault="00CF3909" w:rsidP="00C6307F">
      <w:pPr>
        <w:pStyle w:val="FootnoteText"/>
        <w:rPr>
          <w:szCs w:val="18"/>
          <w:lang w:val="es-CO"/>
        </w:rPr>
      </w:pPr>
      <w:r w:rsidRPr="00430F3A">
        <w:rPr>
          <w:szCs w:val="18"/>
          <w:lang w:val="es-CO"/>
        </w:rPr>
        <w:tab/>
      </w:r>
      <w:r w:rsidRPr="00430F3A">
        <w:rPr>
          <w:rStyle w:val="FootnoteReference"/>
          <w:szCs w:val="18"/>
        </w:rPr>
        <w:footnoteRef/>
      </w:r>
      <w:r w:rsidRPr="00430F3A">
        <w:rPr>
          <w:szCs w:val="18"/>
          <w:lang w:val="es-CO"/>
        </w:rPr>
        <w:tab/>
      </w:r>
      <w:r w:rsidR="007D7CEC">
        <w:rPr>
          <w:szCs w:val="18"/>
          <w:lang w:val="es-CO"/>
        </w:rPr>
        <w:t xml:space="preserve">Véase la </w:t>
      </w:r>
      <w:r w:rsidR="00173CF9" w:rsidRPr="00FA61EE">
        <w:rPr>
          <w:lang w:val="es-CO"/>
        </w:rPr>
        <w:t>Ley 2272 de 2022</w:t>
      </w:r>
      <w:r w:rsidR="00173CF9">
        <w:rPr>
          <w:lang w:val="es-CO"/>
        </w:rPr>
        <w:t xml:space="preserve">, que puede consultarse en </w:t>
      </w:r>
      <w:r w:rsidR="00F36303">
        <w:fldChar w:fldCharType="begin"/>
      </w:r>
      <w:r w:rsidR="00F36303" w:rsidRPr="00F36303">
        <w:rPr>
          <w:lang w:val="fr-CH"/>
        </w:rPr>
        <w:instrText>HYPERLINK "file:///C:\\Users\\merino\\Downloads\\www.funcionpublica.gov.co\\eva\\gestornormativo\\norma.php%3fi=197883"</w:instrText>
      </w:r>
      <w:r w:rsidR="00F36303">
        <w:fldChar w:fldCharType="separate"/>
      </w:r>
      <w:r w:rsidRPr="003344C1">
        <w:rPr>
          <w:rStyle w:val="Hyperlink"/>
          <w:szCs w:val="18"/>
          <w:lang w:val="es-CO"/>
        </w:rPr>
        <w:t>www.funcionpublica.gov.co/eva/gestornormativo/norma.php?i=197883</w:t>
      </w:r>
      <w:r w:rsidR="00F36303">
        <w:rPr>
          <w:rStyle w:val="Hyperlink"/>
          <w:szCs w:val="18"/>
          <w:lang w:val="es-CO"/>
        </w:rPr>
        <w:fldChar w:fldCharType="end"/>
      </w:r>
      <w:r w:rsidRPr="00430F3A">
        <w:rPr>
          <w:szCs w:val="18"/>
          <w:lang w:val="es-CO"/>
        </w:rPr>
        <w:t>.</w:t>
      </w:r>
    </w:p>
  </w:footnote>
  <w:footnote w:id="7">
    <w:p w14:paraId="6A3BA734" w14:textId="7429271D" w:rsidR="00CF3909" w:rsidRPr="00430F3A" w:rsidRDefault="00CF3909" w:rsidP="00C6307F">
      <w:pPr>
        <w:pStyle w:val="FootnoteText"/>
        <w:tabs>
          <w:tab w:val="clear" w:pos="1021"/>
          <w:tab w:val="right" w:pos="1020"/>
        </w:tabs>
        <w:rPr>
          <w:szCs w:val="18"/>
          <w:lang w:val="es-CO"/>
        </w:rPr>
      </w:pPr>
      <w:r w:rsidRPr="00430F3A">
        <w:rPr>
          <w:szCs w:val="18"/>
          <w:lang w:val="es-CO"/>
        </w:rPr>
        <w:tab/>
      </w:r>
      <w:r w:rsidRPr="00430F3A">
        <w:rPr>
          <w:rStyle w:val="FootnoteReference"/>
          <w:szCs w:val="18"/>
        </w:rPr>
        <w:footnoteRef/>
      </w:r>
      <w:r w:rsidRPr="00430F3A">
        <w:rPr>
          <w:szCs w:val="18"/>
          <w:lang w:val="es-CO"/>
        </w:rPr>
        <w:tab/>
        <w:t xml:space="preserve"> </w:t>
      </w:r>
      <w:r w:rsidR="00F53233">
        <w:rPr>
          <w:lang w:val="es-419"/>
        </w:rPr>
        <w:t xml:space="preserve">Véase </w:t>
      </w:r>
      <w:r w:rsidR="00F36303">
        <w:fldChar w:fldCharType="begin"/>
      </w:r>
      <w:r w:rsidR="00F36303" w:rsidRPr="00F36303">
        <w:rPr>
          <w:lang w:val="fr-CH"/>
        </w:rPr>
        <w:instrText>HYPERLINK "https://petro.presidencia.gov.co/prensa/Paginas/Gobierno-del-Cambio-y-guerrilla-del-ELN-reanudaran-este-lunes-negociacion-221119.aspx"</w:instrText>
      </w:r>
      <w:r w:rsidR="00F36303">
        <w:fldChar w:fldCharType="separate"/>
      </w:r>
      <w:r w:rsidRPr="003344C1">
        <w:rPr>
          <w:rStyle w:val="Hyperlink"/>
          <w:szCs w:val="18"/>
          <w:lang w:val="es-CO"/>
        </w:rPr>
        <w:t>https://petro.presidencia.gov.co/prensa/Paginas/Gobierno-del-Cambio-y-guerrilla-del-ELN-reanudaran-este-lunes-negociacion-221119.aspx</w:t>
      </w:r>
      <w:r w:rsidR="00F36303">
        <w:rPr>
          <w:rStyle w:val="Hyperlink"/>
          <w:szCs w:val="18"/>
          <w:lang w:val="es-CO"/>
        </w:rPr>
        <w:fldChar w:fldCharType="end"/>
      </w:r>
      <w:r w:rsidRPr="00430F3A">
        <w:rPr>
          <w:szCs w:val="18"/>
          <w:lang w:val="es-CO"/>
        </w:rPr>
        <w:t>.</w:t>
      </w:r>
    </w:p>
  </w:footnote>
  <w:footnote w:id="8">
    <w:p w14:paraId="0412C0FE" w14:textId="41FF7AEC" w:rsidR="00CF3909" w:rsidRPr="00430F3A" w:rsidRDefault="00CF3909" w:rsidP="00C6307F">
      <w:pPr>
        <w:pStyle w:val="FootnoteText"/>
        <w:tabs>
          <w:tab w:val="clear" w:pos="1021"/>
          <w:tab w:val="right" w:pos="1020"/>
        </w:tabs>
        <w:rPr>
          <w:szCs w:val="18"/>
          <w:lang w:val="es-CO"/>
        </w:rPr>
      </w:pPr>
      <w:r w:rsidRPr="00430F3A">
        <w:rPr>
          <w:szCs w:val="18"/>
          <w:lang w:val="es-CO"/>
        </w:rPr>
        <w:tab/>
      </w:r>
      <w:r w:rsidRPr="00430F3A">
        <w:rPr>
          <w:rStyle w:val="FootnoteReference"/>
          <w:szCs w:val="18"/>
        </w:rPr>
        <w:footnoteRef/>
      </w:r>
      <w:r w:rsidRPr="00430F3A">
        <w:rPr>
          <w:szCs w:val="18"/>
          <w:lang w:val="es-CO"/>
        </w:rPr>
        <w:tab/>
        <w:t xml:space="preserve"> </w:t>
      </w:r>
      <w:r w:rsidR="00F53233">
        <w:rPr>
          <w:lang w:val="es-419"/>
        </w:rPr>
        <w:t xml:space="preserve">Véase </w:t>
      </w:r>
      <w:r w:rsidR="00F36303">
        <w:fldChar w:fldCharType="begin"/>
      </w:r>
      <w:r w:rsidR="00F36303" w:rsidRPr="00F36303">
        <w:rPr>
          <w:lang w:val="fr-CH"/>
        </w:rPr>
        <w:instrText>HYPERLINK "file:///C:\\Users\\merino\\Downloads\\www.elcolombiano.com\\colombia\\gustavo-petro-y-danilo-rueda-explican-cese-multilateral-del-fuego-con-eln-exfarc-disidencias-y-n</w:instrText>
      </w:r>
      <w:r w:rsidR="00F36303" w:rsidRPr="00F36303">
        <w:rPr>
          <w:lang w:val="fr-CH"/>
        </w:rPr>
        <w:instrText>arcobandas-PG18695802"</w:instrText>
      </w:r>
      <w:r w:rsidR="00F36303">
        <w:fldChar w:fldCharType="separate"/>
      </w:r>
      <w:r w:rsidRPr="003344C1">
        <w:rPr>
          <w:rStyle w:val="Hyperlink"/>
          <w:szCs w:val="18"/>
          <w:lang w:val="es-CO"/>
        </w:rPr>
        <w:t>www.elcolombiano.com/colombia/gustavo-petro-y-danilo-rueda-explican-cese-multilateral-del-fuego-con-eln-exfarc-disidencias-y-narcobandas-PG18695802</w:t>
      </w:r>
      <w:r w:rsidR="00F36303">
        <w:rPr>
          <w:rStyle w:val="Hyperlink"/>
          <w:szCs w:val="18"/>
          <w:lang w:val="es-CO"/>
        </w:rPr>
        <w:fldChar w:fldCharType="end"/>
      </w:r>
      <w:r w:rsidRPr="00430F3A">
        <w:rPr>
          <w:szCs w:val="18"/>
          <w:lang w:val="es-CO"/>
        </w:rPr>
        <w:t>.</w:t>
      </w:r>
    </w:p>
  </w:footnote>
  <w:footnote w:id="9">
    <w:p w14:paraId="7FE9FAC3" w14:textId="36BEC38C" w:rsidR="00CF3909" w:rsidRPr="00430F3A" w:rsidRDefault="00CF3909" w:rsidP="00C6307F">
      <w:pPr>
        <w:pStyle w:val="FootnoteText"/>
        <w:tabs>
          <w:tab w:val="clear" w:pos="1021"/>
          <w:tab w:val="right" w:pos="1020"/>
        </w:tabs>
        <w:rPr>
          <w:szCs w:val="18"/>
          <w:lang w:val="es-CO"/>
        </w:rPr>
      </w:pPr>
      <w:r w:rsidRPr="00430F3A">
        <w:rPr>
          <w:szCs w:val="18"/>
          <w:lang w:val="es-CO"/>
        </w:rPr>
        <w:tab/>
      </w:r>
      <w:r w:rsidRPr="00430F3A">
        <w:rPr>
          <w:rStyle w:val="FootnoteReference"/>
          <w:szCs w:val="18"/>
        </w:rPr>
        <w:footnoteRef/>
      </w:r>
      <w:r w:rsidRPr="00430F3A">
        <w:rPr>
          <w:szCs w:val="18"/>
          <w:lang w:val="es-CO"/>
        </w:rPr>
        <w:tab/>
        <w:t xml:space="preserve"> </w:t>
      </w:r>
      <w:r w:rsidR="00F53233">
        <w:rPr>
          <w:lang w:val="es-419"/>
        </w:rPr>
        <w:t xml:space="preserve">Véase </w:t>
      </w:r>
      <w:r w:rsidR="00F36303">
        <w:fldChar w:fldCharType="begin"/>
      </w:r>
      <w:r w:rsidR="00F36303" w:rsidRPr="00F36303">
        <w:rPr>
          <w:lang w:val="fr-CH"/>
        </w:rPr>
        <w:instrText>HYPERLINK "https://petro.presidencia.</w:instrText>
      </w:r>
      <w:r w:rsidR="00F36303" w:rsidRPr="00F36303">
        <w:rPr>
          <w:lang w:val="fr-CH"/>
        </w:rPr>
        <w:instrText>gov.co/prensa/Paginas/Presidente-Petro-anuncia-cese-al-fuego-bilateral-con-5-organizaciones-armad-221201.aspx"</w:instrText>
      </w:r>
      <w:r w:rsidR="00F36303">
        <w:fldChar w:fldCharType="separate"/>
      </w:r>
      <w:r w:rsidRPr="00F36303">
        <w:rPr>
          <w:rStyle w:val="Hyperlink"/>
          <w:lang w:val="fr-CH"/>
        </w:rPr>
        <w:t>https://petro.presidencia.gov.co/prensa/Paginas/Presidente-Petro-anuncia-cese-al-fuego-bilateral-con-5-organizaciones-armad-221201.aspx</w:t>
      </w:r>
      <w:r w:rsidR="00F36303">
        <w:rPr>
          <w:rStyle w:val="Hyperlink"/>
        </w:rPr>
        <w:fldChar w:fldCharType="end"/>
      </w:r>
      <w:r w:rsidR="006335DE" w:rsidRPr="00430F3A">
        <w:rPr>
          <w:szCs w:val="18"/>
          <w:lang w:val="es-CO"/>
        </w:rPr>
        <w:t>.</w:t>
      </w:r>
    </w:p>
  </w:footnote>
  <w:footnote w:id="10">
    <w:p w14:paraId="1BE0471E" w14:textId="379D56FD" w:rsidR="00CF3909" w:rsidRPr="00430F3A" w:rsidRDefault="00CF3909" w:rsidP="00C6307F">
      <w:pPr>
        <w:pStyle w:val="FootnoteText"/>
        <w:tabs>
          <w:tab w:val="clear" w:pos="1021"/>
          <w:tab w:val="right" w:pos="1020"/>
        </w:tabs>
        <w:rPr>
          <w:szCs w:val="18"/>
          <w:lang w:val="es-ES"/>
        </w:rPr>
      </w:pPr>
      <w:r w:rsidRPr="00430F3A">
        <w:rPr>
          <w:szCs w:val="18"/>
          <w:lang w:val="es-CO"/>
        </w:rPr>
        <w:tab/>
      </w:r>
      <w:r w:rsidRPr="00173CF9">
        <w:rPr>
          <w:rStyle w:val="FootnoteReference"/>
          <w:szCs w:val="18"/>
        </w:rPr>
        <w:footnoteRef/>
      </w:r>
      <w:r w:rsidRPr="00173CF9">
        <w:rPr>
          <w:szCs w:val="18"/>
          <w:lang w:val="es-ES"/>
        </w:rPr>
        <w:tab/>
        <w:t xml:space="preserve"> El 31 de diciembre</w:t>
      </w:r>
      <w:r w:rsidR="00173CF9">
        <w:rPr>
          <w:szCs w:val="18"/>
          <w:lang w:val="es-ES"/>
        </w:rPr>
        <w:t>,</w:t>
      </w:r>
      <w:r w:rsidRPr="00173CF9">
        <w:rPr>
          <w:szCs w:val="18"/>
          <w:lang w:val="es-ES"/>
        </w:rPr>
        <w:t xml:space="preserve"> el Gobierno expidió los De</w:t>
      </w:r>
      <w:r w:rsidR="00793AF7" w:rsidRPr="00173CF9">
        <w:rPr>
          <w:szCs w:val="18"/>
          <w:lang w:val="es-ES"/>
        </w:rPr>
        <w:t>cretos 2656, 2658, 2659 y 2660.</w:t>
      </w:r>
    </w:p>
  </w:footnote>
  <w:footnote w:id="11">
    <w:p w14:paraId="6F41595A" w14:textId="0C74BCE4" w:rsidR="00CF3909" w:rsidRPr="009A1476" w:rsidRDefault="00CF3909" w:rsidP="00CF3909">
      <w:pPr>
        <w:pStyle w:val="FootnoteText"/>
        <w:widowControl w:val="0"/>
        <w:tabs>
          <w:tab w:val="clear" w:pos="1021"/>
          <w:tab w:val="right" w:pos="1020"/>
        </w:tabs>
        <w:rPr>
          <w:szCs w:val="18"/>
          <w:lang w:val="es-ES"/>
        </w:rPr>
      </w:pPr>
      <w:r w:rsidRPr="00430F3A">
        <w:rPr>
          <w:szCs w:val="18"/>
          <w:lang w:val="es-CO"/>
        </w:rPr>
        <w:tab/>
      </w:r>
      <w:r w:rsidRPr="00430F3A">
        <w:rPr>
          <w:rStyle w:val="FootnoteReference"/>
          <w:szCs w:val="18"/>
        </w:rPr>
        <w:footnoteRef/>
      </w:r>
      <w:r w:rsidR="00793AF7">
        <w:rPr>
          <w:szCs w:val="18"/>
          <w:lang w:val="es-ES"/>
        </w:rPr>
        <w:tab/>
        <w:t xml:space="preserve"> Ley 2272, </w:t>
      </w:r>
      <w:r w:rsidR="00173CF9">
        <w:rPr>
          <w:szCs w:val="18"/>
          <w:lang w:val="es-ES"/>
        </w:rPr>
        <w:t>cap. I, art. 2º b, y cap. II,</w:t>
      </w:r>
      <w:r w:rsidRPr="00430F3A">
        <w:rPr>
          <w:szCs w:val="18"/>
          <w:lang w:val="es-ES"/>
        </w:rPr>
        <w:t xml:space="preserve"> </w:t>
      </w:r>
      <w:r w:rsidR="00793AF7" w:rsidRPr="009A1476">
        <w:rPr>
          <w:szCs w:val="18"/>
          <w:lang w:val="es-ES"/>
        </w:rPr>
        <w:t>a</w:t>
      </w:r>
      <w:r w:rsidRPr="009A1476">
        <w:rPr>
          <w:szCs w:val="18"/>
          <w:lang w:val="es-ES"/>
        </w:rPr>
        <w:t>rt. 8C.</w:t>
      </w:r>
    </w:p>
  </w:footnote>
  <w:footnote w:id="12">
    <w:p w14:paraId="3A35E58D" w14:textId="19D64B9F" w:rsidR="009C5CF0" w:rsidRPr="009A1476" w:rsidRDefault="009C5CF0" w:rsidP="008D308A">
      <w:pPr>
        <w:pStyle w:val="FootnoteText"/>
        <w:tabs>
          <w:tab w:val="clear" w:pos="1021"/>
          <w:tab w:val="right" w:pos="1020"/>
        </w:tabs>
        <w:rPr>
          <w:szCs w:val="18"/>
          <w:lang w:val="es-ES"/>
        </w:rPr>
      </w:pPr>
      <w:r w:rsidRPr="009A1476">
        <w:rPr>
          <w:szCs w:val="18"/>
          <w:lang w:val="es-ES"/>
        </w:rPr>
        <w:tab/>
      </w:r>
      <w:r w:rsidRPr="00430F3A">
        <w:rPr>
          <w:rStyle w:val="FootnoteReference"/>
          <w:szCs w:val="18"/>
        </w:rPr>
        <w:footnoteRef/>
      </w:r>
      <w:r w:rsidR="009A1476" w:rsidRPr="009A1476">
        <w:rPr>
          <w:szCs w:val="18"/>
          <w:lang w:val="es-ES"/>
        </w:rPr>
        <w:tab/>
      </w:r>
      <w:r w:rsidR="00F53233">
        <w:rPr>
          <w:lang w:val="es-419"/>
        </w:rPr>
        <w:t xml:space="preserve">Véase </w:t>
      </w:r>
      <w:hyperlink r:id="rId1" w:history="1">
        <w:r w:rsidRPr="003344C1">
          <w:rPr>
            <w:rStyle w:val="Hyperlink"/>
            <w:szCs w:val="18"/>
            <w:lang w:val="es-ES"/>
          </w:rPr>
          <w:t>https://petro.presidencia.gov.co/prensa/Paginas/La-paz-en-Colombia-afecta-de-manera-positiva-el-trabajo-con-Estados-Unidos-221003.aspx</w:t>
        </w:r>
      </w:hyperlink>
      <w:r w:rsidR="006335DE" w:rsidRPr="009A1476">
        <w:rPr>
          <w:szCs w:val="18"/>
          <w:lang w:val="es-ES"/>
        </w:rPr>
        <w:t>.</w:t>
      </w:r>
    </w:p>
  </w:footnote>
  <w:footnote w:id="13">
    <w:p w14:paraId="60F60E54" w14:textId="1EDB5D14" w:rsidR="009C5CF0" w:rsidRPr="009A1476" w:rsidRDefault="009C5CF0" w:rsidP="008D308A">
      <w:pPr>
        <w:pStyle w:val="FootnoteText"/>
        <w:tabs>
          <w:tab w:val="clear" w:pos="1021"/>
          <w:tab w:val="right" w:pos="1020"/>
        </w:tabs>
        <w:rPr>
          <w:szCs w:val="18"/>
          <w:lang w:val="es-ES"/>
        </w:rPr>
      </w:pPr>
      <w:r w:rsidRPr="009A1476">
        <w:rPr>
          <w:szCs w:val="18"/>
          <w:lang w:val="es-ES"/>
        </w:rPr>
        <w:tab/>
      </w:r>
      <w:r w:rsidRPr="00430F3A">
        <w:rPr>
          <w:rStyle w:val="FootnoteReference"/>
          <w:szCs w:val="18"/>
        </w:rPr>
        <w:footnoteRef/>
      </w:r>
      <w:r w:rsidR="009A1476" w:rsidRPr="009A1476">
        <w:rPr>
          <w:szCs w:val="18"/>
          <w:lang w:val="es-ES"/>
        </w:rPr>
        <w:tab/>
      </w:r>
      <w:r w:rsidR="00F53233">
        <w:rPr>
          <w:lang w:val="es-419"/>
        </w:rPr>
        <w:t xml:space="preserve">Véase </w:t>
      </w:r>
      <w:r w:rsidR="00F36303">
        <w:fldChar w:fldCharType="begin"/>
      </w:r>
      <w:r w:rsidR="00F36303" w:rsidRPr="00F36303">
        <w:rPr>
          <w:lang w:val="fr-CH"/>
        </w:rPr>
        <w:instrText>HYPERLINK "file:///C:\\Users\\merino\\Downloads\\www.hchr.org.co\\historias_destacadas\\una-politica-de-drogas-mas-social-podria-proteger-mejor-a-campesinos-indigenas-y-afrodescendie</w:instrText>
      </w:r>
      <w:r w:rsidR="00F36303" w:rsidRPr="00F36303">
        <w:rPr>
          <w:lang w:val="fr-CH"/>
        </w:rPr>
        <w:instrText>ntes-en-colombia-michelle-bachelet\\"</w:instrText>
      </w:r>
      <w:r w:rsidR="00F36303">
        <w:fldChar w:fldCharType="separate"/>
      </w:r>
      <w:r w:rsidRPr="003344C1">
        <w:rPr>
          <w:rStyle w:val="Hyperlink"/>
          <w:szCs w:val="18"/>
          <w:lang w:val="es-ES"/>
        </w:rPr>
        <w:t>www.hchr.org.co/historias_destacadas/una-politica-de-drogas-mas-social-podria-proteger-mejor-a-campesinos-indigenas-y-afrodescendientes-en-colombia-michelle-bachelet/</w:t>
      </w:r>
      <w:r w:rsidR="00F36303">
        <w:rPr>
          <w:rStyle w:val="Hyperlink"/>
          <w:szCs w:val="18"/>
          <w:lang w:val="es-ES"/>
        </w:rPr>
        <w:fldChar w:fldCharType="end"/>
      </w:r>
      <w:r w:rsidRPr="009A1476">
        <w:rPr>
          <w:szCs w:val="18"/>
          <w:lang w:val="es-ES"/>
        </w:rPr>
        <w:t>.</w:t>
      </w:r>
    </w:p>
  </w:footnote>
  <w:footnote w:id="14">
    <w:p w14:paraId="08F016AD" w14:textId="524E8215" w:rsidR="009C5CF0" w:rsidRPr="009A1476" w:rsidRDefault="009C5CF0" w:rsidP="008D308A">
      <w:pPr>
        <w:pStyle w:val="FootnoteText"/>
        <w:tabs>
          <w:tab w:val="clear" w:pos="1021"/>
          <w:tab w:val="right" w:pos="1020"/>
        </w:tabs>
        <w:rPr>
          <w:szCs w:val="18"/>
          <w:lang w:val="es-ES"/>
        </w:rPr>
      </w:pPr>
      <w:r w:rsidRPr="009A1476">
        <w:rPr>
          <w:szCs w:val="18"/>
          <w:lang w:val="es-ES"/>
        </w:rPr>
        <w:tab/>
      </w:r>
      <w:r w:rsidRPr="00430F3A">
        <w:rPr>
          <w:rStyle w:val="FootnoteReference"/>
          <w:szCs w:val="18"/>
        </w:rPr>
        <w:footnoteRef/>
      </w:r>
      <w:r w:rsidR="009A1476" w:rsidRPr="009A1476">
        <w:rPr>
          <w:szCs w:val="18"/>
          <w:lang w:val="es-ES"/>
        </w:rPr>
        <w:t xml:space="preserve"> </w:t>
      </w:r>
      <w:r w:rsidR="00F53233">
        <w:rPr>
          <w:szCs w:val="18"/>
          <w:lang w:val="es-ES"/>
        </w:rPr>
        <w:tab/>
      </w:r>
      <w:r w:rsidR="00F53233">
        <w:rPr>
          <w:lang w:val="es-419"/>
        </w:rPr>
        <w:t xml:space="preserve">Véase </w:t>
      </w:r>
      <w:r w:rsidR="00F36303">
        <w:fldChar w:fldCharType="begin"/>
      </w:r>
      <w:r w:rsidR="00F36303" w:rsidRPr="00F36303">
        <w:rPr>
          <w:lang w:val="fr-CH"/>
        </w:rPr>
        <w:instrText>HYP</w:instrText>
      </w:r>
      <w:r w:rsidR="00F36303" w:rsidRPr="00F36303">
        <w:rPr>
          <w:lang w:val="fr-CH"/>
        </w:rPr>
        <w:instrText>ERLINK "file:///C:\\Users\\merino\\Downloads\\www.procuraduria.gov.co\\Documents\\Cuarto%20Informe%20Seguimiento%20al%20Acuerdo%20de%20Paz_Radicaci%25C3%25B3n%20(1).pdf"</w:instrText>
      </w:r>
      <w:r w:rsidR="00F36303">
        <w:fldChar w:fldCharType="separate"/>
      </w:r>
      <w:r w:rsidRPr="003344C1">
        <w:rPr>
          <w:rStyle w:val="Hyperlink"/>
          <w:szCs w:val="18"/>
          <w:lang w:val="es-ES"/>
        </w:rPr>
        <w:t>www.procuraduria.gov.co/Documents/Cuarto%20Informe%20Seguimiento%20al%20Acuerdo%20de%20Paz_Radicaci%C3%B3n%20%281%29.pdf</w:t>
      </w:r>
      <w:r w:rsidR="00F36303">
        <w:rPr>
          <w:rStyle w:val="Hyperlink"/>
          <w:szCs w:val="18"/>
          <w:lang w:val="es-ES"/>
        </w:rPr>
        <w:fldChar w:fldCharType="end"/>
      </w:r>
      <w:r w:rsidRPr="009A1476">
        <w:rPr>
          <w:szCs w:val="18"/>
          <w:lang w:val="es-ES"/>
        </w:rPr>
        <w:t>.</w:t>
      </w:r>
    </w:p>
  </w:footnote>
  <w:footnote w:id="15">
    <w:p w14:paraId="5718E30E" w14:textId="092773B7" w:rsidR="009C5CF0" w:rsidRPr="001C04E1" w:rsidRDefault="009C5CF0" w:rsidP="008D308A">
      <w:pPr>
        <w:pStyle w:val="FootnoteText"/>
        <w:tabs>
          <w:tab w:val="clear" w:pos="1021"/>
          <w:tab w:val="right" w:pos="1020"/>
        </w:tabs>
        <w:rPr>
          <w:iCs/>
          <w:szCs w:val="18"/>
          <w:lang w:val="es-ES"/>
        </w:rPr>
      </w:pPr>
      <w:r w:rsidRPr="009A1476">
        <w:rPr>
          <w:szCs w:val="18"/>
          <w:lang w:val="es-ES"/>
        </w:rPr>
        <w:tab/>
      </w:r>
      <w:r w:rsidRPr="00430F3A">
        <w:rPr>
          <w:rStyle w:val="FootnoteReference"/>
          <w:szCs w:val="18"/>
        </w:rPr>
        <w:footnoteRef/>
      </w:r>
      <w:r w:rsidRPr="00430F3A">
        <w:rPr>
          <w:szCs w:val="18"/>
          <w:lang w:val="es-ES"/>
        </w:rPr>
        <w:tab/>
        <w:t xml:space="preserve"> </w:t>
      </w:r>
      <w:r w:rsidR="009A1476" w:rsidRPr="00813E48">
        <w:rPr>
          <w:rStyle w:val="Hyperlink"/>
          <w:i/>
          <w:iCs/>
          <w:szCs w:val="18"/>
          <w:lang w:val="es-ES"/>
        </w:rPr>
        <w:t>Ib</w:t>
      </w:r>
      <w:r w:rsidR="00173CF9">
        <w:rPr>
          <w:rStyle w:val="Hyperlink"/>
          <w:i/>
          <w:iCs/>
          <w:szCs w:val="18"/>
          <w:lang w:val="es-ES"/>
        </w:rPr>
        <w:t>i</w:t>
      </w:r>
      <w:r w:rsidR="009A1476" w:rsidRPr="00813E48">
        <w:rPr>
          <w:rStyle w:val="Hyperlink"/>
          <w:i/>
          <w:iCs/>
          <w:szCs w:val="18"/>
          <w:lang w:val="es-ES"/>
        </w:rPr>
        <w:t>d</w:t>
      </w:r>
      <w:r w:rsidR="009A1476" w:rsidRPr="001C04E1">
        <w:rPr>
          <w:rStyle w:val="Hyperlink"/>
          <w:iCs/>
          <w:szCs w:val="18"/>
          <w:lang w:val="es-ES"/>
        </w:rPr>
        <w:t>.</w:t>
      </w:r>
    </w:p>
  </w:footnote>
  <w:footnote w:id="16">
    <w:p w14:paraId="12743598" w14:textId="6F94268E" w:rsidR="009C5CF0" w:rsidRPr="00430F3A" w:rsidRDefault="009C5CF0" w:rsidP="008D308A">
      <w:pPr>
        <w:pStyle w:val="FootnoteText"/>
        <w:tabs>
          <w:tab w:val="clear" w:pos="1021"/>
          <w:tab w:val="right" w:pos="1020"/>
        </w:tabs>
        <w:rPr>
          <w:szCs w:val="18"/>
          <w:lang w:val="es-CO"/>
        </w:rPr>
      </w:pPr>
      <w:r w:rsidRPr="00430F3A">
        <w:rPr>
          <w:szCs w:val="18"/>
          <w:lang w:val="es-CO"/>
        </w:rPr>
        <w:tab/>
      </w:r>
      <w:r w:rsidRPr="00430F3A">
        <w:rPr>
          <w:rStyle w:val="FootnoteReference"/>
          <w:szCs w:val="18"/>
        </w:rPr>
        <w:footnoteRef/>
      </w:r>
      <w:r w:rsidR="009A1476">
        <w:rPr>
          <w:szCs w:val="18"/>
          <w:lang w:val="es-CO"/>
        </w:rPr>
        <w:tab/>
      </w:r>
      <w:r w:rsidR="00F53233">
        <w:rPr>
          <w:lang w:val="es-419"/>
        </w:rPr>
        <w:t xml:space="preserve">Véase </w:t>
      </w:r>
      <w:hyperlink r:id="rId2" w:history="1">
        <w:r w:rsidR="00F53233" w:rsidRPr="003344C1">
          <w:rPr>
            <w:rStyle w:val="Hyperlink"/>
          </w:rPr>
          <w:t>www.contraloria.gov.co/documents/20125/2968463/011.+Resumen+Ejecutivo+-+Sexto+Informe+de+Seguimiento+a+los+Recursos+del+Posconflicto+2022.pdf/3274882a-37d2-5524-0348-2db480837ec1?t=1669298586050</w:t>
        </w:r>
      </w:hyperlink>
      <w:r w:rsidR="00F53233">
        <w:t>.</w:t>
      </w:r>
      <w:r w:rsidR="00F53233" w:rsidRPr="00430F3A" w:rsidDel="00173CF9">
        <w:rPr>
          <w:rStyle w:val="Hyperlink"/>
          <w:szCs w:val="18"/>
          <w:lang w:val="es-CO"/>
        </w:rPr>
        <w:t xml:space="preserve"> </w:t>
      </w:r>
    </w:p>
  </w:footnote>
  <w:footnote w:id="17">
    <w:p w14:paraId="2E2302F3" w14:textId="35E4A787" w:rsidR="00CF40DD" w:rsidRPr="00430F3A" w:rsidRDefault="00CF40DD" w:rsidP="008D308A">
      <w:pPr>
        <w:pStyle w:val="FootnoteText"/>
        <w:tabs>
          <w:tab w:val="clear" w:pos="1021"/>
          <w:tab w:val="right" w:pos="1020"/>
        </w:tabs>
        <w:rPr>
          <w:szCs w:val="18"/>
          <w:lang w:val="es-CO"/>
        </w:rPr>
      </w:pPr>
      <w:r w:rsidRPr="00430F3A">
        <w:rPr>
          <w:szCs w:val="18"/>
          <w:lang w:val="es-CO"/>
        </w:rPr>
        <w:tab/>
      </w:r>
      <w:r w:rsidRPr="00430F3A">
        <w:rPr>
          <w:rStyle w:val="FootnoteReference"/>
          <w:szCs w:val="18"/>
        </w:rPr>
        <w:footnoteRef/>
      </w:r>
      <w:r w:rsidR="009A1476">
        <w:rPr>
          <w:szCs w:val="18"/>
          <w:lang w:val="es-CO"/>
        </w:rPr>
        <w:tab/>
      </w:r>
      <w:r w:rsidR="00D45507">
        <w:rPr>
          <w:szCs w:val="18"/>
          <w:lang w:val="es-CO"/>
        </w:rPr>
        <w:t xml:space="preserve">Véase </w:t>
      </w:r>
      <w:r w:rsidR="00F36303">
        <w:fldChar w:fldCharType="begin"/>
      </w:r>
      <w:r w:rsidR="00F36303" w:rsidRPr="00F36303">
        <w:rPr>
          <w:lang w:val="fr-CH"/>
        </w:rPr>
        <w:instrText>HYPERLINK "file:/</w:instrText>
      </w:r>
      <w:r w:rsidR="00F36303" w:rsidRPr="00F36303">
        <w:rPr>
          <w:lang w:val="fr-CH"/>
        </w:rPr>
        <w:instrText>//C:\\Users\\merino\\Downloads\\www.minagricultura.gov.co\\noticias\\Paginas\\ACUERDO-PARA-LA-MATERIALIZACI%25C3%2593N-DE-LA-PAZ-TERRITORIAL-Compra-directa-de-tierras-para-la-construcci%25C3%25B3n-de-la-Reforma-Rural-In.aspx"</w:instrText>
      </w:r>
      <w:r w:rsidR="00F36303">
        <w:fldChar w:fldCharType="separate"/>
      </w:r>
      <w:r w:rsidRPr="003344C1">
        <w:rPr>
          <w:rStyle w:val="Hyperlink"/>
          <w:szCs w:val="18"/>
          <w:lang w:val="es-CO"/>
        </w:rPr>
        <w:t>www.minagricultura.gov.co/noticias/Paginas/ACUERDO-PARA-LA-MATERIALIZACI%C3%93N-DE-LA-PAZ-TERRITORIAL-Compra-directa-de-tierras-para-la-construcci%C3%B3n-de-la-Reforma-Rural-In.aspx</w:t>
      </w:r>
      <w:r w:rsidR="00F36303">
        <w:rPr>
          <w:rStyle w:val="Hyperlink"/>
          <w:szCs w:val="18"/>
          <w:lang w:val="es-CO"/>
        </w:rPr>
        <w:fldChar w:fldCharType="end"/>
      </w:r>
      <w:r w:rsidRPr="00430F3A">
        <w:rPr>
          <w:rStyle w:val="Hyperlink"/>
          <w:szCs w:val="18"/>
          <w:lang w:val="es-CO"/>
        </w:rPr>
        <w:t>.</w:t>
      </w:r>
    </w:p>
  </w:footnote>
  <w:footnote w:id="18">
    <w:p w14:paraId="3ADD6E3D" w14:textId="2E614ED2" w:rsidR="00172C74" w:rsidRPr="00FF30D2" w:rsidRDefault="00172C74" w:rsidP="00172C74">
      <w:pPr>
        <w:pStyle w:val="FootnoteText"/>
        <w:widowControl w:val="0"/>
        <w:tabs>
          <w:tab w:val="clear" w:pos="1021"/>
          <w:tab w:val="right" w:pos="1020"/>
        </w:tabs>
        <w:rPr>
          <w:lang w:val="es-CO"/>
        </w:rPr>
      </w:pPr>
      <w:r w:rsidRPr="00FF30D2">
        <w:rPr>
          <w:lang w:val="es-CO"/>
        </w:rPr>
        <w:tab/>
      </w:r>
      <w:r>
        <w:rPr>
          <w:rStyle w:val="FootnoteReference"/>
        </w:rPr>
        <w:footnoteRef/>
      </w:r>
      <w:r w:rsidRPr="00FF30D2">
        <w:rPr>
          <w:lang w:val="es-CO"/>
        </w:rPr>
        <w:tab/>
      </w:r>
      <w:r w:rsidR="00D45507">
        <w:rPr>
          <w:szCs w:val="18"/>
          <w:lang w:val="es-CO"/>
        </w:rPr>
        <w:t xml:space="preserve">Véase </w:t>
      </w:r>
      <w:r w:rsidR="00F36303">
        <w:fldChar w:fldCharType="begin"/>
      </w:r>
      <w:r w:rsidR="00F36303" w:rsidRPr="00F36303">
        <w:rPr>
          <w:lang w:val="fr-CH"/>
        </w:rPr>
        <w:instrText>HYPERLINK "https://colaboracion.dnp.gov.co/CDT/Prensa/PND-Pacto-por-Colombia-pacto-por-la-equidad-2018-2022.pdf"</w:instrText>
      </w:r>
      <w:r w:rsidR="00F36303">
        <w:fldChar w:fldCharType="separate"/>
      </w:r>
      <w:r w:rsidRPr="003344C1">
        <w:rPr>
          <w:rStyle w:val="Hyperlink"/>
          <w:lang w:val="es-CO"/>
        </w:rPr>
        <w:t>https://colaboracion.dnp.gov.co/CDT/Prensa/PND-Pacto-por-Colombia-pacto-por-la-equidad-2018-2022.pdf</w:t>
      </w:r>
      <w:r w:rsidR="00F36303">
        <w:rPr>
          <w:rStyle w:val="Hyperlink"/>
          <w:lang w:val="es-CO"/>
        </w:rPr>
        <w:fldChar w:fldCharType="end"/>
      </w:r>
      <w:r w:rsidRPr="00FF30D2">
        <w:rPr>
          <w:lang w:val="es-CO"/>
        </w:rPr>
        <w:t>.</w:t>
      </w:r>
    </w:p>
  </w:footnote>
  <w:footnote w:id="19">
    <w:p w14:paraId="6DD05B52" w14:textId="2610D8D1" w:rsidR="00E26F67" w:rsidRPr="00FF30D2" w:rsidRDefault="00E26F67" w:rsidP="00E26F67">
      <w:pPr>
        <w:pStyle w:val="FootnoteText"/>
        <w:widowControl w:val="0"/>
        <w:tabs>
          <w:tab w:val="clear" w:pos="1021"/>
          <w:tab w:val="right" w:pos="1020"/>
        </w:tabs>
        <w:rPr>
          <w:lang w:val="es-CO"/>
        </w:rPr>
      </w:pPr>
      <w:r w:rsidRPr="00FF30D2">
        <w:rPr>
          <w:lang w:val="es-CO"/>
        </w:rPr>
        <w:tab/>
      </w:r>
      <w:r>
        <w:rPr>
          <w:rStyle w:val="FootnoteReference"/>
        </w:rPr>
        <w:footnoteRef/>
      </w:r>
      <w:r w:rsidRPr="00FF30D2">
        <w:rPr>
          <w:lang w:val="es-CO"/>
        </w:rPr>
        <w:tab/>
        <w:t xml:space="preserve"> </w:t>
      </w:r>
      <w:r w:rsidR="00D45507">
        <w:rPr>
          <w:szCs w:val="18"/>
          <w:lang w:val="es-CO"/>
        </w:rPr>
        <w:t xml:space="preserve">Véase </w:t>
      </w:r>
      <w:r w:rsidR="00F36303">
        <w:fldChar w:fldCharType="begin"/>
      </w:r>
      <w:r w:rsidR="00F36303" w:rsidRPr="00F36303">
        <w:rPr>
          <w:lang w:val="fr-CH"/>
        </w:rPr>
        <w:instrText>HYPERLINK "http://www.cinep.org.co/Home2/images/2021Noticias/ComunicadoMesaPDET.docx.pdf?utm_source=MesaPDET"</w:instrText>
      </w:r>
      <w:r w:rsidR="00F36303">
        <w:fldChar w:fldCharType="separate"/>
      </w:r>
      <w:r w:rsidR="003344C1" w:rsidRPr="00311233">
        <w:rPr>
          <w:rStyle w:val="Hyperlink"/>
          <w:lang w:val="es-CO"/>
        </w:rPr>
        <w:t>www.cinep.org.co/Home2/images/2021Noticias/ComunicadoMesaPDET.docx.pdf?utm</w:t>
      </w:r>
      <w:r w:rsidR="003344C1" w:rsidRPr="00311233">
        <w:rPr>
          <w:rStyle w:val="Hyperlink"/>
          <w:lang w:val="es-CO"/>
        </w:rPr>
        <w:br/>
        <w:t>_</w:t>
      </w:r>
      <w:proofErr w:type="spellStart"/>
      <w:r w:rsidR="003344C1" w:rsidRPr="00311233">
        <w:rPr>
          <w:rStyle w:val="Hyperlink"/>
          <w:lang w:val="es-CO"/>
        </w:rPr>
        <w:t>source</w:t>
      </w:r>
      <w:proofErr w:type="spellEnd"/>
      <w:r w:rsidR="003344C1" w:rsidRPr="00311233">
        <w:rPr>
          <w:rStyle w:val="Hyperlink"/>
          <w:lang w:val="es-CO"/>
        </w:rPr>
        <w:t>=</w:t>
      </w:r>
      <w:proofErr w:type="spellStart"/>
      <w:r w:rsidR="003344C1" w:rsidRPr="00311233">
        <w:rPr>
          <w:rStyle w:val="Hyperlink"/>
          <w:lang w:val="es-CO"/>
        </w:rPr>
        <w:t>MesaPDET</w:t>
      </w:r>
      <w:proofErr w:type="spellEnd"/>
      <w:r w:rsidR="00F36303">
        <w:rPr>
          <w:rStyle w:val="Hyperlink"/>
          <w:lang w:val="es-CO"/>
        </w:rPr>
        <w:fldChar w:fldCharType="end"/>
      </w:r>
      <w:r w:rsidRPr="00FF30D2">
        <w:rPr>
          <w:lang w:val="es-CO"/>
        </w:rPr>
        <w:t>.</w:t>
      </w:r>
    </w:p>
  </w:footnote>
  <w:footnote w:id="20">
    <w:p w14:paraId="789BE241" w14:textId="1AF3F3E3" w:rsidR="00CF40DD" w:rsidRPr="00430F3A" w:rsidRDefault="00CF40DD" w:rsidP="00CF40DD">
      <w:pPr>
        <w:pStyle w:val="FootnoteText"/>
        <w:widowControl w:val="0"/>
        <w:tabs>
          <w:tab w:val="clear" w:pos="1021"/>
          <w:tab w:val="right" w:pos="1020"/>
        </w:tabs>
        <w:rPr>
          <w:szCs w:val="18"/>
          <w:lang w:val="es-CO"/>
        </w:rPr>
      </w:pPr>
      <w:r w:rsidRPr="00430F3A">
        <w:rPr>
          <w:szCs w:val="18"/>
          <w:lang w:val="es-CO"/>
        </w:rPr>
        <w:tab/>
      </w:r>
      <w:r w:rsidRPr="00430F3A">
        <w:rPr>
          <w:rStyle w:val="FootnoteReference"/>
          <w:szCs w:val="18"/>
        </w:rPr>
        <w:footnoteRef/>
      </w:r>
      <w:r w:rsidR="009A1476">
        <w:rPr>
          <w:szCs w:val="18"/>
          <w:lang w:val="es-CO"/>
        </w:rPr>
        <w:tab/>
      </w:r>
      <w:r w:rsidR="00D45507">
        <w:rPr>
          <w:szCs w:val="18"/>
          <w:lang w:val="es-CO"/>
        </w:rPr>
        <w:t xml:space="preserve">Véase </w:t>
      </w:r>
      <w:r w:rsidR="00F36303">
        <w:fldChar w:fldCharType="begin"/>
      </w:r>
      <w:r w:rsidR="00F36303" w:rsidRPr="00F36303">
        <w:rPr>
          <w:lang w:val="fr-CH"/>
        </w:rPr>
        <w:instrText>HYPERLINK "http://leyes.senado.gov.co/proyectos/index.php/textos-radicados-senado/p-ley-2022-2024/2607-proyecto-de-ley-056-de-2022"</w:instrText>
      </w:r>
      <w:r w:rsidR="00F36303">
        <w:fldChar w:fldCharType="separate"/>
      </w:r>
      <w:r w:rsidRPr="003344C1">
        <w:rPr>
          <w:rStyle w:val="Hyperlink"/>
          <w:szCs w:val="18"/>
          <w:lang w:val="es-CO"/>
        </w:rPr>
        <w:t>http://leyes.senado.gov.co/proyectos/index.php/textos-radicados-senado/p-ley-2022-2024/2607-proyecto-de-ley-056-de-2022</w:t>
      </w:r>
      <w:r w:rsidR="00F36303">
        <w:rPr>
          <w:rStyle w:val="Hyperlink"/>
          <w:szCs w:val="18"/>
          <w:lang w:val="es-CO"/>
        </w:rPr>
        <w:fldChar w:fldCharType="end"/>
      </w:r>
      <w:r w:rsidRPr="00430F3A">
        <w:rPr>
          <w:szCs w:val="18"/>
          <w:lang w:val="es-CO"/>
        </w:rPr>
        <w:t>.</w:t>
      </w:r>
    </w:p>
  </w:footnote>
  <w:footnote w:id="21">
    <w:p w14:paraId="75D98277" w14:textId="741CB74F" w:rsidR="00CF40DD" w:rsidRPr="00430F3A" w:rsidRDefault="00CF40DD" w:rsidP="006B06A9">
      <w:pPr>
        <w:pStyle w:val="FootnoteText"/>
        <w:tabs>
          <w:tab w:val="clear" w:pos="1021"/>
          <w:tab w:val="right" w:pos="1020"/>
        </w:tabs>
        <w:rPr>
          <w:szCs w:val="18"/>
          <w:lang w:val="es-CO"/>
        </w:rPr>
      </w:pPr>
      <w:r w:rsidRPr="00430F3A">
        <w:rPr>
          <w:szCs w:val="18"/>
          <w:lang w:val="es-CO"/>
        </w:rPr>
        <w:tab/>
      </w:r>
      <w:r w:rsidRPr="00430F3A">
        <w:rPr>
          <w:rStyle w:val="FootnoteReference"/>
          <w:szCs w:val="18"/>
        </w:rPr>
        <w:footnoteRef/>
      </w:r>
      <w:r w:rsidRPr="00430F3A">
        <w:rPr>
          <w:szCs w:val="18"/>
          <w:lang w:val="es-CO"/>
        </w:rPr>
        <w:tab/>
        <w:t xml:space="preserve"> </w:t>
      </w:r>
      <w:r w:rsidR="00D45507">
        <w:rPr>
          <w:szCs w:val="18"/>
          <w:lang w:val="es-CO"/>
        </w:rPr>
        <w:t xml:space="preserve">Véase </w:t>
      </w:r>
      <w:r w:rsidR="00F36303">
        <w:fldChar w:fldCharType="begin"/>
      </w:r>
      <w:r w:rsidR="00F36303" w:rsidRPr="00F36303">
        <w:rPr>
          <w:lang w:val="fr-CH"/>
        </w:rPr>
        <w:instrText>HYPERLINK "http://leyes.senado.gov.co/proyectos/images/documentos/Textos%20Radicados/Ponencias/2022/gaceta_1279.pdf"</w:instrText>
      </w:r>
      <w:r w:rsidR="00F36303">
        <w:fldChar w:fldCharType="separate"/>
      </w:r>
      <w:r w:rsidR="003344C1" w:rsidRPr="00311233">
        <w:rPr>
          <w:rStyle w:val="Hyperlink"/>
          <w:szCs w:val="18"/>
          <w:lang w:val="es-CO"/>
        </w:rPr>
        <w:t>http://leyes.senado.gov.co/proyectos/images/documentos/Textos%20Radicados/</w:t>
      </w:r>
      <w:r w:rsidR="003344C1" w:rsidRPr="00311233">
        <w:rPr>
          <w:rStyle w:val="Hyperlink"/>
          <w:szCs w:val="18"/>
          <w:lang w:val="es-CO"/>
        </w:rPr>
        <w:br/>
        <w:t>Ponencias/2022/gaceta_1279.pdf</w:t>
      </w:r>
      <w:r w:rsidR="00F36303">
        <w:rPr>
          <w:rStyle w:val="Hyperlink"/>
          <w:szCs w:val="18"/>
          <w:lang w:val="es-CO"/>
        </w:rPr>
        <w:fldChar w:fldCharType="end"/>
      </w:r>
      <w:r w:rsidRPr="00430F3A">
        <w:rPr>
          <w:szCs w:val="18"/>
          <w:lang w:val="es-CO"/>
        </w:rPr>
        <w:t>.</w:t>
      </w:r>
    </w:p>
  </w:footnote>
  <w:footnote w:id="22">
    <w:p w14:paraId="56FF1D0E" w14:textId="5DAC3EC3" w:rsidR="00CF40DD" w:rsidRPr="00430F3A" w:rsidRDefault="00CF40DD" w:rsidP="006335DE">
      <w:pPr>
        <w:pStyle w:val="FootnoteText"/>
        <w:rPr>
          <w:szCs w:val="18"/>
          <w:lang w:val="es-ES"/>
        </w:rPr>
      </w:pPr>
      <w:r w:rsidRPr="00430F3A">
        <w:rPr>
          <w:szCs w:val="18"/>
          <w:lang w:val="es-CO"/>
        </w:rPr>
        <w:tab/>
      </w:r>
      <w:r w:rsidRPr="00430F3A">
        <w:rPr>
          <w:rStyle w:val="FootnoteReference"/>
          <w:szCs w:val="18"/>
        </w:rPr>
        <w:footnoteRef/>
      </w:r>
      <w:r w:rsidR="009A1476">
        <w:rPr>
          <w:szCs w:val="18"/>
          <w:lang w:val="es-ES"/>
        </w:rPr>
        <w:tab/>
      </w:r>
      <w:r w:rsidR="00D45507">
        <w:rPr>
          <w:szCs w:val="18"/>
          <w:lang w:val="es-CO"/>
        </w:rPr>
        <w:t xml:space="preserve">Véase </w:t>
      </w:r>
      <w:hyperlink r:id="rId3" w:history="1">
        <w:r w:rsidRPr="003344C1">
          <w:rPr>
            <w:rStyle w:val="Hyperlink"/>
            <w:szCs w:val="18"/>
            <w:lang w:val="es-ES"/>
          </w:rPr>
          <w:t>www.comisiondelaverdad.co</w:t>
        </w:r>
      </w:hyperlink>
      <w:r w:rsidRPr="00430F3A">
        <w:rPr>
          <w:szCs w:val="18"/>
          <w:lang w:val="es-ES"/>
        </w:rPr>
        <w:t>.</w:t>
      </w:r>
    </w:p>
  </w:footnote>
  <w:footnote w:id="23">
    <w:p w14:paraId="7B8010AD" w14:textId="32B100C8" w:rsidR="005B77EA" w:rsidRPr="00430F3A" w:rsidRDefault="005B77EA" w:rsidP="005B77EA">
      <w:pPr>
        <w:pStyle w:val="FootnoteText"/>
        <w:tabs>
          <w:tab w:val="clear" w:pos="1021"/>
          <w:tab w:val="right" w:pos="1020"/>
        </w:tabs>
        <w:rPr>
          <w:szCs w:val="18"/>
          <w:lang w:val="es-CO"/>
        </w:rPr>
      </w:pPr>
      <w:r w:rsidRPr="00430F3A">
        <w:rPr>
          <w:szCs w:val="18"/>
          <w:lang w:val="es-CO"/>
        </w:rPr>
        <w:tab/>
      </w:r>
      <w:r w:rsidRPr="00430F3A">
        <w:rPr>
          <w:rStyle w:val="FootnoteReference"/>
          <w:szCs w:val="18"/>
        </w:rPr>
        <w:footnoteRef/>
      </w:r>
      <w:r w:rsidR="009A1476" w:rsidRPr="00EE5AE5">
        <w:rPr>
          <w:szCs w:val="18"/>
          <w:lang w:val="en-US"/>
        </w:rPr>
        <w:tab/>
      </w:r>
      <w:proofErr w:type="spellStart"/>
      <w:r w:rsidR="00D45507" w:rsidRPr="00EE5AE5">
        <w:rPr>
          <w:szCs w:val="18"/>
          <w:lang w:val="en-US"/>
        </w:rPr>
        <w:t>Véase</w:t>
      </w:r>
      <w:proofErr w:type="spellEnd"/>
      <w:r w:rsidR="00D45507" w:rsidRPr="00EE5AE5">
        <w:rPr>
          <w:szCs w:val="18"/>
          <w:lang w:val="en-US"/>
        </w:rPr>
        <w:t xml:space="preserve"> </w:t>
      </w:r>
      <w:hyperlink r:id="rId4" w:history="1">
        <w:r w:rsidR="00BC3651" w:rsidRPr="00EE5AE5">
          <w:rPr>
            <w:rFonts w:eastAsiaTheme="minorHAnsi"/>
            <w:lang w:val="en-US"/>
          </w:rPr>
          <w:t>https://treaties.un.org</w:t>
        </w:r>
      </w:hyperlink>
      <w:r w:rsidR="00BC3651" w:rsidRPr="00EE5AE5">
        <w:rPr>
          <w:rFonts w:eastAsiaTheme="minorHAnsi"/>
          <w:lang w:val="en-US"/>
        </w:rPr>
        <w:t xml:space="preserve"> </w:t>
      </w:r>
      <w:r w:rsidR="00BC3651" w:rsidRPr="00EE5AE5">
        <w:rPr>
          <w:lang w:val="en-US"/>
        </w:rPr>
        <w:t>(</w:t>
      </w:r>
      <w:r w:rsidR="00BC3651" w:rsidRPr="00EE5AE5">
        <w:rPr>
          <w:rStyle w:val="71Italique"/>
          <w:lang w:val="en-US"/>
        </w:rPr>
        <w:t>Status of Multilateral Treaties Deposited with the Secretary General</w:t>
      </w:r>
      <w:r w:rsidR="00BC3651" w:rsidRPr="00EE5AE5">
        <w:rPr>
          <w:lang w:val="en-US"/>
        </w:rPr>
        <w:t>, cap. </w:t>
      </w:r>
      <w:r w:rsidR="00BC3651">
        <w:rPr>
          <w:lang w:val="es-ES"/>
        </w:rPr>
        <w:t>IV</w:t>
      </w:r>
      <w:r w:rsidR="00BC3651" w:rsidRPr="00F00B9E">
        <w:rPr>
          <w:lang w:val="es-ES"/>
        </w:rPr>
        <w:t>.1</w:t>
      </w:r>
      <w:r w:rsidR="00BC3651">
        <w:rPr>
          <w:lang w:val="es-ES"/>
        </w:rPr>
        <w:t xml:space="preserve">6). </w:t>
      </w:r>
      <w:hyperlink w:history="1"/>
    </w:p>
  </w:footnote>
  <w:footnote w:id="24">
    <w:p w14:paraId="68FBD4E2" w14:textId="1252EF13" w:rsidR="00CB0E6C" w:rsidRPr="00430F3A" w:rsidRDefault="00CB0E6C" w:rsidP="006B06A9">
      <w:pPr>
        <w:pStyle w:val="FootnoteText"/>
        <w:tabs>
          <w:tab w:val="clear" w:pos="1021"/>
          <w:tab w:val="right" w:pos="1020"/>
        </w:tabs>
        <w:rPr>
          <w:szCs w:val="18"/>
          <w:lang w:val="es-ES"/>
        </w:rPr>
      </w:pPr>
      <w:r w:rsidRPr="00430F3A">
        <w:rPr>
          <w:szCs w:val="18"/>
          <w:lang w:val="es-CO"/>
        </w:rPr>
        <w:tab/>
      </w:r>
      <w:r w:rsidRPr="00430F3A">
        <w:rPr>
          <w:rStyle w:val="FootnoteReference"/>
          <w:szCs w:val="18"/>
        </w:rPr>
        <w:footnoteRef/>
      </w:r>
      <w:r w:rsidR="009A1476">
        <w:rPr>
          <w:szCs w:val="18"/>
          <w:lang w:val="es-ES"/>
        </w:rPr>
        <w:tab/>
      </w:r>
      <w:r w:rsidR="00BC3651">
        <w:rPr>
          <w:szCs w:val="18"/>
          <w:lang w:val="es-ES"/>
        </w:rPr>
        <w:t>C</w:t>
      </w:r>
      <w:r w:rsidRPr="00430F3A">
        <w:rPr>
          <w:szCs w:val="18"/>
          <w:lang w:val="es-ES"/>
        </w:rPr>
        <w:t>aso 08</w:t>
      </w:r>
      <w:r w:rsidR="00BC3651">
        <w:rPr>
          <w:szCs w:val="18"/>
          <w:lang w:val="es-ES"/>
        </w:rPr>
        <w:t>:</w:t>
      </w:r>
      <w:r w:rsidRPr="00430F3A">
        <w:rPr>
          <w:szCs w:val="18"/>
          <w:lang w:val="es-ES"/>
        </w:rPr>
        <w:t xml:space="preserve"> </w:t>
      </w:r>
      <w:r w:rsidR="00BC3651">
        <w:rPr>
          <w:szCs w:val="18"/>
          <w:lang w:val="es-ES"/>
        </w:rPr>
        <w:t>C</w:t>
      </w:r>
      <w:r w:rsidRPr="00430F3A">
        <w:rPr>
          <w:szCs w:val="18"/>
          <w:lang w:val="es-ES"/>
        </w:rPr>
        <w:t xml:space="preserve">rímenes cometidos por la </w:t>
      </w:r>
      <w:r w:rsidR="00CE222D">
        <w:rPr>
          <w:szCs w:val="18"/>
          <w:lang w:val="es-ES"/>
        </w:rPr>
        <w:t>F</w:t>
      </w:r>
      <w:r w:rsidRPr="00430F3A">
        <w:rPr>
          <w:szCs w:val="18"/>
          <w:lang w:val="es-ES"/>
        </w:rPr>
        <w:t xml:space="preserve">uerza </w:t>
      </w:r>
      <w:r w:rsidR="00CE222D">
        <w:rPr>
          <w:szCs w:val="18"/>
          <w:lang w:val="es-ES"/>
        </w:rPr>
        <w:t>P</w:t>
      </w:r>
      <w:r w:rsidRPr="00430F3A">
        <w:rPr>
          <w:szCs w:val="18"/>
          <w:lang w:val="es-ES"/>
        </w:rPr>
        <w:t>ública, agentes de Estado en asoci</w:t>
      </w:r>
      <w:r w:rsidR="00BC3651">
        <w:rPr>
          <w:szCs w:val="18"/>
          <w:lang w:val="es-ES"/>
        </w:rPr>
        <w:t>ación</w:t>
      </w:r>
      <w:r w:rsidRPr="00430F3A">
        <w:rPr>
          <w:szCs w:val="18"/>
          <w:lang w:val="es-ES"/>
        </w:rPr>
        <w:t xml:space="preserve"> con grupos paramilitares</w:t>
      </w:r>
      <w:r w:rsidR="00BC3651">
        <w:rPr>
          <w:szCs w:val="18"/>
          <w:lang w:val="es-ES"/>
        </w:rPr>
        <w:t>,</w:t>
      </w:r>
      <w:r w:rsidRPr="00430F3A">
        <w:rPr>
          <w:szCs w:val="18"/>
          <w:lang w:val="es-ES"/>
        </w:rPr>
        <w:t xml:space="preserve"> o terceros civiles</w:t>
      </w:r>
      <w:r w:rsidR="00BC3651">
        <w:rPr>
          <w:szCs w:val="18"/>
          <w:lang w:val="es-ES"/>
        </w:rPr>
        <w:t xml:space="preserve"> en el conflicto armado;</w:t>
      </w:r>
      <w:r w:rsidRPr="00430F3A">
        <w:rPr>
          <w:szCs w:val="18"/>
          <w:lang w:val="es-ES"/>
        </w:rPr>
        <w:t xml:space="preserve"> </w:t>
      </w:r>
      <w:r w:rsidR="00940966">
        <w:rPr>
          <w:szCs w:val="18"/>
          <w:lang w:val="es-ES"/>
        </w:rPr>
        <w:t>c</w:t>
      </w:r>
      <w:r w:rsidRPr="00430F3A">
        <w:rPr>
          <w:szCs w:val="18"/>
          <w:lang w:val="es-ES"/>
        </w:rPr>
        <w:t>aso 09</w:t>
      </w:r>
      <w:r w:rsidR="00BC3651">
        <w:rPr>
          <w:szCs w:val="18"/>
          <w:lang w:val="es-ES"/>
        </w:rPr>
        <w:t>:</w:t>
      </w:r>
      <w:r w:rsidRPr="00430F3A">
        <w:rPr>
          <w:szCs w:val="18"/>
          <w:lang w:val="es-ES"/>
        </w:rPr>
        <w:t xml:space="preserve"> </w:t>
      </w:r>
      <w:r w:rsidR="00BC3651">
        <w:rPr>
          <w:szCs w:val="18"/>
          <w:lang w:val="es-ES"/>
        </w:rPr>
        <w:t>C</w:t>
      </w:r>
      <w:r w:rsidRPr="00430F3A">
        <w:rPr>
          <w:szCs w:val="18"/>
          <w:lang w:val="es-ES"/>
        </w:rPr>
        <w:t>rímenes contra pueblos y territorios étnicos</w:t>
      </w:r>
      <w:r w:rsidR="00BC3651" w:rsidRPr="00BC3651">
        <w:rPr>
          <w:szCs w:val="18"/>
          <w:lang w:val="es-ES"/>
        </w:rPr>
        <w:t xml:space="preserve"> </w:t>
      </w:r>
      <w:r w:rsidR="00BC3651">
        <w:rPr>
          <w:szCs w:val="18"/>
          <w:lang w:val="es-ES"/>
        </w:rPr>
        <w:t>en el conflicto armado,</w:t>
      </w:r>
      <w:r w:rsidRPr="00430F3A">
        <w:rPr>
          <w:szCs w:val="18"/>
          <w:lang w:val="es-ES"/>
        </w:rPr>
        <w:t xml:space="preserve"> y </w:t>
      </w:r>
      <w:r w:rsidR="00940966">
        <w:rPr>
          <w:szCs w:val="18"/>
          <w:lang w:val="es-ES"/>
        </w:rPr>
        <w:t>c</w:t>
      </w:r>
      <w:r w:rsidRPr="00430F3A">
        <w:rPr>
          <w:szCs w:val="18"/>
          <w:lang w:val="es-ES"/>
        </w:rPr>
        <w:t>aso 10</w:t>
      </w:r>
      <w:r w:rsidR="00BC3651">
        <w:rPr>
          <w:szCs w:val="18"/>
          <w:lang w:val="es-ES"/>
        </w:rPr>
        <w:t>:</w:t>
      </w:r>
      <w:r w:rsidRPr="00430F3A">
        <w:rPr>
          <w:szCs w:val="18"/>
          <w:lang w:val="es-ES"/>
        </w:rPr>
        <w:t xml:space="preserve"> </w:t>
      </w:r>
      <w:r w:rsidR="00BC3651">
        <w:rPr>
          <w:szCs w:val="18"/>
          <w:lang w:val="es-ES"/>
        </w:rPr>
        <w:t>C</w:t>
      </w:r>
      <w:r w:rsidRPr="00430F3A">
        <w:rPr>
          <w:szCs w:val="18"/>
          <w:lang w:val="es-ES"/>
        </w:rPr>
        <w:t xml:space="preserve">rímenes </w:t>
      </w:r>
      <w:r w:rsidR="00BC3651">
        <w:rPr>
          <w:szCs w:val="18"/>
          <w:lang w:val="es-ES"/>
        </w:rPr>
        <w:t xml:space="preserve">no amnistiables </w:t>
      </w:r>
      <w:r w:rsidRPr="00430F3A">
        <w:rPr>
          <w:szCs w:val="18"/>
          <w:lang w:val="es-ES"/>
        </w:rPr>
        <w:t>cometidos por las extintas FARC-EP</w:t>
      </w:r>
      <w:r w:rsidR="00BC3651">
        <w:rPr>
          <w:szCs w:val="18"/>
          <w:lang w:val="es-ES"/>
        </w:rPr>
        <w:t xml:space="preserve"> en el marco del conflicto armado colombiano</w:t>
      </w:r>
      <w:r w:rsidRPr="00430F3A">
        <w:rPr>
          <w:szCs w:val="18"/>
          <w:lang w:val="es-ES"/>
        </w:rPr>
        <w:t>.</w:t>
      </w:r>
    </w:p>
  </w:footnote>
  <w:footnote w:id="25">
    <w:p w14:paraId="2DC6DED5" w14:textId="189163B8" w:rsidR="00CB0E6C" w:rsidRPr="00430F3A" w:rsidRDefault="00CB0E6C" w:rsidP="006B06A9">
      <w:pPr>
        <w:pStyle w:val="FootnoteText"/>
        <w:tabs>
          <w:tab w:val="clear" w:pos="1021"/>
          <w:tab w:val="right" w:pos="1020"/>
        </w:tabs>
        <w:rPr>
          <w:szCs w:val="18"/>
          <w:lang w:val="es-CO"/>
        </w:rPr>
      </w:pPr>
      <w:r w:rsidRPr="00430F3A">
        <w:rPr>
          <w:szCs w:val="18"/>
          <w:lang w:val="es-CO"/>
        </w:rPr>
        <w:tab/>
      </w:r>
      <w:r w:rsidRPr="00430F3A">
        <w:rPr>
          <w:rStyle w:val="FootnoteReference"/>
          <w:szCs w:val="18"/>
        </w:rPr>
        <w:footnoteRef/>
      </w:r>
      <w:r w:rsidR="009A1476">
        <w:rPr>
          <w:szCs w:val="18"/>
          <w:lang w:val="es-CO"/>
        </w:rPr>
        <w:tab/>
      </w:r>
      <w:r w:rsidR="00F36303">
        <w:fldChar w:fldCharType="begin"/>
      </w:r>
      <w:r w:rsidR="00F36303" w:rsidRPr="00F36303">
        <w:rPr>
          <w:lang w:val="es-CO"/>
        </w:rPr>
        <w:instrText>HYPERLINK "https://jurinfo.jep.gov.co/normograma/compilacion/docs/auto_srvr-103_11-julio-2022.htm"</w:instrText>
      </w:r>
      <w:r w:rsidR="00F36303">
        <w:fldChar w:fldCharType="separate"/>
      </w:r>
      <w:r w:rsidRPr="003344C1">
        <w:rPr>
          <w:rStyle w:val="Hyperlink"/>
          <w:szCs w:val="18"/>
          <w:lang w:val="es-CO"/>
        </w:rPr>
        <w:t>https://jurinfo.jep.gov.co/normograma/compilacion/docs/auto_srvr-103_11-julio-2022.htm</w:t>
      </w:r>
      <w:r w:rsidR="00F36303">
        <w:rPr>
          <w:rStyle w:val="Hyperlink"/>
          <w:szCs w:val="18"/>
          <w:lang w:val="es-CO"/>
        </w:rPr>
        <w:fldChar w:fldCharType="end"/>
      </w:r>
      <w:r w:rsidRPr="00430F3A">
        <w:rPr>
          <w:szCs w:val="18"/>
          <w:lang w:val="es-CO"/>
        </w:rPr>
        <w:t>.</w:t>
      </w:r>
    </w:p>
  </w:footnote>
  <w:footnote w:id="26">
    <w:p w14:paraId="4141D495" w14:textId="0BAFB14D" w:rsidR="00253FB0" w:rsidRPr="00430F3A" w:rsidRDefault="00253FB0" w:rsidP="00253FB0">
      <w:pPr>
        <w:pStyle w:val="FootnoteText"/>
        <w:widowControl w:val="0"/>
        <w:tabs>
          <w:tab w:val="clear" w:pos="1021"/>
          <w:tab w:val="right" w:pos="1020"/>
        </w:tabs>
        <w:rPr>
          <w:szCs w:val="18"/>
          <w:lang w:val="es-CO"/>
        </w:rPr>
      </w:pPr>
      <w:r w:rsidRPr="00430F3A">
        <w:rPr>
          <w:szCs w:val="18"/>
          <w:lang w:val="es-CO"/>
        </w:rPr>
        <w:tab/>
      </w:r>
      <w:r w:rsidRPr="00430F3A">
        <w:rPr>
          <w:rStyle w:val="FootnoteReference"/>
          <w:szCs w:val="18"/>
        </w:rPr>
        <w:footnoteRef/>
      </w:r>
      <w:r w:rsidRPr="00430F3A">
        <w:rPr>
          <w:szCs w:val="18"/>
          <w:lang w:val="es-CO"/>
        </w:rPr>
        <w:tab/>
      </w:r>
      <w:r w:rsidR="00F36303">
        <w:fldChar w:fldCharType="begin"/>
      </w:r>
      <w:r w:rsidR="00F36303" w:rsidRPr="00F36303">
        <w:rPr>
          <w:lang w:val="es-CO"/>
        </w:rPr>
        <w:instrText>HYPERLINK "https://jurinfo.jep.gov.co/normograma/compilacion/docs/pdf/Sentencia-interpretativa_TP-SA-SENIT-03_28-abril-2022.pdf"</w:instrText>
      </w:r>
      <w:r w:rsidR="00F36303">
        <w:fldChar w:fldCharType="separate"/>
      </w:r>
      <w:r w:rsidRPr="003344C1">
        <w:rPr>
          <w:rStyle w:val="Hyperlink"/>
          <w:szCs w:val="18"/>
          <w:lang w:val="es-CO"/>
        </w:rPr>
        <w:t>https://jurinfo.jep.gov.co/normograma/compilacion/docs/pdf/Sentencia-interpretativa_TP-SA-SENIT-03_28-abril-2022.pdf</w:t>
      </w:r>
      <w:r w:rsidR="00F36303">
        <w:rPr>
          <w:rStyle w:val="Hyperlink"/>
          <w:szCs w:val="18"/>
          <w:lang w:val="es-CO"/>
        </w:rPr>
        <w:fldChar w:fldCharType="end"/>
      </w:r>
      <w:r w:rsidRPr="00430F3A">
        <w:rPr>
          <w:szCs w:val="18"/>
          <w:lang w:val="es-CO"/>
        </w:rPr>
        <w:t>.</w:t>
      </w:r>
    </w:p>
  </w:footnote>
  <w:footnote w:id="27">
    <w:p w14:paraId="31E6EA9A" w14:textId="44D768AF" w:rsidR="00253FB0" w:rsidRPr="00430F3A" w:rsidRDefault="00253FB0" w:rsidP="006B06A9">
      <w:pPr>
        <w:pStyle w:val="FootnoteText"/>
        <w:tabs>
          <w:tab w:val="clear" w:pos="1021"/>
          <w:tab w:val="right" w:pos="1020"/>
        </w:tabs>
        <w:rPr>
          <w:szCs w:val="18"/>
          <w:lang w:val="es-CO"/>
        </w:rPr>
      </w:pPr>
      <w:r w:rsidRPr="00430F3A">
        <w:rPr>
          <w:szCs w:val="18"/>
          <w:lang w:val="es-CO"/>
        </w:rPr>
        <w:tab/>
      </w:r>
      <w:r w:rsidRPr="00430F3A">
        <w:rPr>
          <w:rStyle w:val="FootnoteReference"/>
          <w:szCs w:val="18"/>
        </w:rPr>
        <w:footnoteRef/>
      </w:r>
      <w:r w:rsidR="009A1476">
        <w:rPr>
          <w:szCs w:val="18"/>
          <w:lang w:val="es-CO"/>
        </w:rPr>
        <w:tab/>
      </w:r>
      <w:r w:rsidR="00954CBD">
        <w:rPr>
          <w:szCs w:val="18"/>
          <w:lang w:val="es-CO"/>
        </w:rPr>
        <w:t xml:space="preserve">Véase </w:t>
      </w:r>
      <w:r w:rsidR="00F36303">
        <w:fldChar w:fldCharType="begin"/>
      </w:r>
      <w:r w:rsidR="00F36303" w:rsidRPr="00F36303">
        <w:rPr>
          <w:lang w:val="fr-CH"/>
        </w:rPr>
        <w:instrText>HYPERLINK "file:///C:\\Users\\merino\\Downloads\\www.comisiondelaverdad.co\\sites\\default\\files\\descargables\\2022-06\\Informe%20Final%20capi%25CC%2581tulo%20Hallazgos%20y%20recomendaciones.pdf"</w:instrText>
      </w:r>
      <w:r w:rsidR="00F36303">
        <w:fldChar w:fldCharType="separate"/>
      </w:r>
      <w:r w:rsidRPr="003344C1">
        <w:rPr>
          <w:rStyle w:val="Hyperlink"/>
          <w:szCs w:val="18"/>
          <w:lang w:val="es-CO"/>
        </w:rPr>
        <w:t>www.comisiondelaverdad.co/sites/default/files/descargables/2022-06/Informe%20Final%20capi%CC%81tulo%20Hallazgos%20y%20recomendaciones.pdf</w:t>
      </w:r>
      <w:r w:rsidR="00F36303">
        <w:rPr>
          <w:rStyle w:val="Hyperlink"/>
          <w:szCs w:val="18"/>
          <w:lang w:val="es-CO"/>
        </w:rPr>
        <w:fldChar w:fldCharType="end"/>
      </w:r>
      <w:r w:rsidRPr="00430F3A">
        <w:rPr>
          <w:rStyle w:val="Hyperlink"/>
          <w:szCs w:val="18"/>
          <w:lang w:val="es-CO"/>
        </w:rPr>
        <w:t>.</w:t>
      </w:r>
    </w:p>
  </w:footnote>
  <w:footnote w:id="28">
    <w:p w14:paraId="7F241F4E" w14:textId="09240969" w:rsidR="00253FB0" w:rsidRPr="00430F3A" w:rsidRDefault="00253FB0" w:rsidP="006B06A9">
      <w:pPr>
        <w:pStyle w:val="FootnoteText"/>
        <w:tabs>
          <w:tab w:val="clear" w:pos="1021"/>
          <w:tab w:val="right" w:pos="1020"/>
        </w:tabs>
        <w:rPr>
          <w:szCs w:val="18"/>
          <w:lang w:val="es-CO"/>
        </w:rPr>
      </w:pPr>
      <w:r w:rsidRPr="00430F3A">
        <w:rPr>
          <w:szCs w:val="18"/>
          <w:lang w:val="es-CO"/>
        </w:rPr>
        <w:tab/>
      </w:r>
      <w:r w:rsidRPr="00430F3A">
        <w:rPr>
          <w:rStyle w:val="FootnoteReference"/>
          <w:szCs w:val="18"/>
        </w:rPr>
        <w:footnoteRef/>
      </w:r>
      <w:r w:rsidR="009A1476">
        <w:rPr>
          <w:szCs w:val="18"/>
          <w:lang w:val="es-CO"/>
        </w:rPr>
        <w:tab/>
      </w:r>
      <w:r w:rsidR="00F36303">
        <w:fldChar w:fldCharType="begin"/>
      </w:r>
      <w:r w:rsidR="00F36303" w:rsidRPr="00F36303">
        <w:rPr>
          <w:lang w:val="es-CO"/>
        </w:rPr>
        <w:instrText>HYPERLINK "file:///C:\\Users\\merino\\Downloads\\www.urt.gov.co\\estadisticas-de-restitucion-de-</w:instrText>
      </w:r>
      <w:r w:rsidR="00F36303" w:rsidRPr="00F36303">
        <w:rPr>
          <w:lang w:val="es-CO"/>
        </w:rPr>
        <w:instrText>tierras"</w:instrText>
      </w:r>
      <w:r w:rsidR="00F36303">
        <w:fldChar w:fldCharType="separate"/>
      </w:r>
      <w:r w:rsidRPr="003344C1">
        <w:rPr>
          <w:rStyle w:val="Hyperlink"/>
          <w:szCs w:val="18"/>
          <w:lang w:val="es-CO"/>
        </w:rPr>
        <w:t>www.urt.gov.co/estadisticas-de-restitucion-de-tierras</w:t>
      </w:r>
      <w:r w:rsidR="00F36303">
        <w:rPr>
          <w:rStyle w:val="Hyperlink"/>
          <w:szCs w:val="18"/>
          <w:lang w:val="es-CO"/>
        </w:rPr>
        <w:fldChar w:fldCharType="end"/>
      </w:r>
      <w:r w:rsidRPr="00430F3A">
        <w:rPr>
          <w:rStyle w:val="Hyperlink"/>
          <w:szCs w:val="18"/>
          <w:lang w:val="es-CO"/>
        </w:rPr>
        <w:t>.</w:t>
      </w:r>
    </w:p>
  </w:footnote>
  <w:footnote w:id="29">
    <w:p w14:paraId="7F840F54" w14:textId="09F65125" w:rsidR="006E0517" w:rsidRPr="00430F3A" w:rsidRDefault="006E0517" w:rsidP="006E0517">
      <w:pPr>
        <w:pStyle w:val="FootnoteText"/>
        <w:rPr>
          <w:szCs w:val="18"/>
          <w:lang w:val="es-ES"/>
        </w:rPr>
      </w:pPr>
      <w:r w:rsidRPr="00430F3A">
        <w:rPr>
          <w:szCs w:val="18"/>
          <w:lang w:val="es-CO"/>
        </w:rPr>
        <w:tab/>
      </w:r>
      <w:r w:rsidRPr="00430F3A">
        <w:rPr>
          <w:rStyle w:val="FootnoteReference"/>
          <w:szCs w:val="18"/>
        </w:rPr>
        <w:footnoteRef/>
      </w:r>
      <w:r w:rsidR="009A1476">
        <w:rPr>
          <w:szCs w:val="18"/>
          <w:lang w:val="es-ES"/>
        </w:rPr>
        <w:tab/>
      </w:r>
      <w:r w:rsidRPr="00813E48">
        <w:rPr>
          <w:rStyle w:val="normaltextrun"/>
          <w:i/>
          <w:iCs/>
          <w:szCs w:val="18"/>
          <w:lang w:val="es-ES"/>
        </w:rPr>
        <w:t>Ib</w:t>
      </w:r>
      <w:r w:rsidR="009D52CD">
        <w:rPr>
          <w:rStyle w:val="normaltextrun"/>
          <w:i/>
          <w:iCs/>
          <w:szCs w:val="18"/>
          <w:lang w:val="es-ES"/>
        </w:rPr>
        <w:t>i</w:t>
      </w:r>
      <w:r w:rsidRPr="00813E48">
        <w:rPr>
          <w:rStyle w:val="normaltextrun"/>
          <w:i/>
          <w:iCs/>
          <w:szCs w:val="18"/>
          <w:lang w:val="es-ES"/>
        </w:rPr>
        <w:t>d</w:t>
      </w:r>
      <w:r w:rsidRPr="009E191E">
        <w:rPr>
          <w:rStyle w:val="normaltextrun"/>
          <w:iCs/>
          <w:szCs w:val="18"/>
          <w:lang w:val="es-ES"/>
        </w:rPr>
        <w:t>.</w:t>
      </w:r>
    </w:p>
    <w:p w14:paraId="44CDA3E2" w14:textId="084D115D" w:rsidR="006E0517" w:rsidRPr="00430F3A" w:rsidRDefault="006E0517" w:rsidP="006E0517">
      <w:pPr>
        <w:pStyle w:val="FootnoteText"/>
        <w:widowControl w:val="0"/>
        <w:tabs>
          <w:tab w:val="clear" w:pos="1021"/>
          <w:tab w:val="right" w:pos="1020"/>
        </w:tabs>
        <w:rPr>
          <w:szCs w:val="18"/>
          <w:lang w:val="es-ES"/>
        </w:rPr>
      </w:pPr>
    </w:p>
  </w:footnote>
  <w:footnote w:id="30">
    <w:p w14:paraId="770A4FFB" w14:textId="78534C03" w:rsidR="005C0D9F" w:rsidRPr="005C0D9F" w:rsidRDefault="005C0D9F" w:rsidP="005C0D9F">
      <w:pPr>
        <w:pStyle w:val="FootnoteText"/>
        <w:widowControl w:val="0"/>
        <w:tabs>
          <w:tab w:val="clear" w:pos="1021"/>
          <w:tab w:val="right" w:pos="1020"/>
        </w:tabs>
        <w:rPr>
          <w:lang w:val="es-ES"/>
        </w:rPr>
      </w:pPr>
      <w:r w:rsidRPr="00FF30D2">
        <w:rPr>
          <w:lang w:val="es-ES"/>
        </w:rPr>
        <w:tab/>
      </w:r>
      <w:r>
        <w:rPr>
          <w:rStyle w:val="FootnoteReference"/>
        </w:rPr>
        <w:footnoteRef/>
      </w:r>
      <w:r w:rsidRPr="005C0D9F">
        <w:rPr>
          <w:lang w:val="es-ES"/>
        </w:rPr>
        <w:tab/>
      </w:r>
      <w:r w:rsidR="00C178BE">
        <w:rPr>
          <w:lang w:val="es-ES"/>
        </w:rPr>
        <w:t xml:space="preserve">Véase la presentación de </w:t>
      </w:r>
      <w:r w:rsidRPr="005C0D9F">
        <w:rPr>
          <w:lang w:val="es-ES"/>
        </w:rPr>
        <w:t>Edgardo Buscaglia “</w:t>
      </w:r>
      <w:r w:rsidR="00C178BE">
        <w:rPr>
          <w:lang w:val="es-ES"/>
        </w:rPr>
        <w:t>P</w:t>
      </w:r>
      <w:r w:rsidRPr="005C0D9F">
        <w:rPr>
          <w:lang w:val="es-ES"/>
        </w:rPr>
        <w:t xml:space="preserve">aradoja de la </w:t>
      </w:r>
      <w:r w:rsidR="00FF30D2">
        <w:rPr>
          <w:lang w:val="es-ES"/>
        </w:rPr>
        <w:t>r</w:t>
      </w:r>
      <w:r w:rsidRPr="005C0D9F">
        <w:rPr>
          <w:lang w:val="es-ES"/>
        </w:rPr>
        <w:t xml:space="preserve">epresión: </w:t>
      </w:r>
      <w:r w:rsidR="00FF30D2">
        <w:rPr>
          <w:lang w:val="es-ES"/>
        </w:rPr>
        <w:t>l</w:t>
      </w:r>
      <w:r w:rsidRPr="005C0D9F">
        <w:rPr>
          <w:lang w:val="es-ES"/>
        </w:rPr>
        <w:t>a impotencia del Estado ante la delincuencia organizada”</w:t>
      </w:r>
      <w:r w:rsidR="00C178BE">
        <w:rPr>
          <w:lang w:val="es-ES"/>
        </w:rPr>
        <w:t xml:space="preserve"> (2011)</w:t>
      </w:r>
      <w:r w:rsidR="00940A10">
        <w:rPr>
          <w:lang w:val="es-ES"/>
        </w:rPr>
        <w:t xml:space="preserve">, </w:t>
      </w:r>
      <w:r w:rsidR="00C178BE">
        <w:rPr>
          <w:lang w:val="es-ES"/>
        </w:rPr>
        <w:t xml:space="preserve">que puede consultarse en </w:t>
      </w:r>
      <w:r w:rsidR="00F36303">
        <w:fldChar w:fldCharType="begin"/>
      </w:r>
      <w:r w:rsidR="00F36303" w:rsidRPr="00F36303">
        <w:rPr>
          <w:lang w:val="fr-CH"/>
        </w:rPr>
        <w:instrText>HYPERLINK "file:///C:\\Users\\merino\\Downloads\\www.casamerica.es\\index.php\\temastv\\paradoja-de-la-represion-la-impotencia-del-estado-ante-la-delincuencia-organizada"</w:instrText>
      </w:r>
      <w:r w:rsidR="00F36303">
        <w:fldChar w:fldCharType="separate"/>
      </w:r>
      <w:r w:rsidR="00C178BE" w:rsidRPr="00C178BE">
        <w:rPr>
          <w:rStyle w:val="Hyperlink"/>
          <w:lang w:val="es-ES"/>
        </w:rPr>
        <w:t>www.casamerica.es/index.php/temastv/paradoja-de-la-represion-la-impotencia-del-estado-ante-la-delincuencia-organizada</w:t>
      </w:r>
      <w:r w:rsidR="00F36303">
        <w:rPr>
          <w:rStyle w:val="Hyperlink"/>
          <w:lang w:val="es-ES"/>
        </w:rPr>
        <w:fldChar w:fldCharType="end"/>
      </w:r>
      <w:r w:rsidR="00C178BE">
        <w:rPr>
          <w:lang w:val="es-ES"/>
        </w:rPr>
        <w:t>. Véase también</w:t>
      </w:r>
      <w:r w:rsidR="00FF30D2">
        <w:rPr>
          <w:lang w:val="es-ES"/>
        </w:rPr>
        <w:t xml:space="preserve"> Edgardo Buscaglia, </w:t>
      </w:r>
      <w:r w:rsidRPr="005C0D9F">
        <w:rPr>
          <w:lang w:val="es-ES"/>
        </w:rPr>
        <w:t xml:space="preserve">“La integración vertical de la delincuencia organizada vinculada a la corrupción política: </w:t>
      </w:r>
      <w:r w:rsidR="00FF30D2">
        <w:rPr>
          <w:lang w:val="es-ES"/>
        </w:rPr>
        <w:t>u</w:t>
      </w:r>
      <w:r w:rsidRPr="005C0D9F">
        <w:rPr>
          <w:lang w:val="es-ES"/>
        </w:rPr>
        <w:t>n análisis jurimétrico del decomiso de activos y los derechos humanos”</w:t>
      </w:r>
      <w:r w:rsidR="00C178BE">
        <w:rPr>
          <w:lang w:val="es-ES"/>
        </w:rPr>
        <w:t>,</w:t>
      </w:r>
      <w:r w:rsidRPr="005C0D9F">
        <w:rPr>
          <w:lang w:val="es-ES"/>
        </w:rPr>
        <w:t xml:space="preserve"> en </w:t>
      </w:r>
      <w:r w:rsidR="00FF30D2">
        <w:rPr>
          <w:lang w:val="es-ES"/>
        </w:rPr>
        <w:t>Carlos Tablante</w:t>
      </w:r>
      <w:r w:rsidR="00C178BE">
        <w:rPr>
          <w:lang w:val="es-ES"/>
        </w:rPr>
        <w:t xml:space="preserve"> y</w:t>
      </w:r>
      <w:r w:rsidR="00FF30D2">
        <w:rPr>
          <w:lang w:val="es-ES"/>
        </w:rPr>
        <w:t xml:space="preserve"> Mariela Morales Antoniazzi (ed</w:t>
      </w:r>
      <w:r w:rsidR="00C178BE">
        <w:rPr>
          <w:lang w:val="es-ES"/>
        </w:rPr>
        <w:t>s.</w:t>
      </w:r>
      <w:r w:rsidR="00FF30D2">
        <w:rPr>
          <w:lang w:val="es-ES"/>
        </w:rPr>
        <w:t xml:space="preserve">), </w:t>
      </w:r>
      <w:r w:rsidRPr="00AB3D5F">
        <w:rPr>
          <w:i/>
          <w:iCs/>
          <w:lang w:val="es-ES"/>
        </w:rPr>
        <w:t xml:space="preserve">Impacto de la corrupción en los </w:t>
      </w:r>
      <w:r w:rsidR="00FF30D2" w:rsidRPr="00AB3D5F">
        <w:rPr>
          <w:i/>
          <w:iCs/>
          <w:lang w:val="es-ES"/>
        </w:rPr>
        <w:t>d</w:t>
      </w:r>
      <w:r w:rsidRPr="00AB3D5F">
        <w:rPr>
          <w:i/>
          <w:iCs/>
          <w:lang w:val="es-ES"/>
        </w:rPr>
        <w:t xml:space="preserve">erechos </w:t>
      </w:r>
      <w:r w:rsidR="00FF30D2" w:rsidRPr="00AB3D5F">
        <w:rPr>
          <w:i/>
          <w:iCs/>
          <w:lang w:val="es-ES"/>
        </w:rPr>
        <w:t>h</w:t>
      </w:r>
      <w:r w:rsidRPr="00AB3D5F">
        <w:rPr>
          <w:i/>
          <w:iCs/>
          <w:lang w:val="es-ES"/>
        </w:rPr>
        <w:t>umanos</w:t>
      </w:r>
      <w:r w:rsidRPr="005C0D9F">
        <w:rPr>
          <w:lang w:val="es-ES"/>
        </w:rPr>
        <w:t xml:space="preserve">, </w:t>
      </w:r>
      <w:r w:rsidR="00C178BE">
        <w:rPr>
          <w:lang w:val="es-ES"/>
        </w:rPr>
        <w:t xml:space="preserve">Querétaro (México), Instituto de Estudios Constitucionales del Estado de Querétaro, 2018, págs. 239 a 293, que puede consultarse en </w:t>
      </w:r>
      <w:hyperlink r:id="rId5" w:history="1">
        <w:r w:rsidRPr="003344C1">
          <w:rPr>
            <w:rStyle w:val="Hyperlink"/>
            <w:lang w:val="es-ES"/>
          </w:rPr>
          <w:t>https://biblio.juridicas.unam.mx/bjv/detalle-libro/5096-impacto-de-la-corrupcion-en-los-derechos-humanos</w:t>
        </w:r>
      </w:hyperlink>
      <w:r w:rsidR="00FF30D2">
        <w:rPr>
          <w:lang w:val="es-ES"/>
        </w:rPr>
        <w:t>.</w:t>
      </w:r>
    </w:p>
  </w:footnote>
  <w:footnote w:id="31">
    <w:p w14:paraId="68D4C72C" w14:textId="6373D861" w:rsidR="006E0517" w:rsidRPr="00430F3A" w:rsidRDefault="006E0517" w:rsidP="006E0517">
      <w:pPr>
        <w:pStyle w:val="FootnoteText"/>
        <w:widowControl w:val="0"/>
        <w:tabs>
          <w:tab w:val="clear" w:pos="1021"/>
          <w:tab w:val="right" w:pos="1020"/>
        </w:tabs>
        <w:rPr>
          <w:szCs w:val="18"/>
          <w:lang w:val="es-CO"/>
        </w:rPr>
      </w:pPr>
      <w:r w:rsidRPr="00430F3A">
        <w:rPr>
          <w:szCs w:val="18"/>
          <w:lang w:val="es-CO"/>
        </w:rPr>
        <w:tab/>
      </w:r>
      <w:r w:rsidRPr="00430F3A">
        <w:rPr>
          <w:rStyle w:val="FootnoteReference"/>
          <w:szCs w:val="18"/>
        </w:rPr>
        <w:footnoteRef/>
      </w:r>
      <w:r w:rsidRPr="00430F3A">
        <w:rPr>
          <w:szCs w:val="18"/>
          <w:lang w:val="es-CO"/>
        </w:rPr>
        <w:tab/>
      </w:r>
      <w:r w:rsidR="00147009" w:rsidRPr="00FA61EE">
        <w:rPr>
          <w:lang w:val="es-CO"/>
        </w:rPr>
        <w:t xml:space="preserve">Instancia Especial de Alto Nivel </w:t>
      </w:r>
      <w:r w:rsidR="00147009">
        <w:rPr>
          <w:lang w:val="es-CO"/>
        </w:rPr>
        <w:t>de los</w:t>
      </w:r>
      <w:r w:rsidR="00147009" w:rsidRPr="00FA61EE">
        <w:rPr>
          <w:lang w:val="es-CO"/>
        </w:rPr>
        <w:t xml:space="preserve"> Pueblos Étnicos </w:t>
      </w:r>
      <w:r w:rsidR="00147009">
        <w:rPr>
          <w:lang w:val="es-CO"/>
        </w:rPr>
        <w:t>de Colombia, “Informe de seguimiento, impulso y verificación a la implementación del capítulo étnico del Acuerdo Final para la Terminación del Conflicto y la Construcción de una Paz Estable y Duradera” (diciembre de 2021), que puede consultarse en</w:t>
      </w:r>
      <w:r w:rsidR="00147009" w:rsidRPr="00430F3A" w:rsidDel="00C178BE">
        <w:rPr>
          <w:szCs w:val="18"/>
          <w:lang w:val="es-CO"/>
        </w:rPr>
        <w:t xml:space="preserve"> </w:t>
      </w:r>
      <w:r w:rsidRPr="00430F3A">
        <w:rPr>
          <w:szCs w:val="18"/>
          <w:lang w:val="es-CO"/>
        </w:rPr>
        <w:t>www.cenpaz.com/2022/01/informe-ieanpe-2016-2021-de-seguimiento.html.</w:t>
      </w:r>
    </w:p>
  </w:footnote>
  <w:footnote w:id="32">
    <w:p w14:paraId="0B68E4D8" w14:textId="2A8B4FF3" w:rsidR="006E0517" w:rsidRPr="00430F3A" w:rsidRDefault="006E0517" w:rsidP="008877DF">
      <w:pPr>
        <w:pStyle w:val="FootnoteText"/>
        <w:tabs>
          <w:tab w:val="clear" w:pos="1021"/>
          <w:tab w:val="right" w:pos="1020"/>
        </w:tabs>
        <w:rPr>
          <w:szCs w:val="18"/>
          <w:lang w:val="es-ES"/>
        </w:rPr>
      </w:pPr>
      <w:r w:rsidRPr="00430F3A">
        <w:rPr>
          <w:szCs w:val="18"/>
          <w:lang w:val="es-CO"/>
        </w:rPr>
        <w:tab/>
      </w:r>
      <w:r w:rsidRPr="00430F3A">
        <w:rPr>
          <w:rStyle w:val="FootnoteReference"/>
          <w:szCs w:val="18"/>
        </w:rPr>
        <w:footnoteRef/>
      </w:r>
      <w:r w:rsidR="009A1476">
        <w:rPr>
          <w:szCs w:val="18"/>
          <w:lang w:val="es-ES"/>
        </w:rPr>
        <w:tab/>
      </w:r>
      <w:r w:rsidR="00C178BE" w:rsidRPr="00FA61EE">
        <w:rPr>
          <w:lang w:val="es-CO"/>
        </w:rPr>
        <w:t>Consejo</w:t>
      </w:r>
      <w:r w:rsidR="00C178BE">
        <w:rPr>
          <w:lang w:val="es-CO"/>
        </w:rPr>
        <w:t xml:space="preserve"> Nacional de Paz Afrocolombiano</w:t>
      </w:r>
      <w:r w:rsidR="009A1476">
        <w:rPr>
          <w:rStyle w:val="normaltextrun"/>
          <w:szCs w:val="18"/>
          <w:shd w:val="clear" w:color="auto" w:fill="FFFFFF"/>
          <w:lang w:val="es-419"/>
        </w:rPr>
        <w:t>,</w:t>
      </w:r>
      <w:r w:rsidRPr="00430F3A">
        <w:rPr>
          <w:rStyle w:val="normaltextrun"/>
          <w:szCs w:val="18"/>
          <w:shd w:val="clear" w:color="auto" w:fill="FFFFFF"/>
          <w:lang w:val="es-419"/>
        </w:rPr>
        <w:t xml:space="preserve"> </w:t>
      </w:r>
      <w:r w:rsidR="009766D4">
        <w:rPr>
          <w:rStyle w:val="normaltextrun"/>
          <w:szCs w:val="18"/>
          <w:shd w:val="clear" w:color="auto" w:fill="FFFFFF"/>
          <w:lang w:val="es-419"/>
        </w:rPr>
        <w:t>“</w:t>
      </w:r>
      <w:r w:rsidRPr="00430F3A">
        <w:rPr>
          <w:rStyle w:val="normaltextrun"/>
          <w:szCs w:val="18"/>
          <w:shd w:val="clear" w:color="auto" w:fill="FFFFFF"/>
          <w:lang w:val="es-419"/>
        </w:rPr>
        <w:t xml:space="preserve">II Informe de </w:t>
      </w:r>
      <w:r w:rsidR="00147009">
        <w:rPr>
          <w:rStyle w:val="normaltextrun"/>
          <w:szCs w:val="18"/>
          <w:shd w:val="clear" w:color="auto" w:fill="FFFFFF"/>
          <w:lang w:val="es-419"/>
        </w:rPr>
        <w:t>b</w:t>
      </w:r>
      <w:r w:rsidRPr="00430F3A">
        <w:rPr>
          <w:rStyle w:val="normaltextrun"/>
          <w:szCs w:val="18"/>
          <w:shd w:val="clear" w:color="auto" w:fill="FFFFFF"/>
          <w:lang w:val="es-419"/>
        </w:rPr>
        <w:t xml:space="preserve">alance de la implementación del </w:t>
      </w:r>
      <w:r w:rsidR="00147009">
        <w:rPr>
          <w:rStyle w:val="normaltextrun"/>
          <w:szCs w:val="18"/>
          <w:shd w:val="clear" w:color="auto" w:fill="FFFFFF"/>
          <w:lang w:val="es-419"/>
        </w:rPr>
        <w:t>c</w:t>
      </w:r>
      <w:r w:rsidRPr="00430F3A">
        <w:rPr>
          <w:rStyle w:val="normaltextrun"/>
          <w:szCs w:val="18"/>
          <w:shd w:val="clear" w:color="auto" w:fill="FFFFFF"/>
          <w:lang w:val="es-419"/>
        </w:rPr>
        <w:t xml:space="preserve">apítulo </w:t>
      </w:r>
      <w:r w:rsidR="00147009">
        <w:rPr>
          <w:rStyle w:val="normaltextrun"/>
          <w:szCs w:val="18"/>
          <w:shd w:val="clear" w:color="auto" w:fill="FFFFFF"/>
          <w:lang w:val="es-419"/>
        </w:rPr>
        <w:t>é</w:t>
      </w:r>
      <w:r w:rsidRPr="00430F3A">
        <w:rPr>
          <w:rStyle w:val="normaltextrun"/>
          <w:szCs w:val="18"/>
          <w:shd w:val="clear" w:color="auto" w:fill="FFFFFF"/>
          <w:lang w:val="es-419"/>
        </w:rPr>
        <w:t xml:space="preserve">tnico del Acuerdo </w:t>
      </w:r>
      <w:r w:rsidR="00147009">
        <w:rPr>
          <w:rStyle w:val="normaltextrun"/>
          <w:szCs w:val="18"/>
          <w:shd w:val="clear" w:color="auto" w:fill="FFFFFF"/>
          <w:lang w:val="es-419"/>
        </w:rPr>
        <w:t>F</w:t>
      </w:r>
      <w:r w:rsidRPr="00430F3A">
        <w:rPr>
          <w:rStyle w:val="normaltextrun"/>
          <w:szCs w:val="18"/>
          <w:shd w:val="clear" w:color="auto" w:fill="FFFFFF"/>
          <w:lang w:val="es-419"/>
        </w:rPr>
        <w:t xml:space="preserve">inal de </w:t>
      </w:r>
      <w:r w:rsidR="00147009">
        <w:rPr>
          <w:rStyle w:val="normaltextrun"/>
          <w:szCs w:val="18"/>
          <w:shd w:val="clear" w:color="auto" w:fill="FFFFFF"/>
          <w:lang w:val="es-419"/>
        </w:rPr>
        <w:t>P</w:t>
      </w:r>
      <w:r w:rsidR="009A1476">
        <w:rPr>
          <w:rStyle w:val="normaltextrun"/>
          <w:szCs w:val="18"/>
          <w:shd w:val="clear" w:color="auto" w:fill="FFFFFF"/>
          <w:lang w:val="es-419"/>
        </w:rPr>
        <w:t>az: 5 años de incumplimiento</w:t>
      </w:r>
      <w:r w:rsidR="009766D4">
        <w:rPr>
          <w:rStyle w:val="normaltextrun"/>
          <w:szCs w:val="18"/>
          <w:shd w:val="clear" w:color="auto" w:fill="FFFFFF"/>
          <w:lang w:val="es-419"/>
        </w:rPr>
        <w:t>”</w:t>
      </w:r>
      <w:r w:rsidR="009A1476">
        <w:rPr>
          <w:rStyle w:val="normaltextrun"/>
          <w:szCs w:val="18"/>
          <w:shd w:val="clear" w:color="auto" w:fill="FFFFFF"/>
          <w:lang w:val="es-419"/>
        </w:rPr>
        <w:t xml:space="preserve"> </w:t>
      </w:r>
      <w:r w:rsidR="00147009">
        <w:rPr>
          <w:rStyle w:val="normaltextrun"/>
          <w:szCs w:val="18"/>
          <w:shd w:val="clear" w:color="auto" w:fill="FFFFFF"/>
          <w:lang w:val="es-419"/>
        </w:rPr>
        <w:t>(</w:t>
      </w:r>
      <w:r w:rsidR="009A1476">
        <w:rPr>
          <w:rStyle w:val="normaltextrun"/>
          <w:szCs w:val="18"/>
          <w:shd w:val="clear" w:color="auto" w:fill="FFFFFF"/>
          <w:lang w:val="es-419"/>
        </w:rPr>
        <w:t>agosto de 2022</w:t>
      </w:r>
      <w:r w:rsidR="00147009">
        <w:rPr>
          <w:rStyle w:val="normaltextrun"/>
          <w:szCs w:val="18"/>
          <w:shd w:val="clear" w:color="auto" w:fill="FFFFFF"/>
          <w:lang w:val="es-419"/>
        </w:rPr>
        <w:t>)</w:t>
      </w:r>
      <w:r w:rsidR="009A1476">
        <w:rPr>
          <w:rStyle w:val="normaltextrun"/>
          <w:szCs w:val="18"/>
          <w:shd w:val="clear" w:color="auto" w:fill="FFFFFF"/>
          <w:lang w:val="es-419"/>
        </w:rPr>
        <w:t xml:space="preserve">, </w:t>
      </w:r>
      <w:r w:rsidR="00147009">
        <w:rPr>
          <w:rStyle w:val="normaltextrun"/>
          <w:szCs w:val="18"/>
          <w:shd w:val="clear" w:color="auto" w:fill="FFFFFF"/>
          <w:lang w:val="es-419"/>
        </w:rPr>
        <w:t xml:space="preserve">que puede consultarse en </w:t>
      </w:r>
      <w:r w:rsidR="00F36303">
        <w:fldChar w:fldCharType="begin"/>
      </w:r>
      <w:r w:rsidR="00F36303" w:rsidRPr="00F36303">
        <w:rPr>
          <w:lang w:val="fr-CH"/>
        </w:rPr>
        <w:instrText>HYPERLINK "https://conpapaz.org/"</w:instrText>
      </w:r>
      <w:r w:rsidR="00F36303">
        <w:fldChar w:fldCharType="separate"/>
      </w:r>
      <w:r w:rsidR="009A1476" w:rsidRPr="003344C1">
        <w:rPr>
          <w:rStyle w:val="Hyperlink"/>
          <w:szCs w:val="18"/>
          <w:shd w:val="clear" w:color="auto" w:fill="FFFFFF"/>
          <w:lang w:val="es-419"/>
        </w:rPr>
        <w:t>https://conpapaz.org/</w:t>
      </w:r>
      <w:r w:rsidR="00F36303">
        <w:rPr>
          <w:rStyle w:val="Hyperlink"/>
          <w:szCs w:val="18"/>
          <w:shd w:val="clear" w:color="auto" w:fill="FFFFFF"/>
          <w:lang w:val="es-419"/>
        </w:rPr>
        <w:fldChar w:fldCharType="end"/>
      </w:r>
      <w:r w:rsidR="009A1476" w:rsidRPr="00430F3A">
        <w:rPr>
          <w:rStyle w:val="normaltextrun"/>
          <w:szCs w:val="18"/>
          <w:shd w:val="clear" w:color="auto" w:fill="FFFFFF"/>
          <w:lang w:val="es-419"/>
        </w:rPr>
        <w:t>.</w:t>
      </w:r>
    </w:p>
  </w:footnote>
  <w:footnote w:id="33">
    <w:p w14:paraId="50ABD708" w14:textId="1AF34F8D" w:rsidR="006E0517" w:rsidRPr="00430F3A" w:rsidRDefault="006E0517" w:rsidP="008877DF">
      <w:pPr>
        <w:pStyle w:val="FootnoteText"/>
        <w:tabs>
          <w:tab w:val="clear" w:pos="1021"/>
          <w:tab w:val="right" w:pos="1020"/>
        </w:tabs>
        <w:rPr>
          <w:szCs w:val="18"/>
          <w:lang w:val="es-ES"/>
        </w:rPr>
      </w:pPr>
      <w:r w:rsidRPr="00430F3A">
        <w:rPr>
          <w:szCs w:val="18"/>
          <w:lang w:val="es-ES"/>
        </w:rPr>
        <w:tab/>
      </w:r>
      <w:r w:rsidRPr="00BF1DC1">
        <w:rPr>
          <w:rStyle w:val="FootnoteReference"/>
          <w:szCs w:val="18"/>
        </w:rPr>
        <w:footnoteRef/>
      </w:r>
      <w:r w:rsidR="00793556" w:rsidRPr="00BF1DC1">
        <w:rPr>
          <w:szCs w:val="18"/>
          <w:lang w:val="es-ES"/>
        </w:rPr>
        <w:tab/>
      </w:r>
      <w:r w:rsidR="00F36303">
        <w:fldChar w:fldCharType="begin"/>
      </w:r>
      <w:r w:rsidR="00F36303" w:rsidRPr="00F36303">
        <w:rPr>
          <w:lang w:val="es-ES"/>
        </w:rPr>
        <w:instrText>HYPERLINK "file:///C:\\Users\\merino\\Downloads\\www.procuraduria.gov.co\\portal\\media\\docs\\Procuradur%25C3%25ADa%20-%20Informe%20Final%20Cap%25C3%25ADtulo</w:instrText>
      </w:r>
      <w:r w:rsidR="00F36303" w:rsidRPr="00F36303">
        <w:rPr>
          <w:lang w:val="es-ES"/>
        </w:rPr>
        <w:instrText>%20%25C3%2589tnico%202020%20-%20Agosto%202021.pdf"</w:instrText>
      </w:r>
      <w:r w:rsidR="00F36303">
        <w:fldChar w:fldCharType="separate"/>
      </w:r>
      <w:r w:rsidR="001A7355" w:rsidRPr="00F36303">
        <w:rPr>
          <w:rStyle w:val="Hyperlink"/>
          <w:lang w:val="es-ES"/>
        </w:rPr>
        <w:t>www.procuraduria.gov.co/portal/media/docs/Procuradur%C3%ADa%20-%20Informe%20Final%20Cap%C3%ADtulo%20%C3%89tnico%202020%20-%20Agosto%202021.pdf</w:t>
      </w:r>
      <w:r w:rsidR="00F36303">
        <w:rPr>
          <w:rStyle w:val="Hyperlink"/>
        </w:rPr>
        <w:fldChar w:fldCharType="end"/>
      </w:r>
      <w:r w:rsidR="0039785F" w:rsidRPr="00BF1DC1">
        <w:rPr>
          <w:szCs w:val="18"/>
          <w:lang w:val="es-ES"/>
        </w:rPr>
        <w:t>.</w:t>
      </w:r>
    </w:p>
  </w:footnote>
  <w:footnote w:id="34">
    <w:p w14:paraId="582A38D2" w14:textId="206C5D11" w:rsidR="00204A5B" w:rsidRPr="00430F3A" w:rsidRDefault="00204A5B" w:rsidP="00204A5B">
      <w:pPr>
        <w:pStyle w:val="FootnoteText"/>
        <w:widowControl w:val="0"/>
        <w:tabs>
          <w:tab w:val="clear" w:pos="1021"/>
          <w:tab w:val="right" w:pos="1020"/>
        </w:tabs>
        <w:rPr>
          <w:szCs w:val="18"/>
          <w:lang w:val="es-CO"/>
        </w:rPr>
      </w:pPr>
      <w:r w:rsidRPr="00430F3A">
        <w:rPr>
          <w:szCs w:val="18"/>
          <w:lang w:val="es-CO"/>
        </w:rPr>
        <w:tab/>
      </w:r>
      <w:r w:rsidRPr="00430F3A">
        <w:rPr>
          <w:rStyle w:val="FootnoteReference"/>
          <w:szCs w:val="18"/>
        </w:rPr>
        <w:footnoteRef/>
      </w:r>
      <w:r w:rsidR="00A3501E">
        <w:rPr>
          <w:szCs w:val="18"/>
          <w:lang w:val="es-CO"/>
        </w:rPr>
        <w:tab/>
      </w:r>
      <w:r w:rsidR="00147009" w:rsidRPr="00F36303">
        <w:rPr>
          <w:rFonts w:asciiTheme="majorBidi" w:hAnsiTheme="majorBidi" w:cstheme="majorBidi"/>
          <w:color w:val="212529"/>
          <w:szCs w:val="18"/>
          <w:shd w:val="clear" w:color="auto" w:fill="FFFFFF"/>
          <w:lang w:val="fr-CH"/>
        </w:rPr>
        <w:t>Instituto Kroc de Estudios Internacionales sobre la Paz, “Informe trimestral: estado efectivo de la implementación del Acuerdo Final, julio-septiembre de 2022” (diciembre de 2022), que puede consultarse en</w:t>
      </w:r>
      <w:r w:rsidR="003344C1" w:rsidRPr="00F36303">
        <w:rPr>
          <w:rFonts w:asciiTheme="majorBidi" w:hAnsiTheme="majorBidi" w:cstheme="majorBidi"/>
          <w:color w:val="212529"/>
          <w:szCs w:val="18"/>
          <w:shd w:val="clear" w:color="auto" w:fill="FFFFFF"/>
          <w:lang w:val="fr-CH"/>
        </w:rPr>
        <w:t xml:space="preserve"> </w:t>
      </w:r>
      <w:hyperlink r:id="rId6" w:history="1">
        <w:r w:rsidRPr="003344C1">
          <w:rPr>
            <w:rStyle w:val="Hyperlink"/>
            <w:szCs w:val="18"/>
            <w:shd w:val="clear" w:color="auto" w:fill="FFFFFF"/>
            <w:lang w:val="es-CO"/>
          </w:rPr>
          <w:t>https://curate.nd.edu/show/4f16c250g77</w:t>
        </w:r>
      </w:hyperlink>
      <w:r w:rsidR="006335DE" w:rsidRPr="00430F3A">
        <w:rPr>
          <w:szCs w:val="18"/>
          <w:shd w:val="clear" w:color="auto" w:fill="FFFFFF"/>
          <w:lang w:val="es-CO"/>
        </w:rPr>
        <w:t>.</w:t>
      </w:r>
    </w:p>
  </w:footnote>
  <w:footnote w:id="35">
    <w:p w14:paraId="71E68951" w14:textId="02821F29" w:rsidR="00204A5B" w:rsidRPr="00430F3A" w:rsidRDefault="00204A5B" w:rsidP="005B77EA">
      <w:pPr>
        <w:pStyle w:val="FootnoteText"/>
        <w:tabs>
          <w:tab w:val="clear" w:pos="1021"/>
          <w:tab w:val="right" w:pos="1020"/>
        </w:tabs>
        <w:rPr>
          <w:szCs w:val="18"/>
          <w:lang w:val="es-ES"/>
        </w:rPr>
      </w:pPr>
      <w:r w:rsidRPr="00430F3A">
        <w:rPr>
          <w:szCs w:val="18"/>
          <w:lang w:val="es-CO"/>
        </w:rPr>
        <w:tab/>
      </w:r>
      <w:r w:rsidRPr="001A7355">
        <w:rPr>
          <w:rStyle w:val="FootnoteReference"/>
          <w:szCs w:val="18"/>
        </w:rPr>
        <w:footnoteRef/>
      </w:r>
      <w:r w:rsidR="00A3501E" w:rsidRPr="001A7355">
        <w:rPr>
          <w:szCs w:val="18"/>
          <w:lang w:val="es-ES"/>
        </w:rPr>
        <w:tab/>
      </w:r>
      <w:r w:rsidR="001A7355">
        <w:rPr>
          <w:szCs w:val="18"/>
          <w:lang w:val="es-ES"/>
        </w:rPr>
        <w:t xml:space="preserve">Véase </w:t>
      </w:r>
      <w:r w:rsidR="001A7355" w:rsidRPr="001A7355">
        <w:rPr>
          <w:lang w:val="es-CO"/>
        </w:rPr>
        <w:t>Consejo Nacional de Paz Afrocolombiano</w:t>
      </w:r>
      <w:r w:rsidR="009A1476" w:rsidRPr="001A7355">
        <w:rPr>
          <w:rStyle w:val="normaltextrun"/>
          <w:szCs w:val="18"/>
          <w:shd w:val="clear" w:color="auto" w:fill="FFFFFF"/>
          <w:lang w:val="es-419"/>
        </w:rPr>
        <w:t>,</w:t>
      </w:r>
      <w:r w:rsidRPr="001A7355">
        <w:rPr>
          <w:rStyle w:val="normaltextrun"/>
          <w:szCs w:val="18"/>
          <w:shd w:val="clear" w:color="auto" w:fill="FFFFFF"/>
          <w:lang w:val="es-419"/>
        </w:rPr>
        <w:t xml:space="preserve"> </w:t>
      </w:r>
      <w:r w:rsidR="009766D4" w:rsidRPr="001A7355">
        <w:rPr>
          <w:rStyle w:val="normaltextrun"/>
          <w:szCs w:val="18"/>
          <w:shd w:val="clear" w:color="auto" w:fill="FFFFFF"/>
          <w:lang w:val="es-419"/>
        </w:rPr>
        <w:t>“</w:t>
      </w:r>
      <w:r w:rsidRPr="001A7355">
        <w:rPr>
          <w:rStyle w:val="normaltextrun"/>
          <w:szCs w:val="18"/>
          <w:shd w:val="clear" w:color="auto" w:fill="FFFFFF"/>
          <w:lang w:val="es-419"/>
        </w:rPr>
        <w:t xml:space="preserve">II Informe de </w:t>
      </w:r>
      <w:r w:rsidR="001A7355">
        <w:rPr>
          <w:rStyle w:val="normaltextrun"/>
          <w:szCs w:val="18"/>
          <w:shd w:val="clear" w:color="auto" w:fill="FFFFFF"/>
          <w:lang w:val="es-419"/>
        </w:rPr>
        <w:t>b</w:t>
      </w:r>
      <w:r w:rsidRPr="001A7355">
        <w:rPr>
          <w:rStyle w:val="normaltextrun"/>
          <w:szCs w:val="18"/>
          <w:shd w:val="clear" w:color="auto" w:fill="FFFFFF"/>
          <w:lang w:val="es-419"/>
        </w:rPr>
        <w:t xml:space="preserve">alance de la implementación del </w:t>
      </w:r>
      <w:r w:rsidR="001A7355">
        <w:rPr>
          <w:rStyle w:val="normaltextrun"/>
          <w:szCs w:val="18"/>
          <w:shd w:val="clear" w:color="auto" w:fill="FFFFFF"/>
          <w:lang w:val="es-419"/>
        </w:rPr>
        <w:t>c</w:t>
      </w:r>
      <w:r w:rsidRPr="001A7355">
        <w:rPr>
          <w:rStyle w:val="normaltextrun"/>
          <w:szCs w:val="18"/>
          <w:shd w:val="clear" w:color="auto" w:fill="FFFFFF"/>
          <w:lang w:val="es-419"/>
        </w:rPr>
        <w:t xml:space="preserve">apítulo </w:t>
      </w:r>
      <w:r w:rsidR="001A7355">
        <w:rPr>
          <w:rStyle w:val="normaltextrun"/>
          <w:szCs w:val="18"/>
          <w:shd w:val="clear" w:color="auto" w:fill="FFFFFF"/>
          <w:lang w:val="es-419"/>
        </w:rPr>
        <w:t>é</w:t>
      </w:r>
      <w:r w:rsidRPr="001A7355">
        <w:rPr>
          <w:rStyle w:val="normaltextrun"/>
          <w:szCs w:val="18"/>
          <w:shd w:val="clear" w:color="auto" w:fill="FFFFFF"/>
          <w:lang w:val="es-419"/>
        </w:rPr>
        <w:t xml:space="preserve">tnico del Acuerdo </w:t>
      </w:r>
      <w:r w:rsidR="001A7355">
        <w:rPr>
          <w:rStyle w:val="normaltextrun"/>
          <w:szCs w:val="18"/>
          <w:shd w:val="clear" w:color="auto" w:fill="FFFFFF"/>
          <w:lang w:val="es-419"/>
        </w:rPr>
        <w:t>F</w:t>
      </w:r>
      <w:r w:rsidRPr="001A7355">
        <w:rPr>
          <w:rStyle w:val="normaltextrun"/>
          <w:szCs w:val="18"/>
          <w:shd w:val="clear" w:color="auto" w:fill="FFFFFF"/>
          <w:lang w:val="es-419"/>
        </w:rPr>
        <w:t xml:space="preserve">inal de </w:t>
      </w:r>
      <w:r w:rsidR="001A7355">
        <w:rPr>
          <w:rStyle w:val="normaltextrun"/>
          <w:szCs w:val="18"/>
          <w:shd w:val="clear" w:color="auto" w:fill="FFFFFF"/>
          <w:lang w:val="es-419"/>
        </w:rPr>
        <w:t>P</w:t>
      </w:r>
      <w:r w:rsidRPr="001A7355">
        <w:rPr>
          <w:rStyle w:val="normaltextrun"/>
          <w:szCs w:val="18"/>
          <w:shd w:val="clear" w:color="auto" w:fill="FFFFFF"/>
          <w:lang w:val="es-419"/>
        </w:rPr>
        <w:t>az: 5 años de</w:t>
      </w:r>
      <w:r w:rsidR="009A1476" w:rsidRPr="001A7355">
        <w:rPr>
          <w:rStyle w:val="normaltextrun"/>
          <w:szCs w:val="18"/>
          <w:shd w:val="clear" w:color="auto" w:fill="FFFFFF"/>
          <w:lang w:val="es-419"/>
        </w:rPr>
        <w:t xml:space="preserve"> incumplimiento</w:t>
      </w:r>
      <w:r w:rsidR="009766D4" w:rsidRPr="001A7355">
        <w:rPr>
          <w:rStyle w:val="normaltextrun"/>
          <w:szCs w:val="18"/>
          <w:shd w:val="clear" w:color="auto" w:fill="FFFFFF"/>
          <w:lang w:val="es-419"/>
        </w:rPr>
        <w:t>”</w:t>
      </w:r>
      <w:r w:rsidRPr="001A7355">
        <w:rPr>
          <w:rStyle w:val="normaltextrun"/>
          <w:szCs w:val="18"/>
          <w:shd w:val="clear" w:color="auto" w:fill="FFFFFF"/>
          <w:lang w:val="es-419"/>
        </w:rPr>
        <w:t>.</w:t>
      </w:r>
    </w:p>
  </w:footnote>
  <w:footnote w:id="36">
    <w:p w14:paraId="6D90E536" w14:textId="2EEDEAE0" w:rsidR="00204A5B" w:rsidRPr="00430F3A" w:rsidRDefault="00204A5B" w:rsidP="00820720">
      <w:pPr>
        <w:pStyle w:val="FootnoteText"/>
        <w:tabs>
          <w:tab w:val="clear" w:pos="1021"/>
          <w:tab w:val="right" w:pos="1020"/>
        </w:tabs>
        <w:rPr>
          <w:szCs w:val="18"/>
          <w:lang w:val="es-CO"/>
        </w:rPr>
      </w:pPr>
      <w:r w:rsidRPr="00430F3A">
        <w:rPr>
          <w:szCs w:val="18"/>
          <w:lang w:val="es-CO"/>
        </w:rPr>
        <w:tab/>
      </w:r>
      <w:r w:rsidRPr="00430F3A">
        <w:rPr>
          <w:rStyle w:val="FootnoteReference"/>
          <w:szCs w:val="18"/>
        </w:rPr>
        <w:footnoteRef/>
      </w:r>
      <w:r w:rsidR="00A3501E">
        <w:rPr>
          <w:szCs w:val="18"/>
          <w:lang w:val="es-CO"/>
        </w:rPr>
        <w:tab/>
      </w:r>
      <w:r w:rsidR="001A7355">
        <w:rPr>
          <w:szCs w:val="18"/>
          <w:lang w:val="es-CO"/>
        </w:rPr>
        <w:t xml:space="preserve">Véase </w:t>
      </w:r>
      <w:r w:rsidR="00F36303">
        <w:fldChar w:fldCharType="begin"/>
      </w:r>
      <w:r w:rsidR="00F36303" w:rsidRPr="00F36303">
        <w:rPr>
          <w:lang w:val="fr-CH"/>
        </w:rPr>
        <w:instrText>HYPERLINK "file:///C:\\Users\\merino\\Downloads\\www.unidadvictimas.gov.co\\es\\institucional\\acuerdo-con-estados-unidos-sera-fundamental-para-las-comunidades-etnicas-en-colombia"</w:instrText>
      </w:r>
      <w:r w:rsidR="00F36303">
        <w:fldChar w:fldCharType="separate"/>
      </w:r>
      <w:r w:rsidR="001A7355" w:rsidRPr="001A7355">
        <w:rPr>
          <w:rStyle w:val="Hyperlink"/>
          <w:szCs w:val="18"/>
          <w:shd w:val="clear" w:color="auto" w:fill="FFFFFF"/>
          <w:lang w:val="es-CO"/>
        </w:rPr>
        <w:t>www.unidadvictimas.gov.co/es/institucional/acuerdo-con-estados-unidos-sera-fundamental-para-las-comunidades-etnicas-en-colombia</w:t>
      </w:r>
      <w:r w:rsidR="00F36303">
        <w:rPr>
          <w:rStyle w:val="Hyperlink"/>
          <w:szCs w:val="18"/>
          <w:shd w:val="clear" w:color="auto" w:fill="FFFFFF"/>
          <w:lang w:val="es-CO"/>
        </w:rPr>
        <w:fldChar w:fldCharType="end"/>
      </w:r>
      <w:r w:rsidR="006335DE" w:rsidRPr="00430F3A">
        <w:rPr>
          <w:rStyle w:val="normaltextrun"/>
          <w:szCs w:val="18"/>
          <w:shd w:val="clear" w:color="auto" w:fill="FFFFFF"/>
          <w:lang w:val="es-CO"/>
        </w:rPr>
        <w:t>.</w:t>
      </w:r>
    </w:p>
  </w:footnote>
  <w:footnote w:id="37">
    <w:p w14:paraId="4BF0518B" w14:textId="73D4283C" w:rsidR="00204A5B" w:rsidRPr="00430F3A" w:rsidRDefault="00204A5B" w:rsidP="00820720">
      <w:pPr>
        <w:pStyle w:val="FootnoteText"/>
        <w:tabs>
          <w:tab w:val="clear" w:pos="1021"/>
          <w:tab w:val="right" w:pos="1020"/>
        </w:tabs>
        <w:rPr>
          <w:szCs w:val="18"/>
          <w:lang w:val="es-419"/>
        </w:rPr>
      </w:pPr>
      <w:r w:rsidRPr="00430F3A">
        <w:rPr>
          <w:szCs w:val="18"/>
          <w:lang w:val="es-CO"/>
        </w:rPr>
        <w:tab/>
      </w:r>
      <w:r w:rsidRPr="00430F3A">
        <w:rPr>
          <w:rStyle w:val="FootnoteReference"/>
          <w:szCs w:val="18"/>
        </w:rPr>
        <w:footnoteRef/>
      </w:r>
      <w:r w:rsidR="00A3501E">
        <w:rPr>
          <w:szCs w:val="18"/>
          <w:lang w:val="es-ES"/>
        </w:rPr>
        <w:tab/>
      </w:r>
      <w:r w:rsidRPr="00430F3A">
        <w:rPr>
          <w:szCs w:val="18"/>
          <w:lang w:val="es-419"/>
        </w:rPr>
        <w:t>Para una definición de lo que se entiende por “masacres”, véase E/CN.4/2000/11, párr. 27.</w:t>
      </w:r>
    </w:p>
  </w:footnote>
  <w:footnote w:id="38">
    <w:p w14:paraId="18FF09EC" w14:textId="07E4A7BC" w:rsidR="00204A5B" w:rsidRPr="00430F3A" w:rsidRDefault="00204A5B" w:rsidP="00820720">
      <w:pPr>
        <w:pStyle w:val="FootnoteText"/>
        <w:tabs>
          <w:tab w:val="clear" w:pos="1021"/>
          <w:tab w:val="right" w:pos="1020"/>
        </w:tabs>
        <w:rPr>
          <w:szCs w:val="18"/>
          <w:lang w:val="es-419"/>
        </w:rPr>
      </w:pPr>
      <w:r w:rsidRPr="00430F3A">
        <w:rPr>
          <w:szCs w:val="18"/>
          <w:lang w:val="es-419"/>
        </w:rPr>
        <w:tab/>
      </w:r>
      <w:r w:rsidRPr="00430F3A">
        <w:rPr>
          <w:rStyle w:val="FootnoteReference"/>
          <w:szCs w:val="18"/>
        </w:rPr>
        <w:footnoteRef/>
      </w:r>
      <w:r w:rsidRPr="00430F3A">
        <w:rPr>
          <w:szCs w:val="18"/>
          <w:lang w:val="es-419"/>
        </w:rPr>
        <w:tab/>
      </w:r>
      <w:r w:rsidR="001A7355">
        <w:rPr>
          <w:szCs w:val="18"/>
          <w:lang w:val="es-419"/>
        </w:rPr>
        <w:t xml:space="preserve">Véanse </w:t>
      </w:r>
      <w:r w:rsidR="00F36303">
        <w:fldChar w:fldCharType="begin"/>
      </w:r>
      <w:r w:rsidR="00F36303" w:rsidRPr="00F36303">
        <w:rPr>
          <w:lang w:val="fr-CH"/>
        </w:rPr>
        <w:instrText>HYPERLINK "file:///C:\\Users\\merino\\Downloads\\www.humanitarianresponse.info\\sites\\www.humanitarianresponse.info\\files\\documents\\files\\informe_impacto_y_tendencias_ene-ago_2022_vf.pdf"</w:instrText>
      </w:r>
      <w:r w:rsidR="00F36303">
        <w:fldChar w:fldCharType="separate"/>
      </w:r>
      <w:r w:rsidR="001A7355" w:rsidRPr="001A7355">
        <w:rPr>
          <w:rStyle w:val="Hyperlink"/>
          <w:szCs w:val="18"/>
          <w:lang w:val="es-419"/>
        </w:rPr>
        <w:t>www.humanitarianresponse.info/sites/www.humanitarianresponse.info/files/documents/</w:t>
      </w:r>
      <w:r w:rsidR="001A7355" w:rsidRPr="001A7355">
        <w:rPr>
          <w:rStyle w:val="Hyperlink"/>
          <w:szCs w:val="18"/>
          <w:lang w:val="es-419"/>
        </w:rPr>
        <w:br/>
        <w:t>files/informe_impacto_y_tendencias_ene-ago_2022_vf.pdf</w:t>
      </w:r>
      <w:r w:rsidR="00F36303">
        <w:rPr>
          <w:rStyle w:val="Hyperlink"/>
          <w:szCs w:val="18"/>
          <w:lang w:val="es-419"/>
        </w:rPr>
        <w:fldChar w:fldCharType="end"/>
      </w:r>
      <w:r w:rsidR="001A7355">
        <w:rPr>
          <w:szCs w:val="18"/>
          <w:lang w:val="es-419"/>
        </w:rPr>
        <w:t xml:space="preserve"> y</w:t>
      </w:r>
      <w:r w:rsidRPr="00430F3A">
        <w:rPr>
          <w:szCs w:val="18"/>
          <w:lang w:val="es-419"/>
        </w:rPr>
        <w:t xml:space="preserve"> </w:t>
      </w:r>
      <w:hyperlink r:id="rId7" w:history="1">
        <w:r w:rsidRPr="003344C1">
          <w:rPr>
            <w:rStyle w:val="Hyperlink"/>
            <w:szCs w:val="18"/>
            <w:lang w:val="es-419"/>
          </w:rPr>
          <w:t>https://reliefweb.int/report/colombia/informe-tendencias-e-impacto-humanitario-en-colombia-2022-fecha-de-corte-enero-septiembre-de-2022-fecha-de-publicacion-24-de-octubre-de-2022</w:t>
        </w:r>
      </w:hyperlink>
      <w:r w:rsidRPr="00430F3A">
        <w:rPr>
          <w:szCs w:val="18"/>
          <w:lang w:val="es-419"/>
        </w:rPr>
        <w:t>.</w:t>
      </w:r>
    </w:p>
  </w:footnote>
  <w:footnote w:id="39">
    <w:p w14:paraId="741E153C" w14:textId="4D7DFAE6" w:rsidR="00204A5B" w:rsidRPr="00A3501E" w:rsidRDefault="00204A5B" w:rsidP="00820720">
      <w:pPr>
        <w:pStyle w:val="FootnoteText"/>
        <w:tabs>
          <w:tab w:val="clear" w:pos="1021"/>
          <w:tab w:val="right" w:pos="1020"/>
        </w:tabs>
        <w:rPr>
          <w:szCs w:val="18"/>
          <w:lang w:val="es-419"/>
        </w:rPr>
      </w:pPr>
      <w:r w:rsidRPr="00430F3A">
        <w:rPr>
          <w:szCs w:val="18"/>
          <w:lang w:val="es-419"/>
        </w:rPr>
        <w:tab/>
      </w:r>
      <w:r w:rsidRPr="00430F3A">
        <w:rPr>
          <w:rStyle w:val="FootnoteReference"/>
          <w:szCs w:val="18"/>
        </w:rPr>
        <w:footnoteRef/>
      </w:r>
      <w:r w:rsidR="00335BE8">
        <w:rPr>
          <w:lang w:val="es-419"/>
        </w:rPr>
        <w:tab/>
      </w:r>
      <w:r w:rsidR="001A7355">
        <w:rPr>
          <w:lang w:val="es-419"/>
        </w:rPr>
        <w:t xml:space="preserve">Véase </w:t>
      </w:r>
      <w:r w:rsidR="00F36303">
        <w:fldChar w:fldCharType="begin"/>
      </w:r>
      <w:r w:rsidR="00F36303" w:rsidRPr="00F36303">
        <w:rPr>
          <w:lang w:val="fr-CH"/>
        </w:rPr>
        <w:instrText>HYPERLINK "https://reliefweb.int/report/colombia/colombia-impacto-y-tendencias-humanitarias-entre-enero-diciembre-de-2021-08-de"</w:instrText>
      </w:r>
      <w:r w:rsidR="00F36303">
        <w:fldChar w:fldCharType="separate"/>
      </w:r>
      <w:r w:rsidRPr="003344C1">
        <w:rPr>
          <w:rStyle w:val="Hyperlink"/>
          <w:szCs w:val="18"/>
          <w:lang w:val="es-419"/>
        </w:rPr>
        <w:t>https://reliefweb.int/report/colombia/colombia-impacto-y-tendencias-humanitarias-entre-enero-diciembre-de-2021-08-de</w:t>
      </w:r>
      <w:r w:rsidR="00F36303">
        <w:rPr>
          <w:rStyle w:val="Hyperlink"/>
          <w:szCs w:val="18"/>
          <w:lang w:val="es-419"/>
        </w:rPr>
        <w:fldChar w:fldCharType="end"/>
      </w:r>
      <w:r w:rsidRPr="00A3501E">
        <w:rPr>
          <w:szCs w:val="18"/>
          <w:lang w:val="es-419"/>
        </w:rPr>
        <w:t>.</w:t>
      </w:r>
    </w:p>
  </w:footnote>
  <w:footnote w:id="40">
    <w:p w14:paraId="25BD0787" w14:textId="7B0D50CA" w:rsidR="005204F8" w:rsidRPr="00A3501E" w:rsidRDefault="005204F8" w:rsidP="005204F8">
      <w:pPr>
        <w:pStyle w:val="FootnoteText"/>
        <w:widowControl w:val="0"/>
        <w:tabs>
          <w:tab w:val="clear" w:pos="1021"/>
          <w:tab w:val="right" w:pos="1020"/>
        </w:tabs>
        <w:rPr>
          <w:szCs w:val="18"/>
          <w:lang w:val="es-419"/>
        </w:rPr>
      </w:pPr>
      <w:r w:rsidRPr="00A3501E">
        <w:rPr>
          <w:szCs w:val="18"/>
          <w:lang w:val="es-419"/>
        </w:rPr>
        <w:tab/>
      </w:r>
      <w:r w:rsidRPr="00A3501E">
        <w:rPr>
          <w:rStyle w:val="FootnoteReference"/>
          <w:szCs w:val="18"/>
        </w:rPr>
        <w:footnoteRef/>
      </w:r>
      <w:r w:rsidR="00335BE8">
        <w:rPr>
          <w:szCs w:val="18"/>
          <w:lang w:val="es-419"/>
        </w:rPr>
        <w:tab/>
      </w:r>
      <w:r w:rsidR="001A7355">
        <w:rPr>
          <w:lang w:val="es-419"/>
        </w:rPr>
        <w:t xml:space="preserve">Véase </w:t>
      </w:r>
      <w:r w:rsidR="00F36303">
        <w:fldChar w:fldCharType="begin"/>
      </w:r>
      <w:r w:rsidR="00F36303" w:rsidRPr="00F36303">
        <w:rPr>
          <w:lang w:val="fr-CH"/>
        </w:rPr>
        <w:instrText>HYPERLINK "https://reliefweb.int/attachments/7886001b-f5cc-43b5-9df0-efa08df26cfe/informe_impacto_y_tendencias_ene_dic_2022_vf.pdf"</w:instrText>
      </w:r>
      <w:r w:rsidR="00F36303">
        <w:fldChar w:fldCharType="separate"/>
      </w:r>
      <w:r w:rsidRPr="003344C1">
        <w:rPr>
          <w:rStyle w:val="Hyperlink"/>
          <w:szCs w:val="18"/>
          <w:lang w:val="es-419"/>
        </w:rPr>
        <w:t>https://reliefweb.int/attachments/7886001b-f5cc-43b5-9df0-efa08df26cfe/informe_impacto_y_tendencias_ene_dic_2022_vf.pdf</w:t>
      </w:r>
      <w:r w:rsidR="00F36303">
        <w:rPr>
          <w:rStyle w:val="Hyperlink"/>
          <w:szCs w:val="18"/>
          <w:lang w:val="es-419"/>
        </w:rPr>
        <w:fldChar w:fldCharType="end"/>
      </w:r>
      <w:r w:rsidR="006335DE" w:rsidRPr="00A3501E">
        <w:rPr>
          <w:szCs w:val="18"/>
          <w:lang w:val="es-419"/>
        </w:rPr>
        <w:t>.</w:t>
      </w:r>
    </w:p>
  </w:footnote>
  <w:footnote w:id="41">
    <w:p w14:paraId="389B6B64" w14:textId="31A21529" w:rsidR="00702D97" w:rsidRPr="00FF30D2" w:rsidRDefault="00702D97" w:rsidP="00702D97">
      <w:pPr>
        <w:pStyle w:val="FootnoteText"/>
        <w:widowControl w:val="0"/>
        <w:tabs>
          <w:tab w:val="clear" w:pos="1021"/>
          <w:tab w:val="right" w:pos="1020"/>
        </w:tabs>
        <w:rPr>
          <w:lang w:val="es-419"/>
        </w:rPr>
      </w:pPr>
      <w:r w:rsidRPr="00FF30D2">
        <w:rPr>
          <w:lang w:val="es-419"/>
        </w:rPr>
        <w:tab/>
      </w:r>
      <w:r>
        <w:rPr>
          <w:rStyle w:val="FootnoteReference"/>
        </w:rPr>
        <w:footnoteRef/>
      </w:r>
      <w:r w:rsidRPr="00FF30D2">
        <w:rPr>
          <w:lang w:val="es-419"/>
        </w:rPr>
        <w:tab/>
      </w:r>
      <w:r w:rsidR="001A7355">
        <w:rPr>
          <w:lang w:val="es-419"/>
        </w:rPr>
        <w:t>S/2022/1004, párrs. 54 y 55</w:t>
      </w:r>
      <w:r w:rsidR="00C2620D">
        <w:rPr>
          <w:lang w:val="es-419"/>
        </w:rPr>
        <w:t>.</w:t>
      </w:r>
    </w:p>
  </w:footnote>
  <w:footnote w:id="42">
    <w:p w14:paraId="17EE98F3" w14:textId="32128B6E" w:rsidR="00345B7C" w:rsidRPr="00345B7C" w:rsidRDefault="00345B7C" w:rsidP="00345B7C">
      <w:pPr>
        <w:pStyle w:val="FootnoteText"/>
        <w:widowControl w:val="0"/>
        <w:tabs>
          <w:tab w:val="clear" w:pos="1021"/>
          <w:tab w:val="right" w:pos="1020"/>
        </w:tabs>
        <w:rPr>
          <w:lang w:val="es-ES"/>
        </w:rPr>
      </w:pPr>
      <w:r w:rsidRPr="00FF30D2">
        <w:rPr>
          <w:lang w:val="es-419"/>
        </w:rPr>
        <w:tab/>
      </w:r>
      <w:r>
        <w:rPr>
          <w:rStyle w:val="FootnoteReference"/>
        </w:rPr>
        <w:footnoteRef/>
      </w:r>
      <w:r w:rsidRPr="00345B7C">
        <w:rPr>
          <w:lang w:val="es-ES"/>
        </w:rPr>
        <w:tab/>
        <w:t xml:space="preserve">Protocolo Facultativo de la Convención sobre los Derechos del Niño relativo a la participación de niños en </w:t>
      </w:r>
      <w:r w:rsidR="003B3CA2">
        <w:rPr>
          <w:lang w:val="es-ES"/>
        </w:rPr>
        <w:t>los conflictos armados, art</w:t>
      </w:r>
      <w:r w:rsidRPr="00345B7C">
        <w:rPr>
          <w:lang w:val="es-ES"/>
        </w:rPr>
        <w:t>s</w:t>
      </w:r>
      <w:r w:rsidR="003B3CA2">
        <w:rPr>
          <w:lang w:val="es-ES"/>
        </w:rPr>
        <w:t>.</w:t>
      </w:r>
      <w:r w:rsidRPr="00345B7C">
        <w:rPr>
          <w:lang w:val="es-ES"/>
        </w:rPr>
        <w:t xml:space="preserve"> 4 y 6.</w:t>
      </w:r>
    </w:p>
  </w:footnote>
  <w:footnote w:id="43">
    <w:p w14:paraId="57EAB77B" w14:textId="0C7BC405" w:rsidR="000C67E1" w:rsidRPr="00430F3A" w:rsidRDefault="000C67E1" w:rsidP="000C67E1">
      <w:pPr>
        <w:pStyle w:val="FootnoteText"/>
        <w:widowControl w:val="0"/>
        <w:tabs>
          <w:tab w:val="clear" w:pos="1021"/>
          <w:tab w:val="right" w:pos="1020"/>
        </w:tabs>
        <w:rPr>
          <w:szCs w:val="18"/>
          <w:lang w:val="es-ES"/>
        </w:rPr>
      </w:pPr>
      <w:r w:rsidRPr="00430F3A">
        <w:rPr>
          <w:szCs w:val="18"/>
          <w:lang w:val="es-ES"/>
        </w:rPr>
        <w:tab/>
      </w:r>
      <w:r w:rsidRPr="00430F3A">
        <w:rPr>
          <w:rStyle w:val="FootnoteReference"/>
          <w:szCs w:val="18"/>
        </w:rPr>
        <w:footnoteRef/>
      </w:r>
      <w:r w:rsidR="00974DE4">
        <w:rPr>
          <w:szCs w:val="18"/>
          <w:lang w:val="es-ES"/>
        </w:rPr>
        <w:tab/>
      </w:r>
      <w:r w:rsidR="000F7E08">
        <w:rPr>
          <w:szCs w:val="18"/>
          <w:lang w:val="es-ES"/>
        </w:rPr>
        <w:t>Observaciones</w:t>
      </w:r>
      <w:r w:rsidRPr="00430F3A">
        <w:rPr>
          <w:szCs w:val="18"/>
          <w:lang w:val="es-ES"/>
        </w:rPr>
        <w:t xml:space="preserve"> </w:t>
      </w:r>
      <w:r w:rsidR="00C319C2">
        <w:rPr>
          <w:szCs w:val="18"/>
          <w:lang w:val="es-ES"/>
        </w:rPr>
        <w:t>de Colombia</w:t>
      </w:r>
      <w:r w:rsidRPr="00430F3A">
        <w:rPr>
          <w:szCs w:val="18"/>
          <w:lang w:val="es-ES"/>
        </w:rPr>
        <w:t>, entregadas el 20 de febrero de 2023.</w:t>
      </w:r>
    </w:p>
  </w:footnote>
  <w:footnote w:id="44">
    <w:p w14:paraId="5C59335F" w14:textId="4B9449F7" w:rsidR="000C67E1" w:rsidRPr="00430F3A" w:rsidRDefault="000C67E1" w:rsidP="000C67E1">
      <w:pPr>
        <w:pStyle w:val="FootnoteText"/>
        <w:widowControl w:val="0"/>
        <w:tabs>
          <w:tab w:val="clear" w:pos="1021"/>
          <w:tab w:val="right" w:pos="1020"/>
        </w:tabs>
        <w:rPr>
          <w:szCs w:val="18"/>
          <w:lang w:val="es-ES"/>
        </w:rPr>
      </w:pPr>
      <w:r w:rsidRPr="00430F3A">
        <w:rPr>
          <w:szCs w:val="18"/>
          <w:lang w:val="es-CO"/>
        </w:rPr>
        <w:tab/>
      </w:r>
      <w:r w:rsidRPr="00430F3A">
        <w:rPr>
          <w:rStyle w:val="FootnoteReference"/>
          <w:szCs w:val="18"/>
        </w:rPr>
        <w:footnoteRef/>
      </w:r>
      <w:r w:rsidR="00642490">
        <w:rPr>
          <w:szCs w:val="18"/>
          <w:lang w:val="es-ES"/>
        </w:rPr>
        <w:tab/>
      </w:r>
      <w:r w:rsidRPr="00430F3A">
        <w:rPr>
          <w:szCs w:val="18"/>
          <w:lang w:val="es-ES"/>
        </w:rPr>
        <w:t>Comunicación recibida el 14 de febrero de 2023.</w:t>
      </w:r>
    </w:p>
  </w:footnote>
  <w:footnote w:id="45">
    <w:p w14:paraId="011C8C07" w14:textId="7D049482" w:rsidR="00B50D60" w:rsidRPr="00430F3A" w:rsidRDefault="00B50D60" w:rsidP="00B50D60">
      <w:pPr>
        <w:pStyle w:val="FootnoteText"/>
        <w:widowControl w:val="0"/>
        <w:tabs>
          <w:tab w:val="clear" w:pos="1021"/>
          <w:tab w:val="right" w:pos="1020"/>
        </w:tabs>
        <w:rPr>
          <w:szCs w:val="18"/>
          <w:lang w:val="es-CO"/>
        </w:rPr>
      </w:pPr>
      <w:r w:rsidRPr="00430F3A">
        <w:rPr>
          <w:szCs w:val="18"/>
          <w:lang w:val="es-CO"/>
        </w:rPr>
        <w:tab/>
      </w:r>
      <w:r w:rsidRPr="00430F3A">
        <w:rPr>
          <w:rStyle w:val="FootnoteReference"/>
          <w:szCs w:val="18"/>
        </w:rPr>
        <w:footnoteRef/>
      </w:r>
      <w:r w:rsidR="00642490">
        <w:rPr>
          <w:szCs w:val="18"/>
          <w:lang w:val="es-CO"/>
        </w:rPr>
        <w:tab/>
      </w:r>
      <w:r w:rsidR="005D34D6">
        <w:rPr>
          <w:szCs w:val="18"/>
          <w:lang w:val="es-CO"/>
        </w:rPr>
        <w:t xml:space="preserve">Véase </w:t>
      </w:r>
      <w:r w:rsidR="00F36303">
        <w:fldChar w:fldCharType="begin"/>
      </w:r>
      <w:r w:rsidR="00F36303" w:rsidRPr="00F36303">
        <w:rPr>
          <w:lang w:val="fr-CH"/>
        </w:rPr>
        <w:instrText>HYPERLINK "file:///C:\\Users\\merino\\Downloads\\www.infobae.com\\america\\agencias\\2022\\08\\25\\colombia-suspende-bombardeos-cuando-haya-menores-de-edad\\"</w:instrText>
      </w:r>
      <w:r w:rsidR="00F36303">
        <w:fldChar w:fldCharType="separate"/>
      </w:r>
      <w:r w:rsidRPr="003344C1">
        <w:rPr>
          <w:rStyle w:val="Hyperlink"/>
          <w:szCs w:val="18"/>
          <w:lang w:val="es-CO"/>
        </w:rPr>
        <w:t>www.infobae.com/america/agencias/2022/08/25/colombia-suspende-bombardeos-cuando-haya-menores-de-edad/</w:t>
      </w:r>
      <w:r w:rsidR="00F36303">
        <w:rPr>
          <w:rStyle w:val="Hyperlink"/>
          <w:szCs w:val="18"/>
          <w:lang w:val="es-CO"/>
        </w:rPr>
        <w:fldChar w:fldCharType="end"/>
      </w:r>
      <w:r w:rsidRPr="00430F3A">
        <w:rPr>
          <w:szCs w:val="18"/>
          <w:lang w:val="es-CO"/>
        </w:rPr>
        <w:t>.</w:t>
      </w:r>
    </w:p>
  </w:footnote>
  <w:footnote w:id="46">
    <w:p w14:paraId="1EF57842" w14:textId="57805352" w:rsidR="00B50D60" w:rsidRPr="00430F3A" w:rsidRDefault="00B50D60" w:rsidP="000F569E">
      <w:pPr>
        <w:pStyle w:val="FootnoteText"/>
        <w:tabs>
          <w:tab w:val="clear" w:pos="1021"/>
          <w:tab w:val="right" w:pos="1020"/>
        </w:tabs>
        <w:jc w:val="both"/>
        <w:rPr>
          <w:szCs w:val="18"/>
          <w:lang w:val="es-ES"/>
        </w:rPr>
      </w:pPr>
      <w:r w:rsidRPr="00430F3A">
        <w:rPr>
          <w:szCs w:val="18"/>
          <w:lang w:val="es-CO"/>
        </w:rPr>
        <w:tab/>
      </w:r>
      <w:r w:rsidRPr="00430F3A">
        <w:rPr>
          <w:rStyle w:val="FootnoteReference"/>
          <w:szCs w:val="18"/>
        </w:rPr>
        <w:footnoteRef/>
      </w:r>
      <w:r w:rsidR="00C45ECC">
        <w:rPr>
          <w:szCs w:val="18"/>
          <w:lang w:val="es-ES"/>
        </w:rPr>
        <w:tab/>
      </w:r>
      <w:r w:rsidRPr="00430F3A">
        <w:rPr>
          <w:szCs w:val="18"/>
          <w:lang w:val="es-419"/>
        </w:rPr>
        <w:t>Auto 989/22</w:t>
      </w:r>
      <w:r w:rsidR="005D34D6">
        <w:rPr>
          <w:szCs w:val="18"/>
          <w:lang w:val="es-419"/>
        </w:rPr>
        <w:t xml:space="preserve"> de la Corte Constitucional, de 14 de julio de 2022</w:t>
      </w:r>
      <w:r w:rsidRPr="00430F3A">
        <w:rPr>
          <w:szCs w:val="18"/>
          <w:lang w:val="es-419"/>
        </w:rPr>
        <w:t>.</w:t>
      </w:r>
    </w:p>
  </w:footnote>
  <w:footnote w:id="47">
    <w:p w14:paraId="667E6E9A" w14:textId="42585A29" w:rsidR="00C44BEF" w:rsidRPr="00C44BEF" w:rsidRDefault="00C44BEF" w:rsidP="00C44BEF">
      <w:pPr>
        <w:pStyle w:val="FootnoteText"/>
        <w:widowControl w:val="0"/>
        <w:tabs>
          <w:tab w:val="clear" w:pos="1021"/>
          <w:tab w:val="right" w:pos="1020"/>
        </w:tabs>
        <w:rPr>
          <w:lang w:val="es-ES"/>
        </w:rPr>
      </w:pPr>
      <w:r w:rsidRPr="00FF30D2">
        <w:rPr>
          <w:lang w:val="es-ES"/>
        </w:rPr>
        <w:tab/>
      </w:r>
      <w:r>
        <w:rPr>
          <w:rStyle w:val="FootnoteReference"/>
        </w:rPr>
        <w:footnoteRef/>
      </w:r>
      <w:r w:rsidRPr="00C44BEF">
        <w:rPr>
          <w:lang w:val="es-ES"/>
        </w:rPr>
        <w:tab/>
      </w:r>
      <w:r w:rsidR="00BA27B2">
        <w:rPr>
          <w:lang w:val="es-ES"/>
        </w:rPr>
        <w:t>Véanse el c</w:t>
      </w:r>
      <w:r w:rsidRPr="00C44BEF">
        <w:rPr>
          <w:lang w:val="es-ES"/>
        </w:rPr>
        <w:t>onjunto de principios actualizado para la protección y la promoción de los derechos humanos mediante la lucha contra la impunidad</w:t>
      </w:r>
      <w:r w:rsidR="005D34D6">
        <w:rPr>
          <w:lang w:val="es-ES"/>
        </w:rPr>
        <w:t xml:space="preserve">; </w:t>
      </w:r>
      <w:r w:rsidRPr="00C44BEF">
        <w:rPr>
          <w:lang w:val="es-ES"/>
        </w:rPr>
        <w:t xml:space="preserve">; A/68/285; </w:t>
      </w:r>
      <w:r w:rsidR="005D34D6">
        <w:rPr>
          <w:lang w:val="es-ES"/>
        </w:rPr>
        <w:t xml:space="preserve">y </w:t>
      </w:r>
      <w:r w:rsidR="00BA27B2">
        <w:rPr>
          <w:lang w:val="es-ES"/>
        </w:rPr>
        <w:t xml:space="preserve">la resolución </w:t>
      </w:r>
      <w:r w:rsidR="00BA27B2" w:rsidRPr="00C44BEF">
        <w:rPr>
          <w:lang w:val="es-ES"/>
        </w:rPr>
        <w:t>de la Corte Interamericana de Derechos Humanos</w:t>
      </w:r>
      <w:r w:rsidR="00A80AA0">
        <w:rPr>
          <w:lang w:val="es-ES"/>
        </w:rPr>
        <w:t>,</w:t>
      </w:r>
      <w:r w:rsidR="00BA27B2" w:rsidRPr="00C44BEF">
        <w:rPr>
          <w:lang w:val="es-ES"/>
        </w:rPr>
        <w:t xml:space="preserve"> </w:t>
      </w:r>
      <w:r w:rsidR="00BA27B2">
        <w:rPr>
          <w:lang w:val="es-ES"/>
        </w:rPr>
        <w:t xml:space="preserve">de </w:t>
      </w:r>
      <w:r w:rsidR="00BA27B2" w:rsidRPr="00C44BEF">
        <w:rPr>
          <w:lang w:val="es-ES"/>
        </w:rPr>
        <w:t>17 de abril de 2015</w:t>
      </w:r>
      <w:r w:rsidR="007E6BAF">
        <w:rPr>
          <w:lang w:val="es-ES"/>
        </w:rPr>
        <w:t>,</w:t>
      </w:r>
      <w:r w:rsidR="005D34D6">
        <w:rPr>
          <w:lang w:val="es-ES"/>
        </w:rPr>
        <w:t xml:space="preserve"> </w:t>
      </w:r>
      <w:r w:rsidR="005D34D6" w:rsidRPr="00AB3D5F">
        <w:rPr>
          <w:i/>
          <w:iCs/>
          <w:lang w:val="es-ES"/>
        </w:rPr>
        <w:t>Radilla Pacheco, Fernández Ortega y otros</w:t>
      </w:r>
      <w:r w:rsidR="005D34D6" w:rsidRPr="005D34D6">
        <w:rPr>
          <w:lang w:val="es-ES"/>
        </w:rPr>
        <w:t>, y</w:t>
      </w:r>
      <w:r w:rsidR="005D34D6" w:rsidRPr="00AB3D5F">
        <w:rPr>
          <w:i/>
          <w:iCs/>
          <w:lang w:val="es-ES"/>
        </w:rPr>
        <w:t xml:space="preserve"> Rosendo Cantú y otra </w:t>
      </w:r>
      <w:r w:rsidR="005D34D6" w:rsidRPr="005D34D6">
        <w:rPr>
          <w:i/>
          <w:iCs/>
          <w:lang w:val="es-ES"/>
        </w:rPr>
        <w:t>vs.</w:t>
      </w:r>
      <w:r w:rsidR="005D34D6" w:rsidRPr="00AB3D5F">
        <w:rPr>
          <w:i/>
          <w:iCs/>
          <w:lang w:val="es-ES"/>
        </w:rPr>
        <w:t xml:space="preserve"> México</w:t>
      </w:r>
      <w:r w:rsidR="005D34D6">
        <w:rPr>
          <w:lang w:val="es-ES"/>
        </w:rPr>
        <w:t xml:space="preserve">, </w:t>
      </w:r>
      <w:r w:rsidR="007E6BAF">
        <w:rPr>
          <w:lang w:val="es-ES"/>
        </w:rPr>
        <w:t>s</w:t>
      </w:r>
      <w:r w:rsidR="005D34D6" w:rsidRPr="00C44BEF">
        <w:rPr>
          <w:lang w:val="es-ES"/>
        </w:rPr>
        <w:t xml:space="preserve">upervisión de cumplimiento de sentencia, </w:t>
      </w:r>
      <w:r w:rsidRPr="00C44BEF">
        <w:rPr>
          <w:lang w:val="es-ES"/>
        </w:rPr>
        <w:t>pág. 8</w:t>
      </w:r>
      <w:r w:rsidR="005D34D6">
        <w:rPr>
          <w:lang w:val="es-ES"/>
        </w:rPr>
        <w:t>, nota de pie de página 37</w:t>
      </w:r>
      <w:r w:rsidRPr="00C44BEF">
        <w:rPr>
          <w:lang w:val="es-ES"/>
        </w:rPr>
        <w:t>.</w:t>
      </w:r>
    </w:p>
  </w:footnote>
  <w:footnote w:id="48">
    <w:p w14:paraId="2583E08B" w14:textId="16C06F37" w:rsidR="002E2A6C" w:rsidRPr="00430F3A" w:rsidRDefault="002E2A6C" w:rsidP="00AB3D5F">
      <w:pPr>
        <w:pStyle w:val="FootnoteText"/>
        <w:tabs>
          <w:tab w:val="clear" w:pos="1021"/>
          <w:tab w:val="right" w:pos="1020"/>
        </w:tabs>
        <w:rPr>
          <w:szCs w:val="18"/>
          <w:lang w:val="es-ES"/>
        </w:rPr>
      </w:pPr>
      <w:r w:rsidRPr="00430F3A">
        <w:rPr>
          <w:szCs w:val="18"/>
          <w:lang w:val="es-ES"/>
        </w:rPr>
        <w:tab/>
      </w:r>
      <w:r w:rsidRPr="00430F3A">
        <w:rPr>
          <w:rStyle w:val="FootnoteReference"/>
          <w:szCs w:val="18"/>
        </w:rPr>
        <w:footnoteRef/>
      </w:r>
      <w:r w:rsidRPr="00430F3A">
        <w:rPr>
          <w:szCs w:val="18"/>
          <w:lang w:val="es-ES"/>
        </w:rPr>
        <w:tab/>
        <w:t>En 2022</w:t>
      </w:r>
      <w:r w:rsidR="008A2EB5">
        <w:rPr>
          <w:szCs w:val="18"/>
          <w:lang w:val="es-ES"/>
        </w:rPr>
        <w:t>,</w:t>
      </w:r>
      <w:r w:rsidRPr="00430F3A">
        <w:rPr>
          <w:szCs w:val="18"/>
          <w:lang w:val="es-ES"/>
        </w:rPr>
        <w:t xml:space="preserve"> la Defensoría del Pueblo documentó 215 homicidios de líderes y lideresas sociales</w:t>
      </w:r>
      <w:r w:rsidR="005D34D6">
        <w:rPr>
          <w:szCs w:val="18"/>
          <w:lang w:val="es-ES"/>
        </w:rPr>
        <w:t>. P</w:t>
      </w:r>
      <w:r w:rsidRPr="00430F3A">
        <w:rPr>
          <w:szCs w:val="18"/>
          <w:lang w:val="es-ES"/>
        </w:rPr>
        <w:t>or su parte</w:t>
      </w:r>
      <w:r w:rsidR="005D34D6">
        <w:rPr>
          <w:szCs w:val="18"/>
          <w:lang w:val="es-ES"/>
        </w:rPr>
        <w:t>,</w:t>
      </w:r>
      <w:r w:rsidRPr="00430F3A">
        <w:rPr>
          <w:szCs w:val="18"/>
          <w:lang w:val="es-ES"/>
        </w:rPr>
        <w:t xml:space="preserve"> </w:t>
      </w:r>
      <w:r w:rsidR="005D34D6">
        <w:rPr>
          <w:szCs w:val="18"/>
          <w:lang w:val="es-ES"/>
        </w:rPr>
        <w:t xml:space="preserve">el </w:t>
      </w:r>
      <w:r w:rsidRPr="00430F3A">
        <w:rPr>
          <w:szCs w:val="18"/>
          <w:lang w:val="es-ES"/>
        </w:rPr>
        <w:t>I</w:t>
      </w:r>
      <w:r w:rsidR="005D34D6">
        <w:rPr>
          <w:szCs w:val="18"/>
          <w:lang w:val="es-ES"/>
        </w:rPr>
        <w:t>nstituto de Estudios para el Desarrollo y la Paz</w:t>
      </w:r>
      <w:r w:rsidRPr="00430F3A">
        <w:rPr>
          <w:szCs w:val="18"/>
          <w:lang w:val="es-ES"/>
        </w:rPr>
        <w:t xml:space="preserve"> documentó 189 casos.</w:t>
      </w:r>
    </w:p>
  </w:footnote>
  <w:footnote w:id="49">
    <w:p w14:paraId="7F58768B" w14:textId="585B56B2" w:rsidR="00017BF4" w:rsidRPr="00ED50F9" w:rsidRDefault="00017BF4" w:rsidP="00017BF4">
      <w:pPr>
        <w:pStyle w:val="FootnoteText"/>
        <w:widowControl w:val="0"/>
        <w:tabs>
          <w:tab w:val="clear" w:pos="1021"/>
          <w:tab w:val="right" w:pos="1020"/>
        </w:tabs>
        <w:rPr>
          <w:lang w:val="es-ES"/>
        </w:rPr>
      </w:pPr>
      <w:r w:rsidRPr="00FF30D2">
        <w:rPr>
          <w:lang w:val="es-ES"/>
        </w:rPr>
        <w:tab/>
      </w:r>
      <w:r>
        <w:rPr>
          <w:rStyle w:val="FootnoteReference"/>
        </w:rPr>
        <w:footnoteRef/>
      </w:r>
      <w:r w:rsidRPr="00ED50F9">
        <w:rPr>
          <w:lang w:val="es-ES"/>
        </w:rPr>
        <w:tab/>
      </w:r>
      <w:r w:rsidR="00AA2296">
        <w:rPr>
          <w:szCs w:val="18"/>
          <w:lang w:val="es-ES"/>
        </w:rPr>
        <w:t xml:space="preserve">Véase el </w:t>
      </w:r>
      <w:r w:rsidR="00AA2296">
        <w:rPr>
          <w:szCs w:val="18"/>
          <w:lang w:val="es-419"/>
        </w:rPr>
        <w:t>a</w:t>
      </w:r>
      <w:r w:rsidR="00AA2296" w:rsidRPr="00430F3A">
        <w:rPr>
          <w:szCs w:val="18"/>
          <w:lang w:val="es-419"/>
        </w:rPr>
        <w:t xml:space="preserve">uto </w:t>
      </w:r>
      <w:r w:rsidRPr="00ED50F9">
        <w:rPr>
          <w:lang w:val="es-ES"/>
        </w:rPr>
        <w:t>538/22</w:t>
      </w:r>
      <w:r w:rsidR="00AA2296" w:rsidRPr="00AA2296">
        <w:rPr>
          <w:szCs w:val="18"/>
          <w:lang w:val="es-ES"/>
        </w:rPr>
        <w:t xml:space="preserve"> </w:t>
      </w:r>
      <w:r w:rsidR="00AA2296">
        <w:rPr>
          <w:szCs w:val="18"/>
          <w:lang w:val="es-419"/>
        </w:rPr>
        <w:t>de la Corte Constitucional, de 6 de abril de 2022</w:t>
      </w:r>
      <w:r w:rsidRPr="00ED50F9">
        <w:rPr>
          <w:lang w:val="es-ES"/>
        </w:rPr>
        <w:t>.</w:t>
      </w:r>
    </w:p>
  </w:footnote>
  <w:footnote w:id="50">
    <w:p w14:paraId="41467572" w14:textId="0F179F22" w:rsidR="00300CBC" w:rsidRPr="00ED50F9" w:rsidRDefault="00300CBC" w:rsidP="00300CBC">
      <w:pPr>
        <w:pStyle w:val="FootnoteText"/>
        <w:widowControl w:val="0"/>
        <w:tabs>
          <w:tab w:val="clear" w:pos="1021"/>
          <w:tab w:val="right" w:pos="1020"/>
        </w:tabs>
        <w:rPr>
          <w:lang w:val="es-ES"/>
        </w:rPr>
      </w:pPr>
      <w:r w:rsidRPr="00ED50F9">
        <w:rPr>
          <w:lang w:val="es-ES"/>
        </w:rPr>
        <w:tab/>
      </w:r>
      <w:r>
        <w:rPr>
          <w:rStyle w:val="FootnoteReference"/>
        </w:rPr>
        <w:footnoteRef/>
      </w:r>
      <w:r w:rsidRPr="00ED50F9">
        <w:rPr>
          <w:lang w:val="es-ES"/>
        </w:rPr>
        <w:tab/>
      </w:r>
      <w:r w:rsidR="007A6B53">
        <w:rPr>
          <w:lang w:val="es-ES"/>
        </w:rPr>
        <w:t xml:space="preserve">Véase </w:t>
      </w:r>
      <w:r w:rsidR="00F36303">
        <w:fldChar w:fldCharType="begin"/>
      </w:r>
      <w:r w:rsidR="00F36303" w:rsidRPr="00F36303">
        <w:rPr>
          <w:lang w:val="fr-CH"/>
        </w:rPr>
        <w:instrText>HYPERLINK "https://twitter.com/NoticiasCaracol/status/1565862788802781185?s=20&amp;t=_qXrym-NndVjpmWXRJKg4Q"</w:instrText>
      </w:r>
      <w:r w:rsidR="00F36303">
        <w:fldChar w:fldCharType="separate"/>
      </w:r>
      <w:r w:rsidRPr="0003720C">
        <w:rPr>
          <w:rStyle w:val="Hyperlink"/>
          <w:lang w:val="es-ES"/>
        </w:rPr>
        <w:t>https://twitter.com/NoticiasCaracol/status/1565862788802781185?s=20&amp;t=_qXrym-NndVjpmWXRJKg4Q</w:t>
      </w:r>
      <w:r w:rsidR="00F36303">
        <w:rPr>
          <w:rStyle w:val="Hyperlink"/>
          <w:lang w:val="es-ES"/>
        </w:rPr>
        <w:fldChar w:fldCharType="end"/>
      </w:r>
      <w:r w:rsidRPr="00ED50F9">
        <w:rPr>
          <w:lang w:val="es-ES"/>
        </w:rPr>
        <w:t>.</w:t>
      </w:r>
    </w:p>
  </w:footnote>
  <w:footnote w:id="51">
    <w:p w14:paraId="2759E213" w14:textId="4319D4EA" w:rsidR="00D94885" w:rsidRPr="001F1F57" w:rsidRDefault="00D94885" w:rsidP="00D94885">
      <w:pPr>
        <w:pStyle w:val="FootnoteText"/>
        <w:widowControl w:val="0"/>
        <w:tabs>
          <w:tab w:val="clear" w:pos="1021"/>
          <w:tab w:val="right" w:pos="1020"/>
        </w:tabs>
        <w:rPr>
          <w:lang w:val="es-ES"/>
        </w:rPr>
      </w:pPr>
      <w:r w:rsidRPr="00ED50F9">
        <w:rPr>
          <w:lang w:val="es-ES"/>
        </w:rPr>
        <w:tab/>
      </w:r>
      <w:r>
        <w:rPr>
          <w:rStyle w:val="FootnoteReference"/>
        </w:rPr>
        <w:footnoteRef/>
      </w:r>
      <w:r w:rsidRPr="001F1F57">
        <w:rPr>
          <w:lang w:val="es-ES"/>
        </w:rPr>
        <w:tab/>
      </w:r>
      <w:r w:rsidR="007A6B53" w:rsidRPr="00AB3D5F">
        <w:rPr>
          <w:rFonts w:asciiTheme="majorBidi" w:hAnsiTheme="majorBidi" w:cstheme="majorBidi"/>
          <w:lang w:val="es-ES"/>
        </w:rPr>
        <w:t>Véase la i</w:t>
      </w:r>
      <w:r w:rsidR="007A6B53" w:rsidRPr="00F36303">
        <w:rPr>
          <w:rFonts w:asciiTheme="majorBidi" w:hAnsiTheme="majorBidi" w:cstheme="majorBidi"/>
          <w:color w:val="000000"/>
          <w:shd w:val="clear" w:color="auto" w:fill="F5F5F1"/>
          <w:lang w:val="fr-CH"/>
        </w:rPr>
        <w:t xml:space="preserve">ntervención de Juliette De Rivero en audiencia pública de la Comisión para la Verificación de Garantías y Derechos Humanos de personas capturadas en el marco de la protesta, de la Cámara de Representantes, que puede consultarse en </w:t>
      </w:r>
      <w:r w:rsidRPr="00AB3D5F">
        <w:rPr>
          <w:rFonts w:asciiTheme="majorBidi" w:hAnsiTheme="majorBidi" w:cstheme="majorBidi"/>
          <w:lang w:val="es-ES"/>
        </w:rPr>
        <w:t>www.hchr.org.co/pronunciamientos/intervencion-de-juliette-de-rivero-en-audiencia-publica-de-la-comision-para-la-verificacion-de-garantias-y-derechos-humanos-de-personas-capturadas-en-el-marco-de-la-protesta-de-la-camara-de-represent/</w:t>
      </w:r>
      <w:r w:rsidRPr="001F1F57">
        <w:rPr>
          <w:lang w:val="es-ES"/>
        </w:rPr>
        <w:t>.</w:t>
      </w:r>
    </w:p>
  </w:footnote>
  <w:footnote w:id="52">
    <w:p w14:paraId="4FD2E432" w14:textId="28E329FB" w:rsidR="009E07A6" w:rsidRPr="00430F3A" w:rsidRDefault="009E07A6" w:rsidP="009B5168">
      <w:pPr>
        <w:pStyle w:val="FootnoteText"/>
        <w:tabs>
          <w:tab w:val="clear" w:pos="1021"/>
          <w:tab w:val="right" w:pos="1020"/>
        </w:tabs>
        <w:rPr>
          <w:szCs w:val="18"/>
          <w:lang w:val="es-ES"/>
        </w:rPr>
      </w:pPr>
      <w:r w:rsidRPr="00430F3A">
        <w:rPr>
          <w:szCs w:val="18"/>
          <w:lang w:val="es-ES"/>
        </w:rPr>
        <w:tab/>
      </w:r>
      <w:r w:rsidRPr="00430F3A">
        <w:rPr>
          <w:rStyle w:val="FootnoteReference"/>
          <w:szCs w:val="18"/>
        </w:rPr>
        <w:footnoteRef/>
      </w:r>
      <w:r w:rsidRPr="00430F3A">
        <w:rPr>
          <w:szCs w:val="18"/>
          <w:lang w:val="es-ES"/>
        </w:rPr>
        <w:tab/>
      </w:r>
      <w:r w:rsidR="00F36303">
        <w:fldChar w:fldCharType="begin"/>
      </w:r>
      <w:r w:rsidR="00F36303" w:rsidRPr="00F36303">
        <w:rPr>
          <w:lang w:val="es-ES"/>
        </w:rPr>
        <w:instrText>HYPERLINK "file:///C:\\Users\\merino\\Downloads\\www.infobae.com\\tag\\decreto-2422-de-2022\\"</w:instrText>
      </w:r>
      <w:r w:rsidR="00F36303">
        <w:fldChar w:fldCharType="separate"/>
      </w:r>
      <w:r w:rsidRPr="0003720C">
        <w:rPr>
          <w:rStyle w:val="Hyperlink"/>
          <w:szCs w:val="18"/>
          <w:lang w:val="es-ES"/>
        </w:rPr>
        <w:t>www.infobae.com/tag/decreto-2422-de-2022/</w:t>
      </w:r>
      <w:r w:rsidR="00F36303">
        <w:rPr>
          <w:rStyle w:val="Hyperlink"/>
          <w:szCs w:val="18"/>
          <w:lang w:val="es-ES"/>
        </w:rPr>
        <w:fldChar w:fldCharType="end"/>
      </w:r>
      <w:r w:rsidRPr="00430F3A">
        <w:rPr>
          <w:szCs w:val="18"/>
          <w:lang w:val="es-ES"/>
        </w:rPr>
        <w:t>.</w:t>
      </w:r>
    </w:p>
  </w:footnote>
  <w:footnote w:id="53">
    <w:p w14:paraId="24DB4332" w14:textId="4875E552" w:rsidR="003C50A2" w:rsidRPr="00FF30D2" w:rsidRDefault="003C50A2" w:rsidP="003C50A2">
      <w:pPr>
        <w:pStyle w:val="FootnoteText"/>
        <w:widowControl w:val="0"/>
        <w:tabs>
          <w:tab w:val="clear" w:pos="1021"/>
          <w:tab w:val="right" w:pos="1020"/>
        </w:tabs>
        <w:rPr>
          <w:lang w:val="es-ES"/>
        </w:rPr>
      </w:pPr>
      <w:r w:rsidRPr="00FF30D2">
        <w:rPr>
          <w:lang w:val="es-ES"/>
        </w:rPr>
        <w:tab/>
      </w:r>
      <w:r>
        <w:rPr>
          <w:rStyle w:val="FootnoteReference"/>
        </w:rPr>
        <w:footnoteRef/>
      </w:r>
      <w:r w:rsidRPr="00FF30D2">
        <w:rPr>
          <w:lang w:val="es-ES"/>
        </w:rPr>
        <w:tab/>
        <w:t xml:space="preserve"> </w:t>
      </w:r>
      <w:r w:rsidR="009D3C30">
        <w:rPr>
          <w:lang w:val="es-ES"/>
        </w:rPr>
        <w:t xml:space="preserve">Véase </w:t>
      </w:r>
      <w:r w:rsidR="00F36303">
        <w:fldChar w:fldCharType="begin"/>
      </w:r>
      <w:r w:rsidR="00F36303" w:rsidRPr="00F36303">
        <w:rPr>
          <w:lang w:val="fr-CH"/>
        </w:rPr>
        <w:instrText>HYPERLINK "file:///C:\\Users\\merino\\Downloads\\www.hchr.org.co\\wp\\w</w:instrText>
      </w:r>
      <w:r w:rsidR="00F36303" w:rsidRPr="00F36303">
        <w:rPr>
          <w:lang w:val="fr-CH"/>
        </w:rPr>
        <w:instrText>p-content\\uploads\\2022\\05\\211214-Colombia_Documento-lecciones-aprendidas-y-observaciones-Paro-Nacional-2021.pdf"</w:instrText>
      </w:r>
      <w:r w:rsidR="00F36303">
        <w:fldChar w:fldCharType="separate"/>
      </w:r>
      <w:r w:rsidRPr="0003720C">
        <w:rPr>
          <w:rStyle w:val="Hyperlink"/>
          <w:lang w:val="es-ES"/>
        </w:rPr>
        <w:t>www.hchr.org.co/wp/wp-content/uploads/2022/05/211214-Colombia_Documento-lecciones-aprendidas-y-observaciones-Paro-Nacional-2021.pdf</w:t>
      </w:r>
      <w:r w:rsidR="00F36303">
        <w:rPr>
          <w:rStyle w:val="Hyperlink"/>
          <w:lang w:val="es-ES"/>
        </w:rPr>
        <w:fldChar w:fldCharType="end"/>
      </w:r>
      <w:r w:rsidRPr="00FF30D2">
        <w:rPr>
          <w:lang w:val="es-ES"/>
        </w:rPr>
        <w:t>.</w:t>
      </w:r>
    </w:p>
  </w:footnote>
  <w:footnote w:id="54">
    <w:p w14:paraId="15175D9F" w14:textId="414C0B35" w:rsidR="008953CE" w:rsidRPr="00FF30D2" w:rsidRDefault="008953CE" w:rsidP="008953CE">
      <w:pPr>
        <w:pStyle w:val="FootnoteText"/>
        <w:widowControl w:val="0"/>
        <w:tabs>
          <w:tab w:val="clear" w:pos="1021"/>
          <w:tab w:val="right" w:pos="1020"/>
        </w:tabs>
        <w:rPr>
          <w:lang w:val="es-ES"/>
        </w:rPr>
      </w:pPr>
      <w:r w:rsidRPr="00FF30D2">
        <w:rPr>
          <w:lang w:val="es-ES"/>
        </w:rPr>
        <w:tab/>
      </w:r>
      <w:r>
        <w:rPr>
          <w:rStyle w:val="FootnoteReference"/>
        </w:rPr>
        <w:footnoteRef/>
      </w:r>
      <w:r w:rsidRPr="00FF30D2">
        <w:rPr>
          <w:lang w:val="es-ES"/>
        </w:rPr>
        <w:tab/>
      </w:r>
      <w:r w:rsidR="009D3C30">
        <w:rPr>
          <w:lang w:val="es-ES"/>
        </w:rPr>
        <w:t>Véase</w:t>
      </w:r>
      <w:r w:rsidRPr="00FF30D2">
        <w:rPr>
          <w:lang w:val="es-ES"/>
        </w:rPr>
        <w:t xml:space="preserve"> </w:t>
      </w:r>
      <w:hyperlink r:id="rId8" w:history="1">
        <w:r w:rsidR="009D3C30" w:rsidRPr="0003720C">
          <w:rPr>
            <w:rStyle w:val="Hyperlink"/>
            <w:lang w:val="es-ES"/>
          </w:rPr>
          <w:t>A/HRC/46/76</w:t>
        </w:r>
      </w:hyperlink>
      <w:r w:rsidRPr="00FF30D2">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F0E7" w14:textId="4A52C26C" w:rsidR="00E80EC7" w:rsidRPr="00E80EC7" w:rsidRDefault="00F36303">
    <w:pPr>
      <w:pStyle w:val="Header"/>
    </w:pPr>
    <w:r>
      <w:rPr>
        <w:noProof/>
      </w:rPr>
      <w:pict w14:anchorId="6C09A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4438" o:spid="_x0000_s1026" type="#_x0000_t136" style="position:absolute;margin-left:0;margin-top:0;width:680.25pt;height:81.75pt;rotation:315;z-index:-251655168;mso-position-horizontal:center;mso-position-horizontal-relative:margin;mso-position-vertical:center;mso-position-vertical-relative:margin" o:allowincell="f" fillcolor="#a5a5a5 [2092]" stroked="f">
          <v:fill opacity=".5"/>
          <v:textpath style="font-family:&quot;Times New Roman&quot;;font-size:1in" string="Advance edited version"/>
        </v:shape>
      </w:pict>
    </w:r>
    <w:fldSimple w:instr=" TITLE  \* MERGEFORMAT ">
      <w:r w:rsidR="00B836C4">
        <w:t>A/HRC/52/25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5DEA" w14:textId="55B2F11C" w:rsidR="00E80EC7" w:rsidRPr="00E80EC7" w:rsidRDefault="00F36303" w:rsidP="00E80EC7">
    <w:pPr>
      <w:pStyle w:val="Header"/>
      <w:jc w:val="right"/>
    </w:pPr>
    <w:r>
      <w:rPr>
        <w:noProof/>
      </w:rPr>
      <w:pict w14:anchorId="1C03B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4439" o:spid="_x0000_s1027" type="#_x0000_t136" style="position:absolute;left:0;text-align:left;margin-left:0;margin-top:0;width:680.25pt;height:81.75pt;rotation:315;z-index:-251653120;mso-position-horizontal:center;mso-position-horizontal-relative:margin;mso-position-vertical:center;mso-position-vertical-relative:margin" o:allowincell="f" fillcolor="#a5a5a5 [2092]" stroked="f">
          <v:fill opacity=".5"/>
          <v:textpath style="font-family:&quot;Times New Roman&quot;;font-size:1in" string="Advance edited version"/>
        </v:shape>
      </w:pict>
    </w:r>
    <w:r>
      <w:fldChar w:fldCharType="begin"/>
    </w:r>
    <w:r>
      <w:instrText xml:space="preserve"> TITLE  \* MERGEFORMAT </w:instrText>
    </w:r>
    <w:r>
      <w:fldChar w:fldCharType="separate"/>
    </w:r>
    <w:r w:rsidR="00B836C4">
      <w:t>A/HRC/52/25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C687C" w14:textId="5F6BE7F4" w:rsidR="00F36303" w:rsidRDefault="00F36303">
    <w:pPr>
      <w:pStyle w:val="Header"/>
    </w:pPr>
    <w:r>
      <w:rPr>
        <w:noProof/>
      </w:rPr>
      <w:pict w14:anchorId="687B5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4437" o:spid="_x0000_s1025" type="#_x0000_t136" style="position:absolute;margin-left:0;margin-top:0;width:680.25pt;height:81.75pt;rotation:315;z-index:-251657216;mso-position-horizontal:center;mso-position-horizontal-relative:margin;mso-position-vertical:center;mso-position-vertical-relative:margin" o:allowincell="f" fillcolor="#a5a5a5 [2092]" stroked="f">
          <v:fill opacity=".5"/>
          <v:textpath style="font-family:&quot;Times New Roman&quot;;font-size:1in" string="Advance 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5C255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9419B"/>
    <w:multiLevelType w:val="hybridMultilevel"/>
    <w:tmpl w:val="2B1C27C0"/>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29256AC"/>
    <w:multiLevelType w:val="hybridMultilevel"/>
    <w:tmpl w:val="FFAE63AC"/>
    <w:lvl w:ilvl="0" w:tplc="302ED708">
      <w:start w:val="1"/>
      <w:numFmt w:val="decimal"/>
      <w:lvlText w:val="%1."/>
      <w:lvlJc w:val="left"/>
      <w:pPr>
        <w:ind w:left="1070" w:hanging="360"/>
      </w:pPr>
      <w:rPr>
        <w:rFonts w:ascii="Times New Roman" w:hAnsi="Times New Roman" w:cs="Times New Roman"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4B79C5"/>
    <w:multiLevelType w:val="hybridMultilevel"/>
    <w:tmpl w:val="5090260E"/>
    <w:lvl w:ilvl="0" w:tplc="941EACCA">
      <w:start w:val="1"/>
      <w:numFmt w:val="upperRoman"/>
      <w:lvlText w:val="%1."/>
      <w:lvlJc w:val="left"/>
      <w:pPr>
        <w:ind w:left="1417" w:hanging="85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CA80DEF"/>
    <w:multiLevelType w:val="hybridMultilevel"/>
    <w:tmpl w:val="9FCE2432"/>
    <w:lvl w:ilvl="0" w:tplc="EAA0C3F2">
      <w:start w:val="33"/>
      <w:numFmt w:val="decimal"/>
      <w:lvlText w:val="%1."/>
      <w:lvlJc w:val="left"/>
      <w:pPr>
        <w:ind w:left="720" w:hanging="360"/>
      </w:pPr>
    </w:lvl>
    <w:lvl w:ilvl="1" w:tplc="C6924E54">
      <w:start w:val="1"/>
      <w:numFmt w:val="lowerLetter"/>
      <w:lvlText w:val="%2."/>
      <w:lvlJc w:val="left"/>
      <w:pPr>
        <w:ind w:left="1440" w:hanging="360"/>
      </w:pPr>
    </w:lvl>
    <w:lvl w:ilvl="2" w:tplc="55A0482C">
      <w:start w:val="1"/>
      <w:numFmt w:val="lowerRoman"/>
      <w:lvlText w:val="%3."/>
      <w:lvlJc w:val="right"/>
      <w:pPr>
        <w:ind w:left="2160" w:hanging="180"/>
      </w:pPr>
    </w:lvl>
    <w:lvl w:ilvl="3" w:tplc="378E92C4">
      <w:start w:val="1"/>
      <w:numFmt w:val="decimal"/>
      <w:lvlText w:val="%4."/>
      <w:lvlJc w:val="left"/>
      <w:pPr>
        <w:ind w:left="2880" w:hanging="360"/>
      </w:pPr>
    </w:lvl>
    <w:lvl w:ilvl="4" w:tplc="0D6C4F4E">
      <w:start w:val="1"/>
      <w:numFmt w:val="lowerLetter"/>
      <w:lvlText w:val="%5."/>
      <w:lvlJc w:val="left"/>
      <w:pPr>
        <w:ind w:left="3600" w:hanging="360"/>
      </w:pPr>
    </w:lvl>
    <w:lvl w:ilvl="5" w:tplc="C804F63C">
      <w:start w:val="1"/>
      <w:numFmt w:val="lowerRoman"/>
      <w:lvlText w:val="%6."/>
      <w:lvlJc w:val="right"/>
      <w:pPr>
        <w:ind w:left="4320" w:hanging="180"/>
      </w:pPr>
    </w:lvl>
    <w:lvl w:ilvl="6" w:tplc="E88247FE">
      <w:start w:val="1"/>
      <w:numFmt w:val="decimal"/>
      <w:lvlText w:val="%7."/>
      <w:lvlJc w:val="left"/>
      <w:pPr>
        <w:ind w:left="5040" w:hanging="360"/>
      </w:pPr>
    </w:lvl>
    <w:lvl w:ilvl="7" w:tplc="5AFAA4C6">
      <w:start w:val="1"/>
      <w:numFmt w:val="lowerLetter"/>
      <w:lvlText w:val="%8."/>
      <w:lvlJc w:val="left"/>
      <w:pPr>
        <w:ind w:left="5760" w:hanging="360"/>
      </w:pPr>
    </w:lvl>
    <w:lvl w:ilvl="8" w:tplc="BE1CBA64">
      <w:start w:val="1"/>
      <w:numFmt w:val="lowerRoman"/>
      <w:lvlText w:val="%9."/>
      <w:lvlJc w:val="right"/>
      <w:pPr>
        <w:ind w:left="6480" w:hanging="180"/>
      </w:pPr>
    </w:lvl>
  </w:abstractNum>
  <w:abstractNum w:abstractNumId="6"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FA55EAF"/>
    <w:multiLevelType w:val="hybridMultilevel"/>
    <w:tmpl w:val="ADEE0316"/>
    <w:lvl w:ilvl="0" w:tplc="AC0855C4">
      <w:start w:val="1"/>
      <w:numFmt w:val="upperLetter"/>
      <w:lvlText w:val="%1."/>
      <w:lvlJc w:val="left"/>
      <w:pPr>
        <w:ind w:left="720" w:hanging="360"/>
      </w:pPr>
      <w:rPr>
        <w:rFonts w:hint="default"/>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F91F36"/>
    <w:multiLevelType w:val="hybridMultilevel"/>
    <w:tmpl w:val="01880BF4"/>
    <w:lvl w:ilvl="0" w:tplc="EA429EB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C3F64"/>
    <w:multiLevelType w:val="hybridMultilevel"/>
    <w:tmpl w:val="93A49092"/>
    <w:lvl w:ilvl="0" w:tplc="240A0017">
      <w:start w:val="1"/>
      <w:numFmt w:val="lowerLetter"/>
      <w:lvlText w:val="%1)"/>
      <w:lvlJc w:val="left"/>
      <w:pPr>
        <w:ind w:left="107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937B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F606962"/>
    <w:multiLevelType w:val="hybridMultilevel"/>
    <w:tmpl w:val="AE2A1A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114EB"/>
    <w:multiLevelType w:val="hybridMultilevel"/>
    <w:tmpl w:val="D966B8B6"/>
    <w:lvl w:ilvl="0" w:tplc="FFFFFFFF">
      <w:start w:val="1"/>
      <w:numFmt w:val="decimal"/>
      <w:lvlText w:val="%1."/>
      <w:lvlJc w:val="left"/>
      <w:pPr>
        <w:ind w:left="107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B4417F"/>
    <w:multiLevelType w:val="hybridMultilevel"/>
    <w:tmpl w:val="CD26B420"/>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3B7A772C"/>
    <w:multiLevelType w:val="hybridMultilevel"/>
    <w:tmpl w:val="3B0482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A45765"/>
    <w:multiLevelType w:val="hybridMultilevel"/>
    <w:tmpl w:val="CD26B420"/>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40437B9A"/>
    <w:multiLevelType w:val="hybridMultilevel"/>
    <w:tmpl w:val="2C4CC1FA"/>
    <w:lvl w:ilvl="0" w:tplc="83EA13EA">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81F08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E722ABB"/>
    <w:multiLevelType w:val="hybridMultilevel"/>
    <w:tmpl w:val="D966B8B6"/>
    <w:lvl w:ilvl="0" w:tplc="FFFFFFFF">
      <w:start w:val="1"/>
      <w:numFmt w:val="decimal"/>
      <w:lvlText w:val="%1."/>
      <w:lvlJc w:val="left"/>
      <w:pPr>
        <w:ind w:left="107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B673FA5"/>
    <w:multiLevelType w:val="hybridMultilevel"/>
    <w:tmpl w:val="053657F2"/>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D07139B"/>
    <w:multiLevelType w:val="hybridMultilevel"/>
    <w:tmpl w:val="8B3E387E"/>
    <w:lvl w:ilvl="0" w:tplc="FFFFFFFF">
      <w:start w:val="1"/>
      <w:numFmt w:val="upperLetter"/>
      <w:lvlText w:val="%1."/>
      <w:lvlJc w:val="left"/>
      <w:pPr>
        <w:ind w:left="360" w:hanging="360"/>
      </w:pPr>
      <w:rPr>
        <w:b/>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C123388"/>
    <w:multiLevelType w:val="hybridMultilevel"/>
    <w:tmpl w:val="1DFA6420"/>
    <w:lvl w:ilvl="0" w:tplc="0E3ECC60">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684684"/>
    <w:multiLevelType w:val="hybridMultilevel"/>
    <w:tmpl w:val="B6E04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B6513C"/>
    <w:multiLevelType w:val="hybridMultilevel"/>
    <w:tmpl w:val="358C920A"/>
    <w:lvl w:ilvl="0" w:tplc="FFFFFFFF">
      <w:start w:val="1"/>
      <w:numFmt w:val="decimal"/>
      <w:lvlText w:val="%1."/>
      <w:lvlJc w:val="left"/>
      <w:pPr>
        <w:ind w:left="107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84891401">
    <w:abstractNumId w:val="14"/>
  </w:num>
  <w:num w:numId="2" w16cid:durableId="625500789">
    <w:abstractNumId w:val="10"/>
  </w:num>
  <w:num w:numId="3" w16cid:durableId="1030882170">
    <w:abstractNumId w:val="11"/>
  </w:num>
  <w:num w:numId="4" w16cid:durableId="1803840072">
    <w:abstractNumId w:val="19"/>
  </w:num>
  <w:num w:numId="5" w16cid:durableId="1971938958">
    <w:abstractNumId w:val="1"/>
  </w:num>
  <w:num w:numId="6" w16cid:durableId="622201221">
    <w:abstractNumId w:val="6"/>
  </w:num>
  <w:num w:numId="7" w16cid:durableId="1457598082">
    <w:abstractNumId w:val="0"/>
  </w:num>
  <w:num w:numId="8" w16cid:durableId="325521542">
    <w:abstractNumId w:val="5"/>
  </w:num>
  <w:num w:numId="9" w16cid:durableId="1667591890">
    <w:abstractNumId w:val="23"/>
  </w:num>
  <w:num w:numId="10" w16cid:durableId="147139118">
    <w:abstractNumId w:val="7"/>
  </w:num>
  <w:num w:numId="11" w16cid:durableId="1037007872">
    <w:abstractNumId w:val="22"/>
  </w:num>
  <w:num w:numId="12" w16cid:durableId="730079445">
    <w:abstractNumId w:val="18"/>
  </w:num>
  <w:num w:numId="13" w16cid:durableId="767314505">
    <w:abstractNumId w:val="13"/>
  </w:num>
  <w:num w:numId="14" w16cid:durableId="342323103">
    <w:abstractNumId w:val="17"/>
  </w:num>
  <w:num w:numId="15" w16cid:durableId="864252929">
    <w:abstractNumId w:val="8"/>
  </w:num>
  <w:num w:numId="16" w16cid:durableId="58092887">
    <w:abstractNumId w:val="25"/>
  </w:num>
  <w:num w:numId="17" w16cid:durableId="1331981905">
    <w:abstractNumId w:val="9"/>
  </w:num>
  <w:num w:numId="18" w16cid:durableId="585651950">
    <w:abstractNumId w:val="3"/>
  </w:num>
  <w:num w:numId="19" w16cid:durableId="1707410490">
    <w:abstractNumId w:val="20"/>
  </w:num>
  <w:num w:numId="20" w16cid:durableId="1657301045">
    <w:abstractNumId w:val="21"/>
  </w:num>
  <w:num w:numId="21" w16cid:durableId="2035495646">
    <w:abstractNumId w:val="15"/>
  </w:num>
  <w:num w:numId="22" w16cid:durableId="801583514">
    <w:abstractNumId w:val="4"/>
  </w:num>
  <w:num w:numId="23" w16cid:durableId="890463534">
    <w:abstractNumId w:val="12"/>
  </w:num>
  <w:num w:numId="24" w16cid:durableId="2022776290">
    <w:abstractNumId w:val="24"/>
  </w:num>
  <w:num w:numId="25" w16cid:durableId="1921713418">
    <w:abstractNumId w:val="2"/>
  </w:num>
  <w:num w:numId="26" w16cid:durableId="152089491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ctiveWritingStyle w:appName="MSWord" w:lang="en-GB" w:vendorID="64" w:dllVersion="5" w:nlCheck="1" w:checkStyle="1"/>
  <w:activeWritingStyle w:appName="MSWord" w:lang="en-GB" w:vendorID="64" w:dllVersion="6" w:nlCheck="1" w:checkStyle="0"/>
  <w:activeWritingStyle w:appName="MSWord" w:lang="es-ES" w:vendorID="64" w:dllVersion="6" w:nlCheck="1" w:checkStyle="0"/>
  <w:activeWritingStyle w:appName="MSWord" w:lang="es-ES" w:vendorID="64" w:dllVersion="0" w:nlCheck="1" w:checkStyle="0"/>
  <w:activeWritingStyle w:appName="MSWord" w:lang="en-GB" w:vendorID="64" w:dllVersion="0" w:nlCheck="1" w:checkStyle="0"/>
  <w:activeWritingStyle w:appName="MSWord" w:lang="es-CO" w:vendorID="64" w:dllVersion="0" w:nlCheck="1" w:checkStyle="0"/>
  <w:activeWritingStyle w:appName="MSWord" w:lang="es-419" w:vendorID="64" w:dllVersion="0" w:nlCheck="1" w:checkStyle="0"/>
  <w:activeWritingStyle w:appName="MSWord" w:lang="es-MX" w:vendorID="64" w:dllVersion="0" w:nlCheck="1" w:checkStyle="0"/>
  <w:activeWritingStyle w:appName="MSWord" w:lang="en-US" w:vendorID="64" w:dllVersion="0" w:nlCheck="1" w:checkStyle="0"/>
  <w:activeWritingStyle w:appName="MSWord" w:lang="es-CO" w:vendorID="64" w:dllVersion="6" w:nlCheck="1" w:checkStyle="0"/>
  <w:activeWritingStyle w:appName="MSWord" w:lang="es-419" w:vendorID="64" w:dllVersion="6" w:nlCheck="1" w:checkStyle="0"/>
  <w:activeWritingStyle w:appName="MSWord" w:lang="es-MX" w:vendorID="64" w:dllVersion="6" w:nlCheck="1" w:checkStyle="0"/>
  <w:activeWritingStyle w:appName="MSWord" w:lang="en-US" w:vendorID="64" w:dllVersion="6"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EC7"/>
    <w:rsid w:val="00017BF4"/>
    <w:rsid w:val="00026C85"/>
    <w:rsid w:val="000328F5"/>
    <w:rsid w:val="0003720C"/>
    <w:rsid w:val="000403D1"/>
    <w:rsid w:val="000449AA"/>
    <w:rsid w:val="00050F6B"/>
    <w:rsid w:val="000651D9"/>
    <w:rsid w:val="000720D1"/>
    <w:rsid w:val="00072C8C"/>
    <w:rsid w:val="00073E70"/>
    <w:rsid w:val="000748C4"/>
    <w:rsid w:val="00082C28"/>
    <w:rsid w:val="00091419"/>
    <w:rsid w:val="000931C0"/>
    <w:rsid w:val="00094140"/>
    <w:rsid w:val="000955E5"/>
    <w:rsid w:val="00096338"/>
    <w:rsid w:val="000A0C70"/>
    <w:rsid w:val="000A3F99"/>
    <w:rsid w:val="000A6C2B"/>
    <w:rsid w:val="000B175B"/>
    <w:rsid w:val="000B2171"/>
    <w:rsid w:val="000B3A0F"/>
    <w:rsid w:val="000C67E1"/>
    <w:rsid w:val="000D4841"/>
    <w:rsid w:val="000E0415"/>
    <w:rsid w:val="000F569E"/>
    <w:rsid w:val="000F7E08"/>
    <w:rsid w:val="00110764"/>
    <w:rsid w:val="00146D32"/>
    <w:rsid w:val="00147009"/>
    <w:rsid w:val="001509BA"/>
    <w:rsid w:val="0015700B"/>
    <w:rsid w:val="001720EE"/>
    <w:rsid w:val="00172C74"/>
    <w:rsid w:val="00173CF9"/>
    <w:rsid w:val="00184F17"/>
    <w:rsid w:val="0018513E"/>
    <w:rsid w:val="001A7355"/>
    <w:rsid w:val="001B4B04"/>
    <w:rsid w:val="001C04E1"/>
    <w:rsid w:val="001C1EC3"/>
    <w:rsid w:val="001C6663"/>
    <w:rsid w:val="001C6BAE"/>
    <w:rsid w:val="001C7895"/>
    <w:rsid w:val="001D182A"/>
    <w:rsid w:val="001D26DF"/>
    <w:rsid w:val="001E198D"/>
    <w:rsid w:val="001E2103"/>
    <w:rsid w:val="001E29F8"/>
    <w:rsid w:val="001F0CD0"/>
    <w:rsid w:val="001F1215"/>
    <w:rsid w:val="001F1F57"/>
    <w:rsid w:val="0020127F"/>
    <w:rsid w:val="002043CF"/>
    <w:rsid w:val="00204A5B"/>
    <w:rsid w:val="00207AB9"/>
    <w:rsid w:val="00211E0B"/>
    <w:rsid w:val="00211E72"/>
    <w:rsid w:val="00214047"/>
    <w:rsid w:val="0022130F"/>
    <w:rsid w:val="00222741"/>
    <w:rsid w:val="002267C6"/>
    <w:rsid w:val="00237785"/>
    <w:rsid w:val="00237D94"/>
    <w:rsid w:val="00241466"/>
    <w:rsid w:val="00253D58"/>
    <w:rsid w:val="00253FB0"/>
    <w:rsid w:val="00254D14"/>
    <w:rsid w:val="00262124"/>
    <w:rsid w:val="0026367A"/>
    <w:rsid w:val="002658F4"/>
    <w:rsid w:val="002A410B"/>
    <w:rsid w:val="002C0119"/>
    <w:rsid w:val="002C09EF"/>
    <w:rsid w:val="002C21F0"/>
    <w:rsid w:val="002E2A6C"/>
    <w:rsid w:val="00300CBC"/>
    <w:rsid w:val="003107FA"/>
    <w:rsid w:val="00314B2F"/>
    <w:rsid w:val="003229D8"/>
    <w:rsid w:val="003344C1"/>
    <w:rsid w:val="00335A2F"/>
    <w:rsid w:val="00335BE8"/>
    <w:rsid w:val="00342012"/>
    <w:rsid w:val="00342CAC"/>
    <w:rsid w:val="00345B7C"/>
    <w:rsid w:val="003531F0"/>
    <w:rsid w:val="00373648"/>
    <w:rsid w:val="0039277A"/>
    <w:rsid w:val="003972E0"/>
    <w:rsid w:val="0039785F"/>
    <w:rsid w:val="003A5059"/>
    <w:rsid w:val="003B3CA2"/>
    <w:rsid w:val="003B443D"/>
    <w:rsid w:val="003B72A2"/>
    <w:rsid w:val="003C2CC4"/>
    <w:rsid w:val="003C50A2"/>
    <w:rsid w:val="003D4B23"/>
    <w:rsid w:val="003E14E0"/>
    <w:rsid w:val="003F04AB"/>
    <w:rsid w:val="003F3C82"/>
    <w:rsid w:val="00401F56"/>
    <w:rsid w:val="00414D44"/>
    <w:rsid w:val="00424C80"/>
    <w:rsid w:val="00430F3A"/>
    <w:rsid w:val="004325CB"/>
    <w:rsid w:val="0043536E"/>
    <w:rsid w:val="0044503A"/>
    <w:rsid w:val="00446DE4"/>
    <w:rsid w:val="00451EC3"/>
    <w:rsid w:val="00452ED7"/>
    <w:rsid w:val="00466AE2"/>
    <w:rsid w:val="00477B09"/>
    <w:rsid w:val="00481E3C"/>
    <w:rsid w:val="004859EC"/>
    <w:rsid w:val="00496A15"/>
    <w:rsid w:val="004C0603"/>
    <w:rsid w:val="004E6748"/>
    <w:rsid w:val="004F55ED"/>
    <w:rsid w:val="004F5C13"/>
    <w:rsid w:val="00503EAD"/>
    <w:rsid w:val="005120EB"/>
    <w:rsid w:val="005204F8"/>
    <w:rsid w:val="0052176C"/>
    <w:rsid w:val="00522DF4"/>
    <w:rsid w:val="005261E5"/>
    <w:rsid w:val="005420F2"/>
    <w:rsid w:val="00542574"/>
    <w:rsid w:val="00543238"/>
    <w:rsid w:val="005436AB"/>
    <w:rsid w:val="00545F0A"/>
    <w:rsid w:val="00546DBF"/>
    <w:rsid w:val="00552C93"/>
    <w:rsid w:val="005552B5"/>
    <w:rsid w:val="0055566F"/>
    <w:rsid w:val="00571365"/>
    <w:rsid w:val="00582C8D"/>
    <w:rsid w:val="00587597"/>
    <w:rsid w:val="005917B4"/>
    <w:rsid w:val="005A7A83"/>
    <w:rsid w:val="005B048C"/>
    <w:rsid w:val="005B3DB3"/>
    <w:rsid w:val="005B6E48"/>
    <w:rsid w:val="005B77EA"/>
    <w:rsid w:val="005C0D9F"/>
    <w:rsid w:val="005C6E9E"/>
    <w:rsid w:val="005D34D6"/>
    <w:rsid w:val="005E0023"/>
    <w:rsid w:val="005E2A01"/>
    <w:rsid w:val="005F2A1E"/>
    <w:rsid w:val="005F4CB8"/>
    <w:rsid w:val="0060467B"/>
    <w:rsid w:val="00607483"/>
    <w:rsid w:val="00611FC4"/>
    <w:rsid w:val="00616F41"/>
    <w:rsid w:val="006176FB"/>
    <w:rsid w:val="0062146C"/>
    <w:rsid w:val="0062207F"/>
    <w:rsid w:val="006301B4"/>
    <w:rsid w:val="006335DE"/>
    <w:rsid w:val="00640B26"/>
    <w:rsid w:val="00642490"/>
    <w:rsid w:val="00643E04"/>
    <w:rsid w:val="00646EAE"/>
    <w:rsid w:val="00657BEB"/>
    <w:rsid w:val="00667503"/>
    <w:rsid w:val="006678C6"/>
    <w:rsid w:val="00670741"/>
    <w:rsid w:val="006A7392"/>
    <w:rsid w:val="006B06A9"/>
    <w:rsid w:val="006B3189"/>
    <w:rsid w:val="006B7D65"/>
    <w:rsid w:val="006D5C2B"/>
    <w:rsid w:val="006E0517"/>
    <w:rsid w:val="006E10F4"/>
    <w:rsid w:val="006E444A"/>
    <w:rsid w:val="006E564B"/>
    <w:rsid w:val="00702D97"/>
    <w:rsid w:val="0070384C"/>
    <w:rsid w:val="007058E5"/>
    <w:rsid w:val="00713ACD"/>
    <w:rsid w:val="0072632A"/>
    <w:rsid w:val="0074200B"/>
    <w:rsid w:val="007467C7"/>
    <w:rsid w:val="007624A1"/>
    <w:rsid w:val="007719CA"/>
    <w:rsid w:val="00772489"/>
    <w:rsid w:val="00776686"/>
    <w:rsid w:val="00793556"/>
    <w:rsid w:val="00793AF7"/>
    <w:rsid w:val="007A0A29"/>
    <w:rsid w:val="007A6296"/>
    <w:rsid w:val="007A6B53"/>
    <w:rsid w:val="007B235F"/>
    <w:rsid w:val="007B6BA5"/>
    <w:rsid w:val="007C1B62"/>
    <w:rsid w:val="007C3390"/>
    <w:rsid w:val="007C4F4B"/>
    <w:rsid w:val="007D2CDC"/>
    <w:rsid w:val="007D5327"/>
    <w:rsid w:val="007D7CEC"/>
    <w:rsid w:val="007E0308"/>
    <w:rsid w:val="007E2942"/>
    <w:rsid w:val="007E6BAF"/>
    <w:rsid w:val="007F6611"/>
    <w:rsid w:val="00801E94"/>
    <w:rsid w:val="008039EE"/>
    <w:rsid w:val="008053E8"/>
    <w:rsid w:val="00813E48"/>
    <w:rsid w:val="008155C3"/>
    <w:rsid w:val="008175E9"/>
    <w:rsid w:val="00820720"/>
    <w:rsid w:val="0082243E"/>
    <w:rsid w:val="008242D7"/>
    <w:rsid w:val="00856CD2"/>
    <w:rsid w:val="00870DBD"/>
    <w:rsid w:val="00871FD5"/>
    <w:rsid w:val="00877684"/>
    <w:rsid w:val="0088487D"/>
    <w:rsid w:val="008877DF"/>
    <w:rsid w:val="008953CE"/>
    <w:rsid w:val="008979B1"/>
    <w:rsid w:val="008A2EB5"/>
    <w:rsid w:val="008A6B25"/>
    <w:rsid w:val="008A6C4F"/>
    <w:rsid w:val="008B3FE1"/>
    <w:rsid w:val="008C1E4D"/>
    <w:rsid w:val="008D308A"/>
    <w:rsid w:val="008E0E46"/>
    <w:rsid w:val="008E1051"/>
    <w:rsid w:val="008E28C0"/>
    <w:rsid w:val="008E6E36"/>
    <w:rsid w:val="008F1729"/>
    <w:rsid w:val="00900106"/>
    <w:rsid w:val="00901D6A"/>
    <w:rsid w:val="00907C3F"/>
    <w:rsid w:val="009269ED"/>
    <w:rsid w:val="0093707B"/>
    <w:rsid w:val="009400EB"/>
    <w:rsid w:val="00940186"/>
    <w:rsid w:val="00940966"/>
    <w:rsid w:val="00940A10"/>
    <w:rsid w:val="00940F71"/>
    <w:rsid w:val="009427E3"/>
    <w:rsid w:val="00943CF4"/>
    <w:rsid w:val="00943D93"/>
    <w:rsid w:val="00954CBD"/>
    <w:rsid w:val="00956D9B"/>
    <w:rsid w:val="009576F8"/>
    <w:rsid w:val="00963CBA"/>
    <w:rsid w:val="009654B7"/>
    <w:rsid w:val="00974DE4"/>
    <w:rsid w:val="009766D4"/>
    <w:rsid w:val="00981299"/>
    <w:rsid w:val="00987836"/>
    <w:rsid w:val="00991261"/>
    <w:rsid w:val="009A0B83"/>
    <w:rsid w:val="009A1476"/>
    <w:rsid w:val="009A1875"/>
    <w:rsid w:val="009A193A"/>
    <w:rsid w:val="009B25CF"/>
    <w:rsid w:val="009B3800"/>
    <w:rsid w:val="009B5168"/>
    <w:rsid w:val="009B684D"/>
    <w:rsid w:val="009C1768"/>
    <w:rsid w:val="009C5CF0"/>
    <w:rsid w:val="009C6A9A"/>
    <w:rsid w:val="009D3C30"/>
    <w:rsid w:val="009D50DB"/>
    <w:rsid w:val="009D52CD"/>
    <w:rsid w:val="009E07A6"/>
    <w:rsid w:val="009E191E"/>
    <w:rsid w:val="009E450A"/>
    <w:rsid w:val="009F4517"/>
    <w:rsid w:val="00A00A45"/>
    <w:rsid w:val="00A027F1"/>
    <w:rsid w:val="00A05E0B"/>
    <w:rsid w:val="00A1427D"/>
    <w:rsid w:val="00A3501E"/>
    <w:rsid w:val="00A3536C"/>
    <w:rsid w:val="00A418B4"/>
    <w:rsid w:val="00A4634F"/>
    <w:rsid w:val="00A56537"/>
    <w:rsid w:val="00A650E0"/>
    <w:rsid w:val="00A72F22"/>
    <w:rsid w:val="00A748A6"/>
    <w:rsid w:val="00A80AA0"/>
    <w:rsid w:val="00A879A4"/>
    <w:rsid w:val="00A87E95"/>
    <w:rsid w:val="00A92E29"/>
    <w:rsid w:val="00AA2296"/>
    <w:rsid w:val="00AB3D5F"/>
    <w:rsid w:val="00AD09E9"/>
    <w:rsid w:val="00AD365B"/>
    <w:rsid w:val="00AD5C4A"/>
    <w:rsid w:val="00AE04FD"/>
    <w:rsid w:val="00AF0576"/>
    <w:rsid w:val="00AF3334"/>
    <w:rsid w:val="00AF3829"/>
    <w:rsid w:val="00B037F0"/>
    <w:rsid w:val="00B103A9"/>
    <w:rsid w:val="00B20753"/>
    <w:rsid w:val="00B272DD"/>
    <w:rsid w:val="00B30179"/>
    <w:rsid w:val="00B31A67"/>
    <w:rsid w:val="00B3317B"/>
    <w:rsid w:val="00B334DC"/>
    <w:rsid w:val="00B3631A"/>
    <w:rsid w:val="00B50D60"/>
    <w:rsid w:val="00B53013"/>
    <w:rsid w:val="00B572AC"/>
    <w:rsid w:val="00B5739F"/>
    <w:rsid w:val="00B60629"/>
    <w:rsid w:val="00B61317"/>
    <w:rsid w:val="00B67F5E"/>
    <w:rsid w:val="00B73E65"/>
    <w:rsid w:val="00B81E12"/>
    <w:rsid w:val="00B836C4"/>
    <w:rsid w:val="00B87E6C"/>
    <w:rsid w:val="00B91391"/>
    <w:rsid w:val="00B931B3"/>
    <w:rsid w:val="00B97FA8"/>
    <w:rsid w:val="00BA27B2"/>
    <w:rsid w:val="00BC1385"/>
    <w:rsid w:val="00BC3651"/>
    <w:rsid w:val="00BC74E9"/>
    <w:rsid w:val="00BE18E6"/>
    <w:rsid w:val="00BE618E"/>
    <w:rsid w:val="00BF1DC1"/>
    <w:rsid w:val="00C052CF"/>
    <w:rsid w:val="00C06A05"/>
    <w:rsid w:val="00C178BE"/>
    <w:rsid w:val="00C24693"/>
    <w:rsid w:val="00C2620D"/>
    <w:rsid w:val="00C319C2"/>
    <w:rsid w:val="00C35F0B"/>
    <w:rsid w:val="00C37273"/>
    <w:rsid w:val="00C429FD"/>
    <w:rsid w:val="00C44BEF"/>
    <w:rsid w:val="00C45ECC"/>
    <w:rsid w:val="00C463DD"/>
    <w:rsid w:val="00C5730B"/>
    <w:rsid w:val="00C618B5"/>
    <w:rsid w:val="00C6307F"/>
    <w:rsid w:val="00C64458"/>
    <w:rsid w:val="00C67D99"/>
    <w:rsid w:val="00C745C3"/>
    <w:rsid w:val="00C7514E"/>
    <w:rsid w:val="00C81733"/>
    <w:rsid w:val="00C862D1"/>
    <w:rsid w:val="00C936F8"/>
    <w:rsid w:val="00CB0AB8"/>
    <w:rsid w:val="00CB0E6C"/>
    <w:rsid w:val="00CB7072"/>
    <w:rsid w:val="00CC09A0"/>
    <w:rsid w:val="00CC0B55"/>
    <w:rsid w:val="00CC4E8A"/>
    <w:rsid w:val="00CD4E82"/>
    <w:rsid w:val="00CE222D"/>
    <w:rsid w:val="00CE2EBA"/>
    <w:rsid w:val="00CE340E"/>
    <w:rsid w:val="00CE4A8F"/>
    <w:rsid w:val="00CF0F56"/>
    <w:rsid w:val="00CF3909"/>
    <w:rsid w:val="00CF40DD"/>
    <w:rsid w:val="00CF7D43"/>
    <w:rsid w:val="00D047AE"/>
    <w:rsid w:val="00D0616F"/>
    <w:rsid w:val="00D11129"/>
    <w:rsid w:val="00D16FB6"/>
    <w:rsid w:val="00D2031B"/>
    <w:rsid w:val="00D22332"/>
    <w:rsid w:val="00D25FE2"/>
    <w:rsid w:val="00D43252"/>
    <w:rsid w:val="00D43867"/>
    <w:rsid w:val="00D45507"/>
    <w:rsid w:val="00D54536"/>
    <w:rsid w:val="00D550F9"/>
    <w:rsid w:val="00D61F6C"/>
    <w:rsid w:val="00D65885"/>
    <w:rsid w:val="00D70B7E"/>
    <w:rsid w:val="00D76093"/>
    <w:rsid w:val="00D864A9"/>
    <w:rsid w:val="00D90843"/>
    <w:rsid w:val="00D93DB4"/>
    <w:rsid w:val="00D94885"/>
    <w:rsid w:val="00D978C6"/>
    <w:rsid w:val="00DA385D"/>
    <w:rsid w:val="00DA67AD"/>
    <w:rsid w:val="00DA7024"/>
    <w:rsid w:val="00DB18CE"/>
    <w:rsid w:val="00DE3EC0"/>
    <w:rsid w:val="00DE5545"/>
    <w:rsid w:val="00DE6F70"/>
    <w:rsid w:val="00DF0C6B"/>
    <w:rsid w:val="00E12B6B"/>
    <w:rsid w:val="00E130AB"/>
    <w:rsid w:val="00E23FB9"/>
    <w:rsid w:val="00E26F67"/>
    <w:rsid w:val="00E413F1"/>
    <w:rsid w:val="00E438D9"/>
    <w:rsid w:val="00E5644E"/>
    <w:rsid w:val="00E577DF"/>
    <w:rsid w:val="00E60EE9"/>
    <w:rsid w:val="00E7260F"/>
    <w:rsid w:val="00E80EC7"/>
    <w:rsid w:val="00E96630"/>
    <w:rsid w:val="00EA0349"/>
    <w:rsid w:val="00EA20A9"/>
    <w:rsid w:val="00EB077A"/>
    <w:rsid w:val="00EB0FB9"/>
    <w:rsid w:val="00EC4516"/>
    <w:rsid w:val="00ED50F9"/>
    <w:rsid w:val="00ED7A2A"/>
    <w:rsid w:val="00EE5AE5"/>
    <w:rsid w:val="00EF1D7F"/>
    <w:rsid w:val="00EF5BDB"/>
    <w:rsid w:val="00F04C12"/>
    <w:rsid w:val="00F051F9"/>
    <w:rsid w:val="00F07FD9"/>
    <w:rsid w:val="00F114F7"/>
    <w:rsid w:val="00F23933"/>
    <w:rsid w:val="00F36303"/>
    <w:rsid w:val="00F40E75"/>
    <w:rsid w:val="00F52936"/>
    <w:rsid w:val="00F53233"/>
    <w:rsid w:val="00F554F4"/>
    <w:rsid w:val="00F56DE4"/>
    <w:rsid w:val="00F60A23"/>
    <w:rsid w:val="00F61372"/>
    <w:rsid w:val="00F6153C"/>
    <w:rsid w:val="00F66FD8"/>
    <w:rsid w:val="00F77E26"/>
    <w:rsid w:val="00F81139"/>
    <w:rsid w:val="00F903AC"/>
    <w:rsid w:val="00F90764"/>
    <w:rsid w:val="00FA7DF3"/>
    <w:rsid w:val="00FC68B7"/>
    <w:rsid w:val="00FC6A37"/>
    <w:rsid w:val="00FD521B"/>
    <w:rsid w:val="00FD5561"/>
    <w:rsid w:val="00FD7235"/>
    <w:rsid w:val="00FD7C12"/>
    <w:rsid w:val="00FE79FF"/>
    <w:rsid w:val="00FF30D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E0677"/>
  <w15:docId w15:val="{5A088964-94E5-4EF4-8821-77BB8E4B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lsdException w:name="macro" w:semiHidden="1" w:unhideWhenUsed="1"/>
    <w:lsdException w:name="toa heading" w:semiHidden="1" w:unhideWhenUsed="1"/>
    <w:lsdException w:name="List" w:semiHidden="1"/>
    <w:lsdException w:name="List Bullet" w:semiHidden="1"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3CF"/>
    <w:pPr>
      <w:suppressAutoHyphens/>
      <w:spacing w:line="240" w:lineRule="atLeast"/>
    </w:pPr>
    <w:rPr>
      <w:lang w:val="es-ES" w:eastAsia="en-US"/>
    </w:rPr>
  </w:style>
  <w:style w:type="paragraph" w:styleId="Heading1">
    <w:name w:val="heading 1"/>
    <w:aliases w:val="Table_G"/>
    <w:basedOn w:val="SingleTxtG"/>
    <w:next w:val="SingleTxtG"/>
    <w:link w:val="Heading1Char"/>
    <w:uiPriority w:val="9"/>
    <w:qFormat/>
    <w:rsid w:val="002C0119"/>
    <w:pPr>
      <w:spacing w:after="0" w:line="240" w:lineRule="auto"/>
      <w:ind w:right="0"/>
      <w:jc w:val="left"/>
      <w:outlineLvl w:val="0"/>
    </w:pPr>
    <w:rPr>
      <w:lang w:val="en-GB"/>
    </w:rPr>
  </w:style>
  <w:style w:type="paragraph" w:styleId="Heading2">
    <w:name w:val="heading 2"/>
    <w:basedOn w:val="Normal"/>
    <w:next w:val="Normal"/>
    <w:link w:val="Heading2Char"/>
    <w:uiPriority w:val="9"/>
    <w:qFormat/>
    <w:rsid w:val="002C0119"/>
    <w:pPr>
      <w:spacing w:line="240" w:lineRule="auto"/>
      <w:outlineLvl w:val="1"/>
    </w:pPr>
    <w:rPr>
      <w:lang w:val="en-GB"/>
    </w:rPr>
  </w:style>
  <w:style w:type="paragraph" w:styleId="Heading3">
    <w:name w:val="heading 3"/>
    <w:basedOn w:val="Normal"/>
    <w:next w:val="Normal"/>
    <w:semiHidden/>
    <w:qFormat/>
    <w:rsid w:val="002C0119"/>
    <w:pPr>
      <w:spacing w:line="240" w:lineRule="auto"/>
      <w:outlineLvl w:val="2"/>
    </w:pPr>
    <w:rPr>
      <w:lang w:val="en-GB"/>
    </w:rPr>
  </w:style>
  <w:style w:type="paragraph" w:styleId="Heading4">
    <w:name w:val="heading 4"/>
    <w:basedOn w:val="Normal"/>
    <w:next w:val="Normal"/>
    <w:semiHidden/>
    <w:qFormat/>
    <w:rsid w:val="002C0119"/>
    <w:pPr>
      <w:spacing w:line="240" w:lineRule="auto"/>
      <w:outlineLvl w:val="3"/>
    </w:pPr>
    <w:rPr>
      <w:lang w:val="en-GB"/>
    </w:rPr>
  </w:style>
  <w:style w:type="paragraph" w:styleId="Heading5">
    <w:name w:val="heading 5"/>
    <w:basedOn w:val="Normal"/>
    <w:next w:val="Normal"/>
    <w:semiHidden/>
    <w:qFormat/>
    <w:rsid w:val="002C0119"/>
    <w:pPr>
      <w:spacing w:line="240" w:lineRule="auto"/>
      <w:outlineLvl w:val="4"/>
    </w:pPr>
    <w:rPr>
      <w:lang w:val="en-GB"/>
    </w:rPr>
  </w:style>
  <w:style w:type="paragraph" w:styleId="Heading6">
    <w:name w:val="heading 6"/>
    <w:basedOn w:val="Normal"/>
    <w:next w:val="Normal"/>
    <w:semiHidden/>
    <w:qFormat/>
    <w:rsid w:val="002C0119"/>
    <w:pPr>
      <w:spacing w:line="240" w:lineRule="auto"/>
      <w:outlineLvl w:val="5"/>
    </w:pPr>
    <w:rPr>
      <w:lang w:val="en-GB"/>
    </w:rPr>
  </w:style>
  <w:style w:type="paragraph" w:styleId="Heading7">
    <w:name w:val="heading 7"/>
    <w:basedOn w:val="Normal"/>
    <w:next w:val="Normal"/>
    <w:semiHidden/>
    <w:qFormat/>
    <w:rsid w:val="002C0119"/>
    <w:pPr>
      <w:spacing w:line="240" w:lineRule="auto"/>
      <w:outlineLvl w:val="6"/>
    </w:pPr>
    <w:rPr>
      <w:lang w:val="en-GB"/>
    </w:rPr>
  </w:style>
  <w:style w:type="paragraph" w:styleId="Heading8">
    <w:name w:val="heading 8"/>
    <w:basedOn w:val="Normal"/>
    <w:next w:val="Normal"/>
    <w:semiHidden/>
    <w:qFormat/>
    <w:rsid w:val="002C0119"/>
    <w:pPr>
      <w:spacing w:line="240" w:lineRule="auto"/>
      <w:outlineLvl w:val="7"/>
    </w:pPr>
    <w:rPr>
      <w:lang w:val="en-GB"/>
    </w:rPr>
  </w:style>
  <w:style w:type="paragraph" w:styleId="Heading9">
    <w:name w:val="heading 9"/>
    <w:basedOn w:val="Normal"/>
    <w:next w:val="Normal"/>
    <w:semiHidden/>
    <w:qFormat/>
    <w:rsid w:val="002C0119"/>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tabs>
        <w:tab w:val="left" w:pos="1701"/>
        <w:tab w:val="left" w:pos="2268"/>
        <w:tab w:val="left" w:pos="2835"/>
      </w:tabs>
      <w:spacing w:after="120"/>
      <w:ind w:left="1134" w:right="1134"/>
      <w:jc w:val="both"/>
    </w:pPr>
  </w:style>
  <w:style w:type="paragraph" w:customStyle="1" w:styleId="HMG">
    <w:name w:val="_ H __M_G"/>
    <w:basedOn w:val="Normal"/>
    <w:next w:val="Normal"/>
    <w:qFormat/>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pPr>
      <w:keepNext/>
      <w:keepLines/>
      <w:tabs>
        <w:tab w:val="right" w:pos="851"/>
      </w:tabs>
      <w:spacing w:before="360" w:after="240" w:line="300" w:lineRule="exact"/>
      <w:ind w:left="1134" w:right="1134" w:hanging="1134"/>
      <w:outlineLvl w:val="1"/>
    </w:pPr>
    <w:rPr>
      <w:b/>
      <w:sz w:val="28"/>
    </w:rPr>
  </w:style>
  <w:style w:type="character" w:styleId="FootnoteReference">
    <w:name w:val="footnote reference"/>
    <w:aliases w:val="List Bullet Char"/>
    <w:basedOn w:val="DefaultParagraphFont"/>
    <w:link w:val="ListBullet"/>
    <w:uiPriority w:val="99"/>
    <w:semiHidden/>
    <w:qFormat/>
    <w:rsid w:val="002C0119"/>
    <w:rPr>
      <w:sz w:val="18"/>
      <w:vertAlign w:val="superscript"/>
    </w:rPr>
  </w:style>
  <w:style w:type="character" w:styleId="EndnoteReference">
    <w:name w:val="endnote reference"/>
    <w:aliases w:val="1_G"/>
    <w:basedOn w:val="FootnoteReference"/>
    <w:uiPriority w:val="99"/>
    <w:qFormat/>
    <w:rsid w:val="002C0119"/>
    <w:rPr>
      <w:rFonts w:ascii="Times New Roman" w:hAnsi="Times New Roman"/>
      <w:sz w:val="18"/>
      <w:vertAlign w:val="superscript"/>
    </w:rPr>
  </w:style>
  <w:style w:type="paragraph" w:styleId="Header">
    <w:name w:val="header"/>
    <w:aliases w:val="6_G"/>
    <w:basedOn w:val="Normal"/>
    <w:link w:val="HeaderChar"/>
    <w:uiPriority w:val="99"/>
    <w:qFormat/>
    <w:rsid w:val="002C0119"/>
    <w:pPr>
      <w:pBdr>
        <w:bottom w:val="single" w:sz="4" w:space="4" w:color="auto"/>
      </w:pBdr>
      <w:spacing w:line="240" w:lineRule="auto"/>
    </w:pPr>
    <w:rPr>
      <w:b/>
      <w:sz w:val="18"/>
      <w:lang w:val="en-GB"/>
    </w:rPr>
  </w:style>
  <w:style w:type="table" w:styleId="TableGrid">
    <w:name w:val="Table Grid"/>
    <w:basedOn w:val="TableNormal"/>
    <w:rsid w:val="002C011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6301B4"/>
    <w:rPr>
      <w:color w:val="auto"/>
      <w:u w:val="none"/>
    </w:rPr>
  </w:style>
  <w:style w:type="character" w:styleId="FollowedHyperlink">
    <w:name w:val="FollowedHyperlink"/>
    <w:basedOn w:val="DefaultParagraphFont"/>
    <w:uiPriority w:val="99"/>
    <w:semiHidden/>
    <w:rsid w:val="006301B4"/>
    <w:rPr>
      <w:color w:val="auto"/>
      <w:u w:val="none"/>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texto de nota al pie,Texto nota pie Car Car,Texto nota pie Car Car Car,FA Fuﬂnotentext,Footnote Text Cha,ft"/>
    <w:basedOn w:val="Normal"/>
    <w:link w:val="FootnoteTextChar"/>
    <w:uiPriority w:val="99"/>
    <w:qFormat/>
    <w:rsid w:val="002C0119"/>
    <w:pPr>
      <w:tabs>
        <w:tab w:val="right" w:pos="1021"/>
      </w:tabs>
      <w:spacing w:line="220" w:lineRule="exact"/>
      <w:ind w:left="1134" w:right="1134" w:hanging="1134"/>
    </w:pPr>
    <w:rPr>
      <w:sz w:val="18"/>
      <w:lang w:val="en-GB"/>
    </w:rPr>
  </w:style>
  <w:style w:type="paragraph" w:styleId="EndnoteText">
    <w:name w:val="endnote text"/>
    <w:aliases w:val="2_G"/>
    <w:basedOn w:val="FootnoteText"/>
    <w:link w:val="EndnoteTextChar"/>
    <w:uiPriority w:val="99"/>
    <w:qFormat/>
    <w:rsid w:val="002C0119"/>
  </w:style>
  <w:style w:type="character" w:styleId="PageNumber">
    <w:name w:val="page number"/>
    <w:aliases w:val="7_G"/>
    <w:basedOn w:val="DefaultParagraphFont"/>
    <w:qFormat/>
    <w:rsid w:val="002C0119"/>
    <w:rPr>
      <w:rFonts w:ascii="Times New Roman" w:hAnsi="Times New Roman"/>
      <w:b/>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qFormat/>
    <w:rsid w:val="0072632A"/>
    <w:pPr>
      <w:numPr>
        <w:numId w:val="1"/>
      </w:numPr>
      <w:spacing w:after="120"/>
      <w:ind w:right="1134"/>
      <w:jc w:val="both"/>
    </w:pPr>
  </w:style>
  <w:style w:type="paragraph" w:styleId="Footer">
    <w:name w:val="footer"/>
    <w:aliases w:val="3_G"/>
    <w:basedOn w:val="Normal"/>
    <w:link w:val="FooterChar"/>
    <w:uiPriority w:val="99"/>
    <w:qFormat/>
    <w:rsid w:val="002C0119"/>
    <w:pPr>
      <w:spacing w:line="240" w:lineRule="auto"/>
    </w:pPr>
    <w:rPr>
      <w:sz w:val="16"/>
      <w:lang w:val="en-GB"/>
    </w:rPr>
  </w:style>
  <w:style w:type="paragraph" w:customStyle="1" w:styleId="Bullet2G">
    <w:name w:val="_Bullet 2_G"/>
    <w:basedOn w:val="Normal"/>
    <w:qFormat/>
    <w:rsid w:val="003C2CC4"/>
    <w:pPr>
      <w:numPr>
        <w:numId w:val="2"/>
      </w:numPr>
      <w:spacing w:after="120"/>
      <w:ind w:right="1134"/>
      <w:jc w:val="both"/>
    </w:pPr>
  </w:style>
  <w:style w:type="paragraph" w:customStyle="1" w:styleId="H1G">
    <w:name w:val="_ H_1_G"/>
    <w:basedOn w:val="Normal"/>
    <w:next w:val="Normal"/>
    <w:qFormat/>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B3631A"/>
    <w:pPr>
      <w:keepNext/>
      <w:keepLines/>
      <w:tabs>
        <w:tab w:val="right" w:pos="851"/>
      </w:tabs>
      <w:spacing w:before="240" w:after="120" w:line="240" w:lineRule="exact"/>
      <w:ind w:left="1134" w:right="1134" w:hanging="1134"/>
      <w:outlineLvl w:val="5"/>
    </w:pPr>
  </w:style>
  <w:style w:type="paragraph" w:styleId="BalloonText">
    <w:name w:val="Balloon Text"/>
    <w:basedOn w:val="Normal"/>
    <w:link w:val="BalloonTextChar"/>
    <w:uiPriority w:val="99"/>
    <w:semiHidden/>
    <w:rsid w:val="00C817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733"/>
    <w:rPr>
      <w:rFonts w:ascii="Tahoma" w:hAnsi="Tahoma" w:cs="Tahoma"/>
      <w:sz w:val="16"/>
      <w:szCs w:val="16"/>
      <w:lang w:val="es-ES" w:eastAsia="en-US"/>
    </w:rPr>
  </w:style>
  <w:style w:type="paragraph" w:customStyle="1" w:styleId="ParNoG">
    <w:name w:val="_ParNo_G"/>
    <w:basedOn w:val="Normal"/>
    <w:qFormat/>
    <w:rsid w:val="005F2A1E"/>
    <w:pPr>
      <w:numPr>
        <w:numId w:val="6"/>
      </w:numPr>
      <w:tabs>
        <w:tab w:val="left" w:pos="1701"/>
      </w:tabs>
      <w:kinsoku w:val="0"/>
      <w:overflowPunct w:val="0"/>
      <w:autoSpaceDE w:val="0"/>
      <w:autoSpaceDN w:val="0"/>
      <w:adjustRightInd w:val="0"/>
      <w:snapToGrid w:val="0"/>
    </w:pPr>
  </w:style>
  <w:style w:type="character" w:customStyle="1" w:styleId="FootnoteTextChar">
    <w:name w:val="Footnote Text Char"/>
    <w:aliases w:val="5_G Char,Footnote Text Char Char Char Char Char Char,Footnote Text Char Char Char Char Char1,Footnote reference Char,FA Fu Char,Footnote Text Char Char Char Char1,texto de nota al pie Char,Texto nota pie Car Car Char,ft Char"/>
    <w:basedOn w:val="DefaultParagraphFont"/>
    <w:link w:val="FootnoteText"/>
    <w:uiPriority w:val="99"/>
    <w:rsid w:val="00AD5C4A"/>
    <w:rPr>
      <w:sz w:val="18"/>
      <w:lang w:val="en-GB" w:eastAsia="en-US"/>
    </w:rPr>
  </w:style>
  <w:style w:type="paragraph" w:styleId="ListBullet">
    <w:name w:val="List Bullet"/>
    <w:basedOn w:val="Normal"/>
    <w:link w:val="FootnoteReference"/>
    <w:uiPriority w:val="99"/>
    <w:semiHidden/>
    <w:unhideWhenUsed/>
    <w:rsid w:val="00AD5C4A"/>
    <w:pPr>
      <w:numPr>
        <w:numId w:val="7"/>
      </w:numPr>
      <w:suppressAutoHyphens w:val="0"/>
      <w:spacing w:after="200" w:line="276" w:lineRule="auto"/>
      <w:contextualSpacing/>
      <w:jc w:val="both"/>
    </w:pPr>
    <w:rPr>
      <w:sz w:val="18"/>
      <w:vertAlign w:val="superscript"/>
      <w:lang w:val="fr-FR" w:eastAsia="fr-FR"/>
    </w:rPr>
  </w:style>
  <w:style w:type="character" w:customStyle="1" w:styleId="Heading1Char">
    <w:name w:val="Heading 1 Char"/>
    <w:aliases w:val="Table_G Char"/>
    <w:basedOn w:val="DefaultParagraphFont"/>
    <w:link w:val="Heading1"/>
    <w:uiPriority w:val="9"/>
    <w:rsid w:val="00D54536"/>
    <w:rPr>
      <w:lang w:val="en-GB" w:eastAsia="en-US"/>
    </w:rPr>
  </w:style>
  <w:style w:type="character" w:customStyle="1" w:styleId="Heading2Char">
    <w:name w:val="Heading 2 Char"/>
    <w:basedOn w:val="DefaultParagraphFont"/>
    <w:link w:val="Heading2"/>
    <w:uiPriority w:val="9"/>
    <w:rsid w:val="00D54536"/>
    <w:rPr>
      <w:lang w:val="en-GB" w:eastAsia="en-US"/>
    </w:rPr>
  </w:style>
  <w:style w:type="paragraph" w:styleId="ListParagraph">
    <w:name w:val="List Paragraph"/>
    <w:basedOn w:val="Normal"/>
    <w:uiPriority w:val="34"/>
    <w:qFormat/>
    <w:rsid w:val="00D54536"/>
    <w:pPr>
      <w:suppressAutoHyphens w:val="0"/>
      <w:spacing w:after="160" w:line="259" w:lineRule="auto"/>
      <w:ind w:left="720"/>
      <w:contextualSpacing/>
    </w:pPr>
    <w:rPr>
      <w:rFonts w:asciiTheme="minorHAnsi" w:eastAsiaTheme="minorHAnsi" w:hAnsiTheme="minorHAnsi" w:cstheme="minorBidi"/>
      <w:sz w:val="22"/>
      <w:szCs w:val="22"/>
      <w:lang w:val="es-CO"/>
    </w:rPr>
  </w:style>
  <w:style w:type="character" w:styleId="CommentReference">
    <w:name w:val="annotation reference"/>
    <w:basedOn w:val="DefaultParagraphFont"/>
    <w:uiPriority w:val="99"/>
    <w:semiHidden/>
    <w:unhideWhenUsed/>
    <w:rsid w:val="00D54536"/>
    <w:rPr>
      <w:sz w:val="16"/>
      <w:szCs w:val="16"/>
    </w:rPr>
  </w:style>
  <w:style w:type="paragraph" w:styleId="CommentText">
    <w:name w:val="annotation text"/>
    <w:basedOn w:val="Normal"/>
    <w:link w:val="CommentTextChar"/>
    <w:uiPriority w:val="99"/>
    <w:unhideWhenUsed/>
    <w:rsid w:val="00D54536"/>
    <w:pPr>
      <w:suppressAutoHyphens w:val="0"/>
      <w:spacing w:after="160" w:line="240" w:lineRule="auto"/>
    </w:pPr>
    <w:rPr>
      <w:rFonts w:asciiTheme="minorHAnsi" w:eastAsiaTheme="minorHAnsi" w:hAnsiTheme="minorHAnsi" w:cstheme="minorBidi"/>
      <w:lang w:val="es-CO"/>
    </w:rPr>
  </w:style>
  <w:style w:type="character" w:customStyle="1" w:styleId="CommentTextChar">
    <w:name w:val="Comment Text Char"/>
    <w:basedOn w:val="DefaultParagraphFont"/>
    <w:link w:val="CommentText"/>
    <w:uiPriority w:val="99"/>
    <w:rsid w:val="00D54536"/>
    <w:rPr>
      <w:rFonts w:asciiTheme="minorHAnsi" w:eastAsiaTheme="minorHAnsi" w:hAnsiTheme="minorHAnsi" w:cstheme="minorBidi"/>
      <w:lang w:val="es-CO" w:eastAsia="en-US"/>
    </w:rPr>
  </w:style>
  <w:style w:type="paragraph" w:styleId="CommentSubject">
    <w:name w:val="annotation subject"/>
    <w:basedOn w:val="CommentText"/>
    <w:next w:val="CommentText"/>
    <w:link w:val="CommentSubjectChar"/>
    <w:uiPriority w:val="99"/>
    <w:semiHidden/>
    <w:unhideWhenUsed/>
    <w:rsid w:val="00D54536"/>
    <w:rPr>
      <w:b/>
      <w:bCs/>
    </w:rPr>
  </w:style>
  <w:style w:type="character" w:customStyle="1" w:styleId="CommentSubjectChar">
    <w:name w:val="Comment Subject Char"/>
    <w:basedOn w:val="CommentTextChar"/>
    <w:link w:val="CommentSubject"/>
    <w:uiPriority w:val="99"/>
    <w:semiHidden/>
    <w:rsid w:val="00D54536"/>
    <w:rPr>
      <w:rFonts w:asciiTheme="minorHAnsi" w:eastAsiaTheme="minorHAnsi" w:hAnsiTheme="minorHAnsi" w:cstheme="minorBidi"/>
      <w:b/>
      <w:bCs/>
      <w:lang w:val="es-CO" w:eastAsia="en-US"/>
    </w:rPr>
  </w:style>
  <w:style w:type="paragraph" w:customStyle="1" w:styleId="Default">
    <w:name w:val="Default"/>
    <w:rsid w:val="00D54536"/>
    <w:pPr>
      <w:autoSpaceDE w:val="0"/>
      <w:autoSpaceDN w:val="0"/>
      <w:adjustRightInd w:val="0"/>
    </w:pPr>
    <w:rPr>
      <w:rFonts w:eastAsiaTheme="minorHAnsi"/>
      <w:color w:val="000000"/>
      <w:sz w:val="24"/>
      <w:szCs w:val="24"/>
      <w:lang w:val="es-CO" w:eastAsia="en-US"/>
    </w:rPr>
  </w:style>
  <w:style w:type="paragraph" w:styleId="NormalWeb">
    <w:name w:val="Normal (Web)"/>
    <w:basedOn w:val="Normal"/>
    <w:uiPriority w:val="99"/>
    <w:unhideWhenUsed/>
    <w:rsid w:val="00D54536"/>
    <w:pPr>
      <w:suppressAutoHyphens w:val="0"/>
      <w:spacing w:before="100" w:beforeAutospacing="1" w:after="100" w:afterAutospacing="1" w:line="240" w:lineRule="auto"/>
    </w:pPr>
    <w:rPr>
      <w:sz w:val="24"/>
      <w:szCs w:val="24"/>
      <w:lang w:val="es-CO" w:eastAsia="es-CO"/>
    </w:rPr>
  </w:style>
  <w:style w:type="paragraph" w:styleId="Revision">
    <w:name w:val="Revision"/>
    <w:hidden/>
    <w:uiPriority w:val="99"/>
    <w:semiHidden/>
    <w:rsid w:val="00D54536"/>
    <w:rPr>
      <w:rFonts w:asciiTheme="minorHAnsi" w:eastAsiaTheme="minorHAnsi" w:hAnsiTheme="minorHAnsi" w:cstheme="minorBidi"/>
      <w:sz w:val="22"/>
      <w:szCs w:val="22"/>
      <w:lang w:val="en-GB" w:eastAsia="en-US"/>
    </w:rPr>
  </w:style>
  <w:style w:type="character" w:customStyle="1" w:styleId="HeaderChar">
    <w:name w:val="Header Char"/>
    <w:aliases w:val="6_G Char"/>
    <w:basedOn w:val="DefaultParagraphFont"/>
    <w:link w:val="Header"/>
    <w:uiPriority w:val="99"/>
    <w:rsid w:val="00D54536"/>
    <w:rPr>
      <w:b/>
      <w:sz w:val="18"/>
      <w:lang w:val="en-GB" w:eastAsia="en-US"/>
    </w:rPr>
  </w:style>
  <w:style w:type="character" w:customStyle="1" w:styleId="FooterChar">
    <w:name w:val="Footer Char"/>
    <w:aliases w:val="3_G Char"/>
    <w:basedOn w:val="DefaultParagraphFont"/>
    <w:link w:val="Footer"/>
    <w:uiPriority w:val="99"/>
    <w:rsid w:val="00D54536"/>
    <w:rPr>
      <w:sz w:val="16"/>
      <w:lang w:val="en-GB" w:eastAsia="en-US"/>
    </w:rPr>
  </w:style>
  <w:style w:type="character" w:customStyle="1" w:styleId="EndnoteTextChar">
    <w:name w:val="Endnote Text Char"/>
    <w:aliases w:val="2_G Char"/>
    <w:basedOn w:val="DefaultParagraphFont"/>
    <w:link w:val="EndnoteText"/>
    <w:uiPriority w:val="99"/>
    <w:rsid w:val="00D54536"/>
    <w:rPr>
      <w:sz w:val="18"/>
      <w:lang w:val="en-GB" w:eastAsia="en-US"/>
    </w:rPr>
  </w:style>
  <w:style w:type="character" w:customStyle="1" w:styleId="success">
    <w:name w:val="success"/>
    <w:basedOn w:val="DefaultParagraphFont"/>
    <w:rsid w:val="00D54536"/>
  </w:style>
  <w:style w:type="character" w:customStyle="1" w:styleId="UnresolvedMention1">
    <w:name w:val="Unresolved Mention1"/>
    <w:basedOn w:val="DefaultParagraphFont"/>
    <w:uiPriority w:val="99"/>
    <w:semiHidden/>
    <w:unhideWhenUsed/>
    <w:rsid w:val="00D54536"/>
    <w:rPr>
      <w:color w:val="605E5C"/>
      <w:shd w:val="clear" w:color="auto" w:fill="E1DFDD"/>
    </w:rPr>
  </w:style>
  <w:style w:type="paragraph" w:customStyle="1" w:styleId="contenido">
    <w:name w:val="contenido"/>
    <w:basedOn w:val="Normal"/>
    <w:rsid w:val="00D54536"/>
    <w:pPr>
      <w:suppressAutoHyphens w:val="0"/>
      <w:spacing w:before="100" w:beforeAutospacing="1" w:after="100" w:afterAutospacing="1" w:line="240" w:lineRule="auto"/>
    </w:pPr>
    <w:rPr>
      <w:sz w:val="24"/>
      <w:szCs w:val="24"/>
      <w:lang w:val="es-CO" w:eastAsia="es-CO"/>
    </w:rPr>
  </w:style>
  <w:style w:type="character" w:customStyle="1" w:styleId="UnresolvedMention2">
    <w:name w:val="Unresolved Mention2"/>
    <w:basedOn w:val="DefaultParagraphFont"/>
    <w:uiPriority w:val="99"/>
    <w:semiHidden/>
    <w:unhideWhenUsed/>
    <w:rsid w:val="00D54536"/>
    <w:rPr>
      <w:color w:val="605E5C"/>
      <w:shd w:val="clear" w:color="auto" w:fill="E1DFDD"/>
    </w:rPr>
  </w:style>
  <w:style w:type="character" w:customStyle="1" w:styleId="SingleTxtGChar">
    <w:name w:val="_ Single Txt_G Char"/>
    <w:basedOn w:val="DefaultParagraphFont"/>
    <w:link w:val="SingleTxtG"/>
    <w:locked/>
    <w:rsid w:val="00D54536"/>
    <w:rPr>
      <w:lang w:val="es-ES" w:eastAsia="en-US"/>
    </w:rPr>
  </w:style>
  <w:style w:type="paragraph" w:customStyle="1" w:styleId="p3">
    <w:name w:val="p3"/>
    <w:basedOn w:val="Normal"/>
    <w:rsid w:val="00D54536"/>
    <w:pPr>
      <w:suppressAutoHyphens w:val="0"/>
      <w:spacing w:before="100" w:beforeAutospacing="1" w:after="100" w:afterAutospacing="1" w:line="240" w:lineRule="auto"/>
    </w:pPr>
    <w:rPr>
      <w:rFonts w:eastAsiaTheme="minorHAnsi"/>
      <w:sz w:val="24"/>
      <w:szCs w:val="24"/>
      <w:lang w:val="es-CO" w:eastAsia="es-CO"/>
    </w:rPr>
  </w:style>
  <w:style w:type="character" w:customStyle="1" w:styleId="s2">
    <w:name w:val="s2"/>
    <w:basedOn w:val="DefaultParagraphFont"/>
    <w:rsid w:val="00D54536"/>
  </w:style>
  <w:style w:type="character" w:customStyle="1" w:styleId="s3">
    <w:name w:val="s3"/>
    <w:basedOn w:val="DefaultParagraphFont"/>
    <w:rsid w:val="00D54536"/>
  </w:style>
  <w:style w:type="paragraph" w:customStyle="1" w:styleId="p5">
    <w:name w:val="p5"/>
    <w:basedOn w:val="Normal"/>
    <w:rsid w:val="00D54536"/>
    <w:pPr>
      <w:suppressAutoHyphens w:val="0"/>
      <w:spacing w:before="100" w:beforeAutospacing="1" w:after="100" w:afterAutospacing="1" w:line="240" w:lineRule="auto"/>
    </w:pPr>
    <w:rPr>
      <w:rFonts w:eastAsiaTheme="minorHAnsi"/>
      <w:sz w:val="24"/>
      <w:szCs w:val="24"/>
      <w:lang w:val="es-CO" w:eastAsia="es-CO"/>
    </w:rPr>
  </w:style>
  <w:style w:type="table" w:customStyle="1" w:styleId="TableGrid1">
    <w:name w:val="Table Grid1"/>
    <w:basedOn w:val="TableNormal"/>
    <w:next w:val="TableGrid"/>
    <w:rsid w:val="00D5453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uiPriority w:val="1"/>
    <w:qFormat/>
    <w:rsid w:val="00D54536"/>
    <w:rPr>
      <w:rFonts w:asciiTheme="minorHAnsi" w:eastAsiaTheme="minorHAnsi" w:hAnsiTheme="minorHAnsi" w:cstheme="minorBidi"/>
      <w:sz w:val="22"/>
      <w:szCs w:val="22"/>
      <w:lang w:val="en-US" w:eastAsia="en-US"/>
    </w:rPr>
  </w:style>
  <w:style w:type="paragraph" w:customStyle="1" w:styleId="paragraph">
    <w:name w:val="paragraph"/>
    <w:basedOn w:val="Normal"/>
    <w:rsid w:val="00D54536"/>
    <w:pPr>
      <w:suppressAutoHyphens w:val="0"/>
      <w:spacing w:before="100" w:beforeAutospacing="1" w:after="100" w:afterAutospacing="1" w:line="240" w:lineRule="auto"/>
    </w:pPr>
    <w:rPr>
      <w:sz w:val="24"/>
      <w:szCs w:val="24"/>
      <w:lang w:val="es-CO" w:eastAsia="es-CO"/>
    </w:rPr>
  </w:style>
  <w:style w:type="character" w:customStyle="1" w:styleId="normaltextrun">
    <w:name w:val="normaltextrun"/>
    <w:basedOn w:val="DefaultParagraphFont"/>
    <w:rsid w:val="00D54536"/>
  </w:style>
  <w:style w:type="character" w:customStyle="1" w:styleId="eop">
    <w:name w:val="eop"/>
    <w:basedOn w:val="DefaultParagraphFont"/>
    <w:rsid w:val="00D54536"/>
  </w:style>
  <w:style w:type="character" w:customStyle="1" w:styleId="Mention1">
    <w:name w:val="Mention1"/>
    <w:basedOn w:val="DefaultParagraphFont"/>
    <w:uiPriority w:val="99"/>
    <w:unhideWhenUsed/>
    <w:rsid w:val="00D54536"/>
    <w:rPr>
      <w:color w:val="2B579A"/>
      <w:shd w:val="clear" w:color="auto" w:fill="E6E6E6"/>
    </w:rPr>
  </w:style>
  <w:style w:type="character" w:customStyle="1" w:styleId="superscript">
    <w:name w:val="superscript"/>
    <w:basedOn w:val="DefaultParagraphFont"/>
    <w:rsid w:val="00D54536"/>
  </w:style>
  <w:style w:type="character" w:customStyle="1" w:styleId="scxw205472745">
    <w:name w:val="scxw205472745"/>
    <w:basedOn w:val="DefaultParagraphFont"/>
    <w:rsid w:val="00D54536"/>
  </w:style>
  <w:style w:type="character" w:customStyle="1" w:styleId="scxw81374688">
    <w:name w:val="scxw81374688"/>
    <w:basedOn w:val="DefaultParagraphFont"/>
    <w:rsid w:val="00D54536"/>
  </w:style>
  <w:style w:type="character" w:customStyle="1" w:styleId="scxw99715241">
    <w:name w:val="scxw99715241"/>
    <w:basedOn w:val="DefaultParagraphFont"/>
    <w:rsid w:val="00D54536"/>
  </w:style>
  <w:style w:type="character" w:customStyle="1" w:styleId="Mention2">
    <w:name w:val="Mention2"/>
    <w:basedOn w:val="DefaultParagraphFont"/>
    <w:uiPriority w:val="99"/>
    <w:unhideWhenUsed/>
    <w:rsid w:val="00D54536"/>
    <w:rPr>
      <w:color w:val="2B579A"/>
      <w:shd w:val="clear" w:color="auto" w:fill="E6E6E6"/>
    </w:rPr>
  </w:style>
  <w:style w:type="character" w:customStyle="1" w:styleId="UnresolvedMention3">
    <w:name w:val="Unresolved Mention3"/>
    <w:basedOn w:val="DefaultParagraphFont"/>
    <w:uiPriority w:val="99"/>
    <w:semiHidden/>
    <w:unhideWhenUsed/>
    <w:rsid w:val="00D54536"/>
    <w:rPr>
      <w:color w:val="605E5C"/>
      <w:shd w:val="clear" w:color="auto" w:fill="E1DFDD"/>
    </w:rPr>
  </w:style>
  <w:style w:type="character" w:customStyle="1" w:styleId="ms-rtefontface-8">
    <w:name w:val="ms-rtefontface-8"/>
    <w:basedOn w:val="DefaultParagraphFont"/>
    <w:rsid w:val="00D54536"/>
  </w:style>
  <w:style w:type="character" w:styleId="Strong">
    <w:name w:val="Strong"/>
    <w:basedOn w:val="DefaultParagraphFont"/>
    <w:uiPriority w:val="22"/>
    <w:qFormat/>
    <w:rsid w:val="00D54536"/>
    <w:rPr>
      <w:b/>
      <w:bCs/>
    </w:rPr>
  </w:style>
  <w:style w:type="character" w:customStyle="1" w:styleId="UnresolvedMention4">
    <w:name w:val="Unresolved Mention4"/>
    <w:basedOn w:val="DefaultParagraphFont"/>
    <w:uiPriority w:val="99"/>
    <w:semiHidden/>
    <w:unhideWhenUsed/>
    <w:rsid w:val="00CF40DD"/>
    <w:rPr>
      <w:color w:val="605E5C"/>
      <w:shd w:val="clear" w:color="auto" w:fill="E1DFDD"/>
    </w:rPr>
  </w:style>
  <w:style w:type="character" w:customStyle="1" w:styleId="UnresolvedMention5">
    <w:name w:val="Unresolved Mention5"/>
    <w:basedOn w:val="DefaultParagraphFont"/>
    <w:uiPriority w:val="99"/>
    <w:semiHidden/>
    <w:unhideWhenUsed/>
    <w:rsid w:val="00EA20A9"/>
    <w:rPr>
      <w:color w:val="605E5C"/>
      <w:shd w:val="clear" w:color="auto" w:fill="E1DFDD"/>
    </w:rPr>
  </w:style>
  <w:style w:type="character" w:customStyle="1" w:styleId="UnresolvedMention6">
    <w:name w:val="Unresolved Mention6"/>
    <w:basedOn w:val="DefaultParagraphFont"/>
    <w:uiPriority w:val="99"/>
    <w:semiHidden/>
    <w:unhideWhenUsed/>
    <w:rsid w:val="00FF30D2"/>
    <w:rPr>
      <w:color w:val="605E5C"/>
      <w:shd w:val="clear" w:color="auto" w:fill="E1DFDD"/>
    </w:rPr>
  </w:style>
  <w:style w:type="character" w:styleId="UnresolvedMention">
    <w:name w:val="Unresolved Mention"/>
    <w:basedOn w:val="DefaultParagraphFont"/>
    <w:uiPriority w:val="99"/>
    <w:semiHidden/>
    <w:unhideWhenUsed/>
    <w:rsid w:val="00D45507"/>
    <w:rPr>
      <w:color w:val="605E5C"/>
      <w:shd w:val="clear" w:color="auto" w:fill="E1DFDD"/>
    </w:rPr>
  </w:style>
  <w:style w:type="character" w:customStyle="1" w:styleId="71Italique">
    <w:name w:val="71_Italique"/>
    <w:qFormat/>
    <w:rsid w:val="00BC365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1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es/A/HRC/46/76" TargetMode="External"/><Relationship Id="rId3" Type="http://schemas.openxmlformats.org/officeDocument/2006/relationships/hyperlink" Target="file:///C:\Users\merino\Downloads\www.comisiondelaverdad.co" TargetMode="External"/><Relationship Id="rId7" Type="http://schemas.openxmlformats.org/officeDocument/2006/relationships/hyperlink" Target="https://reliefweb.int/report/colombia/informe-tendencias-e-impacto-humanitario-en-colombia-2022-fecha-de-corte-enero-septiembre-de-2022-fecha-de-publicacion-24-de-octubre-de-2022" TargetMode="External"/><Relationship Id="rId2" Type="http://schemas.openxmlformats.org/officeDocument/2006/relationships/hyperlink" Target="file:///C:\Users\merino\Downloads\www.contraloria.gov.co\documents\20125\2968463\011.+Resumen+Ejecutivo+-+Sexto+Informe+de+Seguimiento+a+los+Recursos+del+Posconflicto+2022.pdf\3274882a-37d2-5524-0348-2db480837ec1%3ft=1669298586050" TargetMode="External"/><Relationship Id="rId1" Type="http://schemas.openxmlformats.org/officeDocument/2006/relationships/hyperlink" Target="https://petro.presidencia.gov.co/prensa/Paginas/La-paz-en-Colombia-afecta-de-manera-positiva-el-trabajo-con-Estados-Unidos-221003.aspx" TargetMode="External"/><Relationship Id="rId6" Type="http://schemas.openxmlformats.org/officeDocument/2006/relationships/hyperlink" Target="https://curate.nd.edu/show/4f16c250g77" TargetMode="External"/><Relationship Id="rId5" Type="http://schemas.openxmlformats.org/officeDocument/2006/relationships/hyperlink" Target="https://biblio.juridicas.unam.mx/bjv/detalle-libro/5096-impacto-de-la-corrupcion-en-los-derechos-humanos" TargetMode="External"/><Relationship Id="rId4" Type="http://schemas.openxmlformats.org/officeDocument/2006/relationships/hyperlink" Target="https://treaties.u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2494BA522F842B03758F75E1B7929" ma:contentTypeVersion="0" ma:contentTypeDescription="Create a new document." ma:contentTypeScope="" ma:versionID="841e1fb56e4d0444e28615991a01ca5d">
  <xsd:schema xmlns:xsd="http://www.w3.org/2001/XMLSchema" xmlns:xs="http://www.w3.org/2001/XMLSchema" xmlns:p="http://schemas.microsoft.com/office/2006/metadata/properties" targetNamespace="http://schemas.microsoft.com/office/2006/metadata/properties" ma:root="true" ma:fieldsID="690f01c4aab139a1e851fe8c08e330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D8BF2-8E21-4B2F-858A-07921ABA9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419A4F-AD00-4DB5-AE30-D0DAEC37DC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9FC32E-E044-4D52-A416-EF0A4E11B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A_S.dotm</Template>
  <TotalTime>1</TotalTime>
  <Pages>16</Pages>
  <Words>8038</Words>
  <Characters>44215</Characters>
  <Application>Microsoft Office Word</Application>
  <DocSecurity>0</DocSecurity>
  <Lines>368</Lines>
  <Paragraphs>104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A/HRC/52/25</vt:lpstr>
      <vt:lpstr>A/HRC/52/25</vt:lpstr>
      <vt:lpstr/>
    </vt:vector>
  </TitlesOfParts>
  <Company>CSD</Company>
  <LinksUpToDate>false</LinksUpToDate>
  <CharactersWithSpaces>52149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A/HRC/52/25</dc:title>
  <dc:subject/>
  <dc:creator>CEVALLOS Ana-Gabriela</dc:creator>
  <cp:keywords/>
  <cp:lastModifiedBy>Veronique Lanz</cp:lastModifiedBy>
  <cp:revision>2</cp:revision>
  <cp:lastPrinted>2023-06-21T11:38:00Z</cp:lastPrinted>
  <dcterms:created xsi:type="dcterms:W3CDTF">2023-12-21T08:36:00Z</dcterms:created>
  <dcterms:modified xsi:type="dcterms:W3CDTF">2023-12-21T08:36:00Z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0x010100A192494BA522F842B03758F75E1B7929</vt:lpwstr>
  </property>
</Properties>
</file>