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page" w:horzAnchor="page" w:tblpX="1134" w:tblpY="284"/>
        <w:tblOverlap w:val="never"/>
        <w:tblW w:w="9639" w:type="dxa"/>
        <w:tblLayout w:type="fixed"/>
        <w:tblCellMar>
          <w:left w:w="0" w:type="dxa"/>
          <w:right w:w="0" w:type="dxa"/>
        </w:tblCellMar>
        <w:tblLook w:val="01E0" w:firstRow="1" w:lastRow="1" w:firstColumn="1" w:lastColumn="1" w:noHBand="0" w:noVBand="0"/>
      </w:tblPr>
      <w:tblGrid>
        <w:gridCol w:w="1259"/>
        <w:gridCol w:w="2236"/>
        <w:gridCol w:w="3214"/>
        <w:gridCol w:w="2930"/>
      </w:tblGrid>
      <w:tr w:rsidR="00963CBA" w14:paraId="6B8AD765" w14:textId="77777777" w:rsidTr="00562621">
        <w:trPr>
          <w:trHeight w:val="851"/>
        </w:trPr>
        <w:tc>
          <w:tcPr>
            <w:tcW w:w="1259" w:type="dxa"/>
            <w:tcBorders>
              <w:top w:val="nil"/>
              <w:left w:val="nil"/>
              <w:bottom w:val="single" w:sz="4" w:space="0" w:color="auto"/>
              <w:right w:val="nil"/>
            </w:tcBorders>
          </w:tcPr>
          <w:p w14:paraId="042A4612" w14:textId="77777777" w:rsidR="00446DE4" w:rsidRPr="00E806EE" w:rsidRDefault="00446DE4" w:rsidP="00562621">
            <w:pPr>
              <w:tabs>
                <w:tab w:val="right" w:pos="850"/>
                <w:tab w:val="left" w:pos="1134"/>
                <w:tab w:val="right" w:leader="dot" w:pos="8504"/>
              </w:tabs>
              <w:spacing w:before="360" w:after="240"/>
            </w:pPr>
          </w:p>
        </w:tc>
        <w:tc>
          <w:tcPr>
            <w:tcW w:w="2236" w:type="dxa"/>
            <w:tcBorders>
              <w:top w:val="nil"/>
              <w:left w:val="nil"/>
              <w:bottom w:val="single" w:sz="4" w:space="0" w:color="auto"/>
              <w:right w:val="nil"/>
            </w:tcBorders>
            <w:vAlign w:val="bottom"/>
          </w:tcPr>
          <w:p w14:paraId="64CEDF67" w14:textId="51D9ED20" w:rsidR="00446DE4" w:rsidRPr="00963CBA" w:rsidRDefault="00446DE4" w:rsidP="00562621">
            <w:pPr>
              <w:spacing w:after="80" w:line="300" w:lineRule="exact"/>
              <w:rPr>
                <w:sz w:val="28"/>
                <w:szCs w:val="28"/>
              </w:rPr>
            </w:pPr>
          </w:p>
        </w:tc>
        <w:tc>
          <w:tcPr>
            <w:tcW w:w="6144" w:type="dxa"/>
            <w:gridSpan w:val="2"/>
            <w:tcBorders>
              <w:top w:val="nil"/>
              <w:left w:val="nil"/>
              <w:bottom w:val="single" w:sz="4" w:space="0" w:color="auto"/>
              <w:right w:val="nil"/>
            </w:tcBorders>
            <w:vAlign w:val="bottom"/>
          </w:tcPr>
          <w:p w14:paraId="6F5D5B77" w14:textId="7CAF5DF4" w:rsidR="00446DE4" w:rsidRPr="00DE3EC0" w:rsidRDefault="004272D5" w:rsidP="004272D5">
            <w:pPr>
              <w:jc w:val="right"/>
            </w:pPr>
            <w:r w:rsidRPr="004272D5">
              <w:rPr>
                <w:rFonts w:eastAsia="Calibri"/>
              </w:rPr>
              <w:t>A/HRC/53/45</w:t>
            </w:r>
          </w:p>
        </w:tc>
      </w:tr>
      <w:tr w:rsidR="003107FA" w14:paraId="462C65B2" w14:textId="77777777" w:rsidTr="00562621">
        <w:trPr>
          <w:trHeight w:val="2835"/>
        </w:trPr>
        <w:tc>
          <w:tcPr>
            <w:tcW w:w="1259" w:type="dxa"/>
            <w:tcBorders>
              <w:top w:val="single" w:sz="4" w:space="0" w:color="auto"/>
              <w:left w:val="nil"/>
              <w:bottom w:val="single" w:sz="12" w:space="0" w:color="auto"/>
              <w:right w:val="nil"/>
            </w:tcBorders>
          </w:tcPr>
          <w:p w14:paraId="48761E93" w14:textId="71B5D330" w:rsidR="003107FA" w:rsidRDefault="003107FA" w:rsidP="00562621">
            <w:pPr>
              <w:spacing w:before="120"/>
              <w:jc w:val="center"/>
            </w:pPr>
          </w:p>
        </w:tc>
        <w:tc>
          <w:tcPr>
            <w:tcW w:w="5450" w:type="dxa"/>
            <w:gridSpan w:val="2"/>
            <w:tcBorders>
              <w:top w:val="single" w:sz="4" w:space="0" w:color="auto"/>
              <w:left w:val="nil"/>
              <w:bottom w:val="single" w:sz="12" w:space="0" w:color="auto"/>
              <w:right w:val="nil"/>
            </w:tcBorders>
          </w:tcPr>
          <w:p w14:paraId="767FC1FE" w14:textId="35E372BF" w:rsidR="003107FA" w:rsidRPr="00B3317B" w:rsidRDefault="00126C08" w:rsidP="00562621">
            <w:pPr>
              <w:spacing w:before="120" w:line="420" w:lineRule="exact"/>
              <w:rPr>
                <w:b/>
                <w:sz w:val="40"/>
                <w:szCs w:val="40"/>
              </w:rPr>
            </w:pPr>
            <w:r>
              <w:rPr>
                <w:b/>
                <w:sz w:val="40"/>
                <w:szCs w:val="40"/>
              </w:rPr>
              <w:t>Advance unedited version</w:t>
            </w:r>
          </w:p>
        </w:tc>
        <w:tc>
          <w:tcPr>
            <w:tcW w:w="2930" w:type="dxa"/>
            <w:tcBorders>
              <w:top w:val="single" w:sz="4" w:space="0" w:color="auto"/>
              <w:left w:val="nil"/>
              <w:bottom w:val="single" w:sz="12" w:space="0" w:color="auto"/>
              <w:right w:val="nil"/>
            </w:tcBorders>
          </w:tcPr>
          <w:p w14:paraId="1E423040" w14:textId="77777777" w:rsidR="003107FA" w:rsidRDefault="00334AE4" w:rsidP="00334AE4">
            <w:pPr>
              <w:spacing w:before="240" w:line="240" w:lineRule="exact"/>
            </w:pPr>
            <w:r>
              <w:t>Distr.: General</w:t>
            </w:r>
          </w:p>
          <w:p w14:paraId="6C41CE34" w14:textId="0BEF4147" w:rsidR="00334AE4" w:rsidRDefault="00F36E8F" w:rsidP="00334AE4">
            <w:pPr>
              <w:spacing w:line="240" w:lineRule="exact"/>
            </w:pPr>
            <w:r>
              <w:t>12 July</w:t>
            </w:r>
            <w:r w:rsidR="00407161">
              <w:t xml:space="preserve"> </w:t>
            </w:r>
            <w:r w:rsidR="004272D5">
              <w:t>2023</w:t>
            </w:r>
          </w:p>
          <w:p w14:paraId="3390A19E" w14:textId="77777777" w:rsidR="00334AE4" w:rsidRDefault="00334AE4" w:rsidP="00334AE4">
            <w:pPr>
              <w:spacing w:line="240" w:lineRule="exact"/>
            </w:pPr>
          </w:p>
          <w:p w14:paraId="4E9506A2" w14:textId="77777777" w:rsidR="00334AE4" w:rsidRDefault="00334AE4" w:rsidP="00334AE4">
            <w:pPr>
              <w:spacing w:line="240" w:lineRule="exact"/>
            </w:pPr>
            <w:r>
              <w:t>Original: English</w:t>
            </w:r>
          </w:p>
        </w:tc>
      </w:tr>
    </w:tbl>
    <w:p w14:paraId="5AAD4B14" w14:textId="77777777" w:rsidR="00755F4A" w:rsidRPr="00111E76" w:rsidRDefault="00755F4A" w:rsidP="00755F4A">
      <w:pPr>
        <w:kinsoku w:val="0"/>
        <w:overflowPunct w:val="0"/>
        <w:autoSpaceDE w:val="0"/>
        <w:autoSpaceDN w:val="0"/>
        <w:adjustRightInd w:val="0"/>
        <w:snapToGrid w:val="0"/>
        <w:spacing w:before="120"/>
        <w:rPr>
          <w:rFonts w:eastAsia="Calibri"/>
          <w:b/>
          <w:bCs/>
          <w:sz w:val="24"/>
          <w:szCs w:val="24"/>
        </w:rPr>
      </w:pPr>
      <w:r w:rsidRPr="00111E76">
        <w:rPr>
          <w:rFonts w:eastAsia="Calibri"/>
          <w:b/>
          <w:bCs/>
          <w:sz w:val="24"/>
          <w:szCs w:val="24"/>
        </w:rPr>
        <w:t>Human Rights Council</w:t>
      </w:r>
    </w:p>
    <w:p w14:paraId="45261C73" w14:textId="77777777" w:rsidR="00755F4A" w:rsidRPr="00602C39" w:rsidRDefault="00755F4A" w:rsidP="00755F4A">
      <w:pPr>
        <w:kinsoku w:val="0"/>
        <w:overflowPunct w:val="0"/>
        <w:autoSpaceDE w:val="0"/>
        <w:autoSpaceDN w:val="0"/>
        <w:adjustRightInd w:val="0"/>
        <w:snapToGrid w:val="0"/>
        <w:rPr>
          <w:rFonts w:eastAsia="Calibri"/>
          <w:b/>
          <w:bCs/>
        </w:rPr>
      </w:pPr>
      <w:r w:rsidRPr="00602C39">
        <w:rPr>
          <w:rFonts w:eastAsia="Calibri"/>
          <w:b/>
          <w:bCs/>
        </w:rPr>
        <w:t>Fifty-third session</w:t>
      </w:r>
    </w:p>
    <w:p w14:paraId="621E4DFA" w14:textId="77777777" w:rsidR="00755F4A" w:rsidRPr="00755F4A" w:rsidRDefault="00755F4A" w:rsidP="00755F4A">
      <w:pPr>
        <w:kinsoku w:val="0"/>
        <w:overflowPunct w:val="0"/>
        <w:autoSpaceDE w:val="0"/>
        <w:autoSpaceDN w:val="0"/>
        <w:adjustRightInd w:val="0"/>
        <w:snapToGrid w:val="0"/>
        <w:rPr>
          <w:rFonts w:eastAsia="Calibri"/>
        </w:rPr>
      </w:pPr>
      <w:r w:rsidRPr="00755F4A">
        <w:rPr>
          <w:rFonts w:eastAsia="Calibri"/>
        </w:rPr>
        <w:t>19 June–14 July 2023</w:t>
      </w:r>
    </w:p>
    <w:p w14:paraId="3FA266BB" w14:textId="77777777" w:rsidR="00755F4A" w:rsidRPr="00755F4A" w:rsidRDefault="00755F4A" w:rsidP="00755F4A">
      <w:pPr>
        <w:kinsoku w:val="0"/>
        <w:overflowPunct w:val="0"/>
        <w:autoSpaceDE w:val="0"/>
        <w:autoSpaceDN w:val="0"/>
        <w:adjustRightInd w:val="0"/>
        <w:snapToGrid w:val="0"/>
        <w:rPr>
          <w:rFonts w:eastAsia="Calibri"/>
        </w:rPr>
      </w:pPr>
      <w:r w:rsidRPr="00755F4A">
        <w:rPr>
          <w:rFonts w:eastAsia="Calibri"/>
        </w:rPr>
        <w:t>Agenda items 2 and 3</w:t>
      </w:r>
    </w:p>
    <w:p w14:paraId="544BF7E3" w14:textId="77777777" w:rsidR="00755F4A" w:rsidRPr="00755F4A" w:rsidRDefault="00755F4A" w:rsidP="00755F4A">
      <w:pPr>
        <w:kinsoku w:val="0"/>
        <w:overflowPunct w:val="0"/>
        <w:autoSpaceDE w:val="0"/>
        <w:autoSpaceDN w:val="0"/>
        <w:adjustRightInd w:val="0"/>
        <w:snapToGrid w:val="0"/>
        <w:spacing w:after="120"/>
        <w:rPr>
          <w:rFonts w:eastAsia="Calibri"/>
          <w:b/>
          <w:bCs/>
        </w:rPr>
      </w:pPr>
      <w:r w:rsidRPr="00755F4A">
        <w:rPr>
          <w:rFonts w:eastAsia="Calibri"/>
          <w:b/>
          <w:bCs/>
        </w:rPr>
        <w:t>Annual report of the United Nations High Commissioner</w:t>
      </w:r>
      <w:r w:rsidRPr="00755F4A">
        <w:rPr>
          <w:rFonts w:eastAsia="Calibri"/>
          <w:b/>
          <w:bCs/>
        </w:rPr>
        <w:br/>
        <w:t>for Human Rights and reports of the Office of the</w:t>
      </w:r>
      <w:r w:rsidRPr="00755F4A">
        <w:rPr>
          <w:rFonts w:eastAsia="Calibri"/>
          <w:b/>
          <w:bCs/>
        </w:rPr>
        <w:br/>
        <w:t>High Commissioner and the Secretary-General</w:t>
      </w:r>
    </w:p>
    <w:p w14:paraId="77AC0A7B" w14:textId="74A7FB4F" w:rsidR="00407161" w:rsidRDefault="00755F4A" w:rsidP="00F36E8F">
      <w:pPr>
        <w:kinsoku w:val="0"/>
        <w:overflowPunct w:val="0"/>
        <w:autoSpaceDE w:val="0"/>
        <w:autoSpaceDN w:val="0"/>
        <w:adjustRightInd w:val="0"/>
        <w:snapToGrid w:val="0"/>
        <w:rPr>
          <w:rFonts w:eastAsia="Calibri"/>
          <w:b/>
          <w:spacing w:val="4"/>
          <w:w w:val="103"/>
          <w:kern w:val="14"/>
        </w:rPr>
      </w:pPr>
      <w:r w:rsidRPr="00755F4A">
        <w:rPr>
          <w:rFonts w:eastAsia="Calibri"/>
          <w:b/>
          <w:bCs/>
        </w:rPr>
        <w:t>Promotion and protection of all human rights, civil,</w:t>
      </w:r>
      <w:r w:rsidRPr="00755F4A">
        <w:rPr>
          <w:rFonts w:eastAsia="Calibri"/>
          <w:b/>
          <w:bCs/>
        </w:rPr>
        <w:br/>
        <w:t xml:space="preserve">political, economic, </w:t>
      </w:r>
      <w:proofErr w:type="gramStart"/>
      <w:r w:rsidRPr="00755F4A">
        <w:rPr>
          <w:rFonts w:eastAsia="Calibri"/>
          <w:b/>
          <w:bCs/>
        </w:rPr>
        <w:t>social</w:t>
      </w:r>
      <w:proofErr w:type="gramEnd"/>
      <w:r w:rsidRPr="00755F4A">
        <w:rPr>
          <w:rFonts w:eastAsia="Calibri"/>
          <w:b/>
          <w:bCs/>
        </w:rPr>
        <w:t xml:space="preserve"> and cultural rights,</w:t>
      </w:r>
      <w:r w:rsidRPr="00755F4A">
        <w:rPr>
          <w:rFonts w:eastAsia="Calibri"/>
          <w:b/>
          <w:bCs/>
        </w:rPr>
        <w:br/>
        <w:t>including the right to development</w:t>
      </w:r>
    </w:p>
    <w:p w14:paraId="1E1B074C" w14:textId="75909511" w:rsidR="00407161" w:rsidRPr="00F36E8F" w:rsidRDefault="00456EC7" w:rsidP="00F36E8F">
      <w:pPr>
        <w:pStyle w:val="HChG"/>
        <w:rPr>
          <w:rFonts w:eastAsia="Calibri"/>
        </w:rPr>
      </w:pPr>
      <w:r>
        <w:rPr>
          <w:rFonts w:eastAsia="Calibri"/>
          <w:w w:val="103"/>
        </w:rPr>
        <w:tab/>
      </w:r>
      <w:r>
        <w:rPr>
          <w:rFonts w:eastAsia="Calibri"/>
          <w:w w:val="103"/>
        </w:rPr>
        <w:tab/>
      </w:r>
      <w:r w:rsidR="00755F4A" w:rsidRPr="00F36E8F">
        <w:rPr>
          <w:rFonts w:eastAsia="Calibri"/>
        </w:rPr>
        <w:t>Prevention of genocide</w:t>
      </w:r>
    </w:p>
    <w:p w14:paraId="0DF3B6C5" w14:textId="6B610094" w:rsidR="00456EC7" w:rsidRDefault="00456EC7" w:rsidP="00111E76">
      <w:pPr>
        <w:pStyle w:val="H1G"/>
        <w:rPr>
          <w:rFonts w:eastAsia="Calibri"/>
          <w:w w:val="103"/>
        </w:rPr>
      </w:pPr>
      <w:r>
        <w:rPr>
          <w:rFonts w:eastAsia="Calibri"/>
          <w:w w:val="103"/>
        </w:rPr>
        <w:tab/>
      </w:r>
      <w:r>
        <w:rPr>
          <w:rFonts w:eastAsia="Calibri"/>
          <w:w w:val="103"/>
        </w:rPr>
        <w:tab/>
      </w:r>
      <w:r w:rsidRPr="00456EC7">
        <w:rPr>
          <w:rFonts w:eastAsia="Calibri"/>
          <w:w w:val="103"/>
        </w:rPr>
        <w:t>Report of the Secretary-General</w:t>
      </w:r>
      <w:r w:rsidR="00755F4A" w:rsidRPr="00F36E8F">
        <w:rPr>
          <w:rStyle w:val="FootnoteReference"/>
          <w:rFonts w:eastAsia="Calibri"/>
          <w:b w:val="0"/>
          <w:bCs/>
          <w:w w:val="103"/>
          <w:sz w:val="20"/>
          <w:vertAlign w:val="baseline"/>
        </w:rPr>
        <w:footnoteReference w:customMarkFollows="1" w:id="2"/>
        <w:t>*</w:t>
      </w:r>
    </w:p>
    <w:tbl>
      <w:tblPr>
        <w:tblStyle w:val="TableGrid"/>
        <w:tblW w:w="0" w:type="auto"/>
        <w:jc w:val="center"/>
        <w:tblBorders>
          <w:insideH w:val="none" w:sz="0" w:space="0" w:color="auto"/>
        </w:tblBorders>
        <w:tblLook w:val="05E0" w:firstRow="1" w:lastRow="1" w:firstColumn="1" w:lastColumn="1" w:noHBand="0" w:noVBand="1"/>
      </w:tblPr>
      <w:tblGrid>
        <w:gridCol w:w="9615"/>
      </w:tblGrid>
      <w:tr w:rsidR="00456EC7" w14:paraId="0D9AAE81" w14:textId="77777777" w:rsidTr="001D46D3">
        <w:trPr>
          <w:trHeight w:val="1475"/>
          <w:jc w:val="center"/>
        </w:trPr>
        <w:tc>
          <w:tcPr>
            <w:tcW w:w="9615" w:type="dxa"/>
            <w:shd w:val="clear" w:color="auto" w:fill="auto"/>
          </w:tcPr>
          <w:p w14:paraId="691D37F8" w14:textId="7B9132C9" w:rsidR="00456EC7" w:rsidRDefault="00456EC7" w:rsidP="005D730C">
            <w:pPr>
              <w:spacing w:before="240" w:after="120"/>
              <w:ind w:left="255"/>
              <w:rPr>
                <w:i/>
                <w:sz w:val="24"/>
              </w:rPr>
            </w:pPr>
            <w:r w:rsidRPr="00C6263E">
              <w:rPr>
                <w:i/>
                <w:sz w:val="24"/>
              </w:rPr>
              <w:t>Summary</w:t>
            </w:r>
          </w:p>
          <w:p w14:paraId="20F90DFF" w14:textId="62C5B337" w:rsidR="00456EC7" w:rsidRPr="00456EC7" w:rsidRDefault="001D46D3" w:rsidP="00F36E8F">
            <w:pPr>
              <w:pStyle w:val="SingleTxtG"/>
              <w:rPr>
                <w:sz w:val="24"/>
              </w:rPr>
            </w:pPr>
            <w:r>
              <w:tab/>
            </w:r>
            <w:r>
              <w:tab/>
            </w:r>
            <w:r w:rsidRPr="001D46D3">
              <w:t xml:space="preserve">The present report is submitted pursuant to Human Rights Council resolution 49/9, in which the Council requested the Secretary-General to prepare a follow-up report on the implementation of the resolution, with a particular focus on the impact of technological advances on prevention of genocide efforts, and on the risks. The report highlights measures to build national and regional capacity to prevent genocide and examines the opportunities and challenges of digital technologies for prevention efforts. The report also highlights initiatives within the UN system to address these challenges, </w:t>
            </w:r>
            <w:proofErr w:type="gramStart"/>
            <w:r w:rsidRPr="001D46D3">
              <w:t>in particular regarding</w:t>
            </w:r>
            <w:proofErr w:type="gramEnd"/>
            <w:r w:rsidRPr="001D46D3">
              <w:t xml:space="preserve"> hate speech, and contains recommendations to Member States and private companies on how to harness the opportunities provided by the digital space to enhance protection efforts.</w:t>
            </w:r>
          </w:p>
        </w:tc>
      </w:tr>
      <w:tr w:rsidR="00456EC7" w14:paraId="0CD41B8B" w14:textId="77777777" w:rsidTr="001D46D3">
        <w:trPr>
          <w:trHeight w:val="222"/>
          <w:jc w:val="center"/>
        </w:trPr>
        <w:tc>
          <w:tcPr>
            <w:tcW w:w="9615" w:type="dxa"/>
            <w:shd w:val="clear" w:color="auto" w:fill="auto"/>
          </w:tcPr>
          <w:p w14:paraId="2BD7B1FE" w14:textId="77777777" w:rsidR="00456EC7" w:rsidRDefault="00456EC7" w:rsidP="005D730C"/>
        </w:tc>
      </w:tr>
    </w:tbl>
    <w:p w14:paraId="403154CD" w14:textId="77777777" w:rsidR="00404571" w:rsidRDefault="00404571" w:rsidP="00456EC7">
      <w:pPr>
        <w:rPr>
          <w:rFonts w:eastAsia="Calibri"/>
        </w:rPr>
      </w:pPr>
    </w:p>
    <w:p w14:paraId="0A3F383B" w14:textId="0995D65B" w:rsidR="0048735D" w:rsidRDefault="00404571" w:rsidP="006E5C08">
      <w:pPr>
        <w:rPr>
          <w:rFonts w:eastAsia="Calibri"/>
        </w:rPr>
      </w:pPr>
      <w:r>
        <w:rPr>
          <w:rFonts w:eastAsia="Calibri"/>
        </w:rPr>
        <w:br w:type="page"/>
      </w:r>
    </w:p>
    <w:p w14:paraId="1F019C1C" w14:textId="21E11F9F" w:rsidR="00730146" w:rsidRPr="00110AEE" w:rsidRDefault="0048735D" w:rsidP="00126C08">
      <w:pPr>
        <w:pStyle w:val="HChG"/>
        <w:rPr>
          <w:rFonts w:eastAsia="Calibri"/>
        </w:rPr>
      </w:pPr>
      <w:r>
        <w:rPr>
          <w:rFonts w:eastAsia="Calibri"/>
        </w:rPr>
        <w:lastRenderedPageBreak/>
        <w:tab/>
      </w:r>
      <w:r w:rsidR="00730146">
        <w:rPr>
          <w:rFonts w:eastAsia="Calibri"/>
        </w:rPr>
        <w:t>I.</w:t>
      </w:r>
      <w:r w:rsidR="00730146">
        <w:rPr>
          <w:rFonts w:eastAsia="Calibri"/>
        </w:rPr>
        <w:tab/>
      </w:r>
      <w:r w:rsidR="00F36E8F">
        <w:rPr>
          <w:lang w:val="en-US"/>
        </w:rPr>
        <w:t>I</w:t>
      </w:r>
      <w:r w:rsidR="00F36E8F" w:rsidRPr="00730146">
        <w:rPr>
          <w:lang w:val="en-US"/>
        </w:rPr>
        <w:t>ntroduction</w:t>
      </w:r>
    </w:p>
    <w:p w14:paraId="63A44633" w14:textId="2E18845C" w:rsidR="00730146" w:rsidRPr="00730146" w:rsidRDefault="00730146" w:rsidP="00730146">
      <w:pPr>
        <w:pStyle w:val="SingleTxtG"/>
        <w:rPr>
          <w:lang w:val="en-US" w:eastAsia="en-GB"/>
        </w:rPr>
      </w:pPr>
      <w:r>
        <w:rPr>
          <w:lang w:val="en-US" w:eastAsia="en-GB"/>
        </w:rPr>
        <w:t>1.</w:t>
      </w:r>
      <w:r>
        <w:rPr>
          <w:lang w:val="en-US" w:eastAsia="en-GB"/>
        </w:rPr>
        <w:tab/>
      </w:r>
      <w:r w:rsidRPr="00730146">
        <w:rPr>
          <w:lang w:eastAsia="en-GB"/>
        </w:rPr>
        <w:t xml:space="preserve">The present report is submitted pursuant to Human Rights Council resolution </w:t>
      </w:r>
      <w:r w:rsidRPr="00730146">
        <w:rPr>
          <w:lang w:val="en-US" w:eastAsia="en-GB"/>
        </w:rPr>
        <w:t>49/9</w:t>
      </w:r>
      <w:r w:rsidRPr="00730146">
        <w:rPr>
          <w:lang w:eastAsia="en-GB"/>
        </w:rPr>
        <w:t>, in which the Council requested the Secretary-General to prepare a follow-up report</w:t>
      </w:r>
      <w:r w:rsidRPr="00730146">
        <w:rPr>
          <w:lang w:val="en-US" w:eastAsia="en-GB"/>
        </w:rPr>
        <w:t xml:space="preserve"> </w:t>
      </w:r>
      <w:r w:rsidRPr="00730146">
        <w:rPr>
          <w:lang w:eastAsia="en-GB"/>
        </w:rPr>
        <w:t>on the implementation of the provisions of the resolution, based on information provided by Member States</w:t>
      </w:r>
      <w:r w:rsidRPr="00730146">
        <w:rPr>
          <w:lang w:val="en-US" w:eastAsia="en-GB"/>
        </w:rPr>
        <w:t xml:space="preserve"> and other stakeholders</w:t>
      </w:r>
      <w:r w:rsidRPr="00730146">
        <w:rPr>
          <w:lang w:eastAsia="en-GB"/>
        </w:rPr>
        <w:t xml:space="preserve">, with a particular focus on </w:t>
      </w:r>
      <w:r w:rsidRPr="00730146">
        <w:rPr>
          <w:lang w:val="en-US" w:eastAsia="en-GB"/>
        </w:rPr>
        <w:t xml:space="preserve">the impact of technological advances on prevention of genocide efforts, and on the risks </w:t>
      </w:r>
      <w:r w:rsidRPr="00730146">
        <w:rPr>
          <w:lang w:eastAsia="en-GB"/>
        </w:rPr>
        <w:t>of</w:t>
      </w:r>
      <w:r w:rsidRPr="00730146">
        <w:rPr>
          <w:lang w:val="en-US" w:eastAsia="en-GB"/>
        </w:rPr>
        <w:t xml:space="preserve"> the perpetration of genocide.</w:t>
      </w:r>
    </w:p>
    <w:p w14:paraId="66245435" w14:textId="08184B06" w:rsidR="00730146" w:rsidRPr="00111E76" w:rsidRDefault="00730146" w:rsidP="00111E76">
      <w:pPr>
        <w:pStyle w:val="SingleTxtG"/>
        <w:rPr>
          <w:lang w:eastAsia="en-GB"/>
        </w:rPr>
      </w:pPr>
      <w:r>
        <w:rPr>
          <w:lang w:val="en-US" w:eastAsia="en-GB"/>
        </w:rPr>
        <w:t>2.</w:t>
      </w:r>
      <w:r>
        <w:rPr>
          <w:lang w:val="en-US" w:eastAsia="en-GB"/>
        </w:rPr>
        <w:tab/>
      </w:r>
      <w:r w:rsidRPr="00730146">
        <w:rPr>
          <w:lang w:val="en-US" w:eastAsia="en-GB"/>
        </w:rPr>
        <w:t>For the preparation of the report</w:t>
      </w:r>
      <w:r w:rsidRPr="00730146">
        <w:rPr>
          <w:lang w:eastAsia="en-GB"/>
        </w:rPr>
        <w:t>, the Office of the Special Adviser to the Secretary-General on the Prevention of Genocide shared a questionnaire with Member States</w:t>
      </w:r>
      <w:r w:rsidRPr="00730146">
        <w:rPr>
          <w:lang w:val="en-US" w:eastAsia="en-GB"/>
        </w:rPr>
        <w:t xml:space="preserve"> and other stakeholders</w:t>
      </w:r>
      <w:r w:rsidRPr="00730146">
        <w:rPr>
          <w:lang w:eastAsia="en-GB"/>
        </w:rPr>
        <w:t xml:space="preserve">, requesting information on the implementation of the resolution. The information compiled </w:t>
      </w:r>
      <w:r w:rsidRPr="00730146">
        <w:rPr>
          <w:lang w:val="en-US" w:eastAsia="en-GB"/>
        </w:rPr>
        <w:t xml:space="preserve">from the submissions received </w:t>
      </w:r>
      <w:r w:rsidRPr="00730146">
        <w:rPr>
          <w:lang w:eastAsia="en-GB"/>
        </w:rPr>
        <w:t xml:space="preserve">has been organized in two main sections, the first pertaining to the prevention of genocide by strengthening capacities at the national, regional, and international levels, and the second </w:t>
      </w:r>
      <w:r w:rsidRPr="00730146">
        <w:rPr>
          <w:lang w:val="en-US" w:eastAsia="en-GB"/>
        </w:rPr>
        <w:t>on the impact of technological advances on prevention, and possible risks</w:t>
      </w:r>
      <w:r w:rsidRPr="00730146">
        <w:rPr>
          <w:lang w:eastAsia="en-GB"/>
        </w:rPr>
        <w:t xml:space="preserve">. </w:t>
      </w:r>
    </w:p>
    <w:p w14:paraId="3D29A543" w14:textId="1BC33ECD" w:rsidR="00730146" w:rsidRPr="00126C08" w:rsidRDefault="00111E76" w:rsidP="00126C08">
      <w:pPr>
        <w:pStyle w:val="HChG"/>
        <w:rPr>
          <w:rFonts w:eastAsia="Calibri"/>
        </w:rPr>
      </w:pPr>
      <w:r>
        <w:rPr>
          <w:rFonts w:eastAsia="Calibri"/>
          <w:lang w:val="en-US"/>
        </w:rPr>
        <w:tab/>
      </w:r>
      <w:r w:rsidRPr="00126C08">
        <w:rPr>
          <w:rFonts w:eastAsia="Calibri"/>
        </w:rPr>
        <w:t>II.</w:t>
      </w:r>
      <w:r w:rsidRPr="00126C08">
        <w:rPr>
          <w:rFonts w:eastAsia="Calibri"/>
        </w:rPr>
        <w:tab/>
      </w:r>
      <w:r w:rsidR="00F36E8F" w:rsidRPr="00126C08">
        <w:rPr>
          <w:rFonts w:eastAsia="Calibri"/>
        </w:rPr>
        <w:t xml:space="preserve">Strengthening capacities for the prevention of genocide </w:t>
      </w:r>
    </w:p>
    <w:p w14:paraId="01B5E345" w14:textId="14E85120" w:rsidR="00730146" w:rsidRPr="00730146" w:rsidRDefault="00730146" w:rsidP="00730146">
      <w:pPr>
        <w:pStyle w:val="SingleTxtG"/>
        <w:rPr>
          <w:lang w:eastAsia="en-GB"/>
        </w:rPr>
      </w:pPr>
      <w:r>
        <w:rPr>
          <w:shd w:val="clear" w:color="auto" w:fill="FFFFFF"/>
          <w:lang w:eastAsia="en-GB"/>
        </w:rPr>
        <w:t>3.</w:t>
      </w:r>
      <w:r>
        <w:rPr>
          <w:shd w:val="clear" w:color="auto" w:fill="FFFFFF"/>
          <w:lang w:eastAsia="en-GB"/>
        </w:rPr>
        <w:tab/>
      </w:r>
      <w:r w:rsidRPr="00730146">
        <w:rPr>
          <w:shd w:val="clear" w:color="auto" w:fill="FFFFFF"/>
          <w:lang w:eastAsia="en-GB"/>
        </w:rPr>
        <w:t xml:space="preserve">Genocide was first </w:t>
      </w:r>
      <w:r w:rsidR="00A01A70" w:rsidRPr="00730146">
        <w:rPr>
          <w:shd w:val="clear" w:color="auto" w:fill="FFFFFF"/>
          <w:lang w:eastAsia="en-GB"/>
        </w:rPr>
        <w:t>recogni</w:t>
      </w:r>
      <w:r w:rsidR="00A01A70">
        <w:rPr>
          <w:shd w:val="clear" w:color="auto" w:fill="FFFFFF"/>
          <w:lang w:eastAsia="en-GB"/>
        </w:rPr>
        <w:t>z</w:t>
      </w:r>
      <w:r w:rsidR="00A01A70" w:rsidRPr="00730146">
        <w:rPr>
          <w:shd w:val="clear" w:color="auto" w:fill="FFFFFF"/>
          <w:lang w:eastAsia="en-GB"/>
        </w:rPr>
        <w:t xml:space="preserve">ed </w:t>
      </w:r>
      <w:r w:rsidRPr="00730146">
        <w:rPr>
          <w:shd w:val="clear" w:color="auto" w:fill="FFFFFF"/>
          <w:lang w:eastAsia="en-GB"/>
        </w:rPr>
        <w:t xml:space="preserve">as a crime under international law in 1946 by the United Nations General Assembly </w:t>
      </w:r>
      <w:r w:rsidR="002D2390" w:rsidRPr="00564E89">
        <w:rPr>
          <w:shd w:val="clear" w:color="auto" w:fill="FFFFFF"/>
          <w:lang w:eastAsia="en-GB"/>
        </w:rPr>
        <w:t xml:space="preserve">in resolution </w:t>
      </w:r>
      <w:hyperlink r:id="rId11" w:history="1">
        <w:r w:rsidR="002D2390" w:rsidRPr="00564E89">
          <w:rPr>
            <w:rStyle w:val="Hyperlink"/>
            <w:shd w:val="clear" w:color="auto" w:fill="FFFFFF"/>
            <w:lang w:eastAsia="en-GB"/>
          </w:rPr>
          <w:t>96-I</w:t>
        </w:r>
      </w:hyperlink>
      <w:r w:rsidRPr="00730146">
        <w:rPr>
          <w:shd w:val="clear" w:color="auto" w:fill="FFFFFF"/>
          <w:lang w:eastAsia="en-GB"/>
        </w:rPr>
        <w:t xml:space="preserve">. It was codified as an independent </w:t>
      </w:r>
      <w:r w:rsidR="009D6A54">
        <w:rPr>
          <w:shd w:val="clear" w:color="auto" w:fill="FFFFFF"/>
          <w:lang w:eastAsia="en-GB"/>
        </w:rPr>
        <w:t xml:space="preserve">international </w:t>
      </w:r>
      <w:r w:rsidRPr="00730146">
        <w:rPr>
          <w:shd w:val="clear" w:color="auto" w:fill="FFFFFF"/>
          <w:lang w:eastAsia="en-GB"/>
        </w:rPr>
        <w:t>crime in the </w:t>
      </w:r>
      <w:hyperlink r:id="rId12" w:history="1">
        <w:r w:rsidRPr="00730146">
          <w:rPr>
            <w:color w:val="000000"/>
            <w:lang w:eastAsia="en-GB"/>
          </w:rPr>
          <w:t>1948 Convention on the Prevention and Punishment of the Crime of Genocide</w:t>
        </w:r>
      </w:hyperlink>
      <w:r w:rsidRPr="00730146">
        <w:rPr>
          <w:shd w:val="clear" w:color="auto" w:fill="FFFFFF"/>
          <w:lang w:eastAsia="en-GB"/>
        </w:rPr>
        <w:t> (Genocide Convention)</w:t>
      </w:r>
      <w:r w:rsidR="00391929">
        <w:rPr>
          <w:shd w:val="clear" w:color="auto" w:fill="FFFFFF"/>
          <w:lang w:eastAsia="en-GB"/>
        </w:rPr>
        <w:t xml:space="preserve">, </w:t>
      </w:r>
      <w:r w:rsidR="005856E2">
        <w:rPr>
          <w:shd w:val="clear" w:color="auto" w:fill="FFFFFF"/>
          <w:lang w:eastAsia="en-GB"/>
        </w:rPr>
        <w:t>to</w:t>
      </w:r>
      <w:r w:rsidR="00391929">
        <w:rPr>
          <w:shd w:val="clear" w:color="auto" w:fill="FFFFFF"/>
          <w:lang w:eastAsia="en-GB"/>
        </w:rPr>
        <w:t xml:space="preserve"> which </w:t>
      </w:r>
      <w:r w:rsidR="009E58CC" w:rsidRPr="00730146">
        <w:rPr>
          <w:shd w:val="clear" w:color="auto" w:fill="FFFFFF"/>
          <w:lang w:eastAsia="en-GB"/>
        </w:rPr>
        <w:t xml:space="preserve">153 States </w:t>
      </w:r>
      <w:r w:rsidR="009E58CC">
        <w:rPr>
          <w:shd w:val="clear" w:color="auto" w:fill="FFFFFF"/>
          <w:lang w:eastAsia="en-GB"/>
        </w:rPr>
        <w:t>are Parties</w:t>
      </w:r>
      <w:r w:rsidRPr="00730146">
        <w:rPr>
          <w:shd w:val="clear" w:color="auto" w:fill="FFFFFF"/>
          <w:lang w:eastAsia="en-GB"/>
        </w:rPr>
        <w:t>.</w:t>
      </w:r>
      <w:r w:rsidRPr="00730146" w:rsidDel="00BC15D6">
        <w:rPr>
          <w:lang w:eastAsia="en-GB"/>
        </w:rPr>
        <w:t xml:space="preserve"> </w:t>
      </w:r>
      <w:r w:rsidR="003A740A">
        <w:rPr>
          <w:lang w:eastAsia="en-GB"/>
        </w:rPr>
        <w:t>This</w:t>
      </w:r>
      <w:r w:rsidRPr="00730146">
        <w:rPr>
          <w:lang w:eastAsia="en-GB"/>
        </w:rPr>
        <w:t xml:space="preserve"> section</w:t>
      </w:r>
      <w:r w:rsidR="003A740A">
        <w:rPr>
          <w:lang w:eastAsia="en-GB"/>
        </w:rPr>
        <w:t xml:space="preserve"> </w:t>
      </w:r>
      <w:r w:rsidR="00B57DA1">
        <w:rPr>
          <w:lang w:eastAsia="en-GB"/>
        </w:rPr>
        <w:t>reports on</w:t>
      </w:r>
      <w:r w:rsidR="00B57DA1" w:rsidRPr="00730146">
        <w:rPr>
          <w:lang w:eastAsia="en-GB"/>
        </w:rPr>
        <w:t xml:space="preserve"> </w:t>
      </w:r>
      <w:r w:rsidRPr="00730146">
        <w:rPr>
          <w:lang w:eastAsia="en-GB"/>
        </w:rPr>
        <w:t xml:space="preserve">measures taken by States to comply with their international obligations and responsibilities in this respect and identify additional steps that could be taken to prevent </w:t>
      </w:r>
      <w:r w:rsidR="007E6A55">
        <w:rPr>
          <w:lang w:eastAsia="en-GB"/>
        </w:rPr>
        <w:t>genocide</w:t>
      </w:r>
      <w:r w:rsidRPr="00730146">
        <w:rPr>
          <w:lang w:eastAsia="en-GB"/>
        </w:rPr>
        <w:t>.</w:t>
      </w:r>
    </w:p>
    <w:p w14:paraId="5B03A770" w14:textId="3FE6F667" w:rsidR="00730146" w:rsidRPr="00111E76" w:rsidRDefault="00111E76" w:rsidP="00111E76">
      <w:pPr>
        <w:pStyle w:val="H1G"/>
        <w:rPr>
          <w:rFonts w:eastAsia="Calibri"/>
          <w:lang w:val="en-US"/>
        </w:rPr>
      </w:pPr>
      <w:r>
        <w:rPr>
          <w:rFonts w:eastAsia="Calibri"/>
          <w:lang w:val="en-US"/>
        </w:rPr>
        <w:tab/>
        <w:t>A.</w:t>
      </w:r>
      <w:r>
        <w:rPr>
          <w:rFonts w:eastAsia="Calibri"/>
          <w:lang w:val="en-US"/>
        </w:rPr>
        <w:tab/>
      </w:r>
      <w:r w:rsidR="00730146" w:rsidRPr="00730146">
        <w:rPr>
          <w:rFonts w:eastAsia="Calibri"/>
          <w:lang w:val="en-US"/>
        </w:rPr>
        <w:t>National capacities</w:t>
      </w:r>
    </w:p>
    <w:p w14:paraId="1CDD7CEC" w14:textId="6161BD4A" w:rsidR="00730146" w:rsidRPr="00730146" w:rsidRDefault="00AB6EDF" w:rsidP="00AB6EDF">
      <w:pPr>
        <w:pStyle w:val="SingleTxtG"/>
        <w:rPr>
          <w:lang w:eastAsia="en-GB"/>
        </w:rPr>
      </w:pPr>
      <w:r>
        <w:rPr>
          <w:lang w:eastAsia="en-GB"/>
        </w:rPr>
        <w:t>4.</w:t>
      </w:r>
      <w:r>
        <w:rPr>
          <w:lang w:eastAsia="en-GB"/>
        </w:rPr>
        <w:tab/>
      </w:r>
      <w:r w:rsidR="00730146" w:rsidRPr="00730146">
        <w:rPr>
          <w:lang w:eastAsia="en-GB"/>
        </w:rPr>
        <w:t xml:space="preserve">The duty to prevent and punish genocide is well established in international law and is a responsibility that lies primarily with States. By </w:t>
      </w:r>
      <w:r w:rsidR="00A20DB1">
        <w:rPr>
          <w:lang w:eastAsia="en-GB"/>
        </w:rPr>
        <w:t>becoming Parties to</w:t>
      </w:r>
      <w:r w:rsidR="00730146" w:rsidRPr="00730146">
        <w:rPr>
          <w:lang w:eastAsia="en-GB"/>
        </w:rPr>
        <w:t xml:space="preserve"> the Genocide Convention, States undertake to prevent and punish this crime, thereby contributing to ensuring</w:t>
      </w:r>
      <w:r w:rsidR="00730146" w:rsidRPr="00730146">
        <w:rPr>
          <w:lang w:val="en-US" w:eastAsia="en-GB"/>
        </w:rPr>
        <w:t xml:space="preserve"> </w:t>
      </w:r>
      <w:r w:rsidR="00730146" w:rsidRPr="00730146">
        <w:rPr>
          <w:lang w:eastAsia="en-GB"/>
        </w:rPr>
        <w:t xml:space="preserve">the non-recurrence, and ultimately the eradication of genocide. Since </w:t>
      </w:r>
      <w:r w:rsidR="00AC3732">
        <w:rPr>
          <w:lang w:eastAsia="en-GB"/>
        </w:rPr>
        <w:t>the</w:t>
      </w:r>
      <w:r w:rsidR="00AC3732" w:rsidRPr="00730146">
        <w:rPr>
          <w:lang w:eastAsia="en-GB"/>
        </w:rPr>
        <w:t xml:space="preserve"> </w:t>
      </w:r>
      <w:r w:rsidR="00730146" w:rsidRPr="00730146">
        <w:rPr>
          <w:lang w:eastAsia="en-GB"/>
        </w:rPr>
        <w:t>previous report</w:t>
      </w:r>
      <w:r w:rsidR="00730146" w:rsidRPr="393F8FC5">
        <w:rPr>
          <w:sz w:val="18"/>
          <w:szCs w:val="18"/>
          <w:vertAlign w:val="superscript"/>
          <w:lang w:eastAsia="en-GB"/>
        </w:rPr>
        <w:footnoteReference w:id="3"/>
      </w:r>
      <w:r w:rsidR="00730146" w:rsidRPr="00730146">
        <w:rPr>
          <w:lang w:eastAsia="en-GB"/>
        </w:rPr>
        <w:t xml:space="preserve"> the number of States parties to the </w:t>
      </w:r>
      <w:r w:rsidR="00730146" w:rsidRPr="00730146">
        <w:rPr>
          <w:lang w:val="en-US" w:eastAsia="en-GB"/>
        </w:rPr>
        <w:t xml:space="preserve">Genocide </w:t>
      </w:r>
      <w:r w:rsidR="00730146" w:rsidRPr="00730146">
        <w:rPr>
          <w:lang w:eastAsia="en-GB"/>
        </w:rPr>
        <w:t xml:space="preserve">Convention has risen to 153, with the accession of Mauritius in July 2019 and </w:t>
      </w:r>
      <w:r w:rsidR="00931757">
        <w:rPr>
          <w:lang w:eastAsia="en-GB"/>
        </w:rPr>
        <w:t xml:space="preserve">the </w:t>
      </w:r>
      <w:r w:rsidR="00730146" w:rsidRPr="00730146">
        <w:rPr>
          <w:lang w:eastAsia="en-GB"/>
        </w:rPr>
        <w:t xml:space="preserve">Republic of Zambia in April 2022. </w:t>
      </w:r>
      <w:r w:rsidR="00FF0A82">
        <w:rPr>
          <w:lang w:eastAsia="en-GB"/>
        </w:rPr>
        <w:t>G</w:t>
      </w:r>
      <w:r w:rsidR="00B57D90">
        <w:rPr>
          <w:lang w:eastAsia="en-GB"/>
        </w:rPr>
        <w:t>enocide</w:t>
      </w:r>
      <w:r w:rsidR="007F6785" w:rsidRPr="00730146">
        <w:rPr>
          <w:lang w:eastAsia="en-GB"/>
        </w:rPr>
        <w:t xml:space="preserve"> </w:t>
      </w:r>
      <w:r w:rsidR="00315F9B">
        <w:rPr>
          <w:lang w:eastAsia="en-GB"/>
        </w:rPr>
        <w:t>is</w:t>
      </w:r>
      <w:r w:rsidR="009609C9">
        <w:rPr>
          <w:lang w:eastAsia="en-GB"/>
        </w:rPr>
        <w:t xml:space="preserve"> also recognized as one of the </w:t>
      </w:r>
      <w:r w:rsidR="009609C9">
        <w:t>most serious crimes of concern to the international community</w:t>
      </w:r>
      <w:r w:rsidR="00730146" w:rsidRPr="00730146">
        <w:rPr>
          <w:lang w:eastAsia="en-GB"/>
        </w:rPr>
        <w:t xml:space="preserve"> </w:t>
      </w:r>
      <w:r w:rsidR="009609C9">
        <w:rPr>
          <w:lang w:eastAsia="en-GB"/>
        </w:rPr>
        <w:t>under</w:t>
      </w:r>
      <w:r w:rsidR="00730146" w:rsidRPr="00730146">
        <w:rPr>
          <w:lang w:eastAsia="en-GB"/>
        </w:rPr>
        <w:t xml:space="preserve"> the Rome Statute of the International Criminal Court</w:t>
      </w:r>
      <w:r w:rsidR="00730146" w:rsidRPr="00730146">
        <w:rPr>
          <w:lang w:eastAsia="zh-CN"/>
        </w:rPr>
        <w:t xml:space="preserve">. </w:t>
      </w:r>
      <w:r w:rsidR="00257EEE">
        <w:rPr>
          <w:lang w:eastAsia="en-GB"/>
        </w:rPr>
        <w:t>Becoming a Party to</w:t>
      </w:r>
      <w:r w:rsidR="00730146" w:rsidRPr="00730146">
        <w:rPr>
          <w:lang w:eastAsia="en-GB"/>
        </w:rPr>
        <w:t xml:space="preserve"> the Genocide Convention </w:t>
      </w:r>
      <w:r w:rsidR="0070225F">
        <w:rPr>
          <w:lang w:eastAsia="en-GB"/>
        </w:rPr>
        <w:t xml:space="preserve">may </w:t>
      </w:r>
      <w:r w:rsidR="00DC6A47">
        <w:rPr>
          <w:lang w:eastAsia="en-GB"/>
        </w:rPr>
        <w:t>constitute th</w:t>
      </w:r>
      <w:r w:rsidR="001E538C">
        <w:rPr>
          <w:lang w:eastAsia="en-GB"/>
        </w:rPr>
        <w:t xml:space="preserve">e </w:t>
      </w:r>
      <w:r w:rsidR="00730146" w:rsidRPr="00730146">
        <w:rPr>
          <w:lang w:eastAsia="en-GB"/>
        </w:rPr>
        <w:t>first step</w:t>
      </w:r>
      <w:r w:rsidR="00BA0BD2">
        <w:rPr>
          <w:lang w:eastAsia="en-GB"/>
        </w:rPr>
        <w:t xml:space="preserve"> in States’</w:t>
      </w:r>
      <w:r w:rsidR="00125397">
        <w:rPr>
          <w:lang w:eastAsia="en-GB"/>
        </w:rPr>
        <w:t xml:space="preserve"> efforts to criminalize genocide</w:t>
      </w:r>
      <w:r w:rsidR="007E29A4">
        <w:rPr>
          <w:lang w:eastAsia="en-GB"/>
        </w:rPr>
        <w:t xml:space="preserve">. </w:t>
      </w:r>
      <w:r w:rsidR="00754259">
        <w:rPr>
          <w:lang w:eastAsia="en-GB"/>
        </w:rPr>
        <w:t xml:space="preserve">In accordance with </w:t>
      </w:r>
      <w:r w:rsidR="007E29A4">
        <w:rPr>
          <w:lang w:eastAsia="en-GB"/>
        </w:rPr>
        <w:t>the Convention</w:t>
      </w:r>
      <w:r w:rsidR="00754259">
        <w:rPr>
          <w:lang w:eastAsia="en-GB"/>
        </w:rPr>
        <w:t xml:space="preserve">, Parties </w:t>
      </w:r>
      <w:r w:rsidR="00D82453">
        <w:rPr>
          <w:lang w:eastAsia="en-GB"/>
        </w:rPr>
        <w:t>undertake to enact</w:t>
      </w:r>
      <w:r w:rsidR="00754259">
        <w:rPr>
          <w:lang w:eastAsia="en-GB"/>
        </w:rPr>
        <w:t xml:space="preserve"> </w:t>
      </w:r>
      <w:r w:rsidR="00754259">
        <w:t xml:space="preserve">the necessary legislation to give effect to </w:t>
      </w:r>
      <w:r w:rsidR="0047086F">
        <w:t>its</w:t>
      </w:r>
      <w:r w:rsidR="00754259">
        <w:t xml:space="preserve"> provisions</w:t>
      </w:r>
      <w:r w:rsidR="0070225F">
        <w:t>, and to provide effective penalties</w:t>
      </w:r>
      <w:r w:rsidR="00217BD9">
        <w:t>.</w:t>
      </w:r>
      <w:r w:rsidR="00730146" w:rsidRPr="00730146">
        <w:rPr>
          <w:lang w:eastAsia="en-GB"/>
        </w:rPr>
        <w:t xml:space="preserve"> In </w:t>
      </w:r>
      <w:r w:rsidR="003C3F42">
        <w:rPr>
          <w:lang w:eastAsia="en-GB"/>
        </w:rPr>
        <w:t>the</w:t>
      </w:r>
      <w:r w:rsidR="003C3F42" w:rsidRPr="00730146">
        <w:rPr>
          <w:lang w:eastAsia="en-GB"/>
        </w:rPr>
        <w:t xml:space="preserve"> </w:t>
      </w:r>
      <w:r w:rsidR="00730146" w:rsidRPr="00730146">
        <w:rPr>
          <w:lang w:eastAsia="en-GB"/>
        </w:rPr>
        <w:t xml:space="preserve">previous report to the Council on the Prevention of Genocide, </w:t>
      </w:r>
      <w:r w:rsidR="003C3F42">
        <w:rPr>
          <w:lang w:eastAsia="en-GB"/>
        </w:rPr>
        <w:t>the Secre</w:t>
      </w:r>
      <w:r w:rsidR="00CD32D0">
        <w:rPr>
          <w:lang w:eastAsia="en-GB"/>
        </w:rPr>
        <w:t xml:space="preserve">tary-General </w:t>
      </w:r>
      <w:r w:rsidR="00730146" w:rsidRPr="00730146">
        <w:rPr>
          <w:lang w:eastAsia="en-GB"/>
        </w:rPr>
        <w:t>highlighted examples of national legislation prohibiting genocide as well as national and regional mechanisms for prevention.</w:t>
      </w:r>
      <w:r w:rsidR="00730146" w:rsidRPr="393F8FC5">
        <w:rPr>
          <w:sz w:val="18"/>
          <w:szCs w:val="18"/>
          <w:vertAlign w:val="superscript"/>
          <w:lang w:eastAsia="en-GB"/>
        </w:rPr>
        <w:footnoteReference w:id="4"/>
      </w:r>
      <w:r w:rsidR="00730146" w:rsidRPr="00730146">
        <w:rPr>
          <w:lang w:eastAsia="en-GB"/>
        </w:rPr>
        <w:t xml:space="preserve"> Prevention mechanism</w:t>
      </w:r>
      <w:r w:rsidR="00992F2E">
        <w:rPr>
          <w:lang w:eastAsia="en-GB"/>
        </w:rPr>
        <w:t>s</w:t>
      </w:r>
      <w:r w:rsidR="00730146" w:rsidRPr="00730146">
        <w:rPr>
          <w:lang w:eastAsia="en-GB"/>
        </w:rPr>
        <w:t xml:space="preserve"> such as national committees on genocide prevention or national focal points on genocide prevention can play an important role in detection and response to risk factors. </w:t>
      </w:r>
    </w:p>
    <w:p w14:paraId="54718506" w14:textId="17FF583F" w:rsidR="00730146" w:rsidRPr="004D2F6D" w:rsidRDefault="00AB6EDF" w:rsidP="004D2F6D">
      <w:pPr>
        <w:pStyle w:val="SingleTxtG"/>
        <w:rPr>
          <w:lang w:eastAsia="en-GB"/>
        </w:rPr>
      </w:pPr>
      <w:r>
        <w:rPr>
          <w:lang w:eastAsia="en-GB"/>
        </w:rPr>
        <w:t>5.</w:t>
      </w:r>
      <w:r>
        <w:rPr>
          <w:lang w:eastAsia="en-GB"/>
        </w:rPr>
        <w:tab/>
      </w:r>
      <w:r w:rsidR="00730146" w:rsidRPr="00730146">
        <w:rPr>
          <w:lang w:eastAsia="en-GB"/>
        </w:rPr>
        <w:t>Prevention of genocide is further enhanced by developing legal frameworks that protect and promote human rights. As genocide represent</w:t>
      </w:r>
      <w:r w:rsidR="009B26FE">
        <w:rPr>
          <w:lang w:eastAsia="en-GB"/>
        </w:rPr>
        <w:t>s an</w:t>
      </w:r>
      <w:r w:rsidR="00730146" w:rsidRPr="00730146">
        <w:rPr>
          <w:lang w:eastAsia="en-GB"/>
        </w:rPr>
        <w:t xml:space="preserve"> extreme form of human rights violations, the </w:t>
      </w:r>
      <w:r w:rsidR="00ED402C">
        <w:rPr>
          <w:lang w:eastAsia="en-GB"/>
        </w:rPr>
        <w:t>existence of</w:t>
      </w:r>
      <w:r w:rsidR="00665EB2">
        <w:rPr>
          <w:lang w:eastAsia="en-GB"/>
        </w:rPr>
        <w:t xml:space="preserve"> </w:t>
      </w:r>
      <w:r w:rsidR="002C00DB">
        <w:rPr>
          <w:lang w:eastAsia="en-GB"/>
        </w:rPr>
        <w:t xml:space="preserve">legal frameworks that </w:t>
      </w:r>
      <w:r w:rsidR="002C00DB">
        <w:t>ensure the protection of human</w:t>
      </w:r>
      <w:r w:rsidR="00665EB2">
        <w:t xml:space="preserve"> rights –</w:t>
      </w:r>
      <w:r w:rsidR="002C00DB">
        <w:t xml:space="preserve"> including through joining and </w:t>
      </w:r>
      <w:r w:rsidR="00730146" w:rsidRPr="00730146">
        <w:rPr>
          <w:lang w:eastAsia="en-GB"/>
        </w:rPr>
        <w:t>implement</w:t>
      </w:r>
      <w:r w:rsidR="00665EB2">
        <w:rPr>
          <w:lang w:eastAsia="en-GB"/>
        </w:rPr>
        <w:t xml:space="preserve">ing </w:t>
      </w:r>
      <w:r w:rsidR="00730146" w:rsidRPr="00730146">
        <w:rPr>
          <w:lang w:eastAsia="en-GB"/>
        </w:rPr>
        <w:t>international human rights treaties</w:t>
      </w:r>
      <w:r w:rsidR="002F6BCC">
        <w:rPr>
          <w:lang w:eastAsia="en-GB"/>
        </w:rPr>
        <w:t xml:space="preserve"> –</w:t>
      </w:r>
      <w:r w:rsidR="00730146" w:rsidRPr="00730146">
        <w:rPr>
          <w:lang w:eastAsia="en-GB"/>
        </w:rPr>
        <w:t xml:space="preserve"> is core to </w:t>
      </w:r>
      <w:r w:rsidR="00B47988">
        <w:rPr>
          <w:lang w:eastAsia="en-GB"/>
        </w:rPr>
        <w:t>the</w:t>
      </w:r>
      <w:r w:rsidR="00366BA0">
        <w:rPr>
          <w:lang w:eastAsia="en-GB"/>
        </w:rPr>
        <w:t xml:space="preserve"> </w:t>
      </w:r>
      <w:r w:rsidR="00730146" w:rsidRPr="00730146">
        <w:rPr>
          <w:lang w:eastAsia="en-GB"/>
        </w:rPr>
        <w:t>national genocide prevention strategies</w:t>
      </w:r>
      <w:r w:rsidR="00211CDC">
        <w:rPr>
          <w:lang w:eastAsia="en-GB"/>
        </w:rPr>
        <w:t xml:space="preserve"> of States</w:t>
      </w:r>
      <w:r w:rsidR="00730146" w:rsidRPr="00730146">
        <w:rPr>
          <w:lang w:eastAsia="en-GB"/>
        </w:rPr>
        <w:t xml:space="preserve">. </w:t>
      </w:r>
      <w:r w:rsidR="00730146" w:rsidRPr="00730146">
        <w:rPr>
          <w:lang w:val="en-US" w:eastAsia="en-GB"/>
        </w:rPr>
        <w:t>Genocide</w:t>
      </w:r>
      <w:r w:rsidR="00211CDC">
        <w:rPr>
          <w:lang w:val="en-US" w:eastAsia="en-GB"/>
        </w:rPr>
        <w:t xml:space="preserve"> is</w:t>
      </w:r>
      <w:r w:rsidR="00211CDC" w:rsidRPr="00730146">
        <w:rPr>
          <w:lang w:val="en-US" w:eastAsia="en-GB"/>
        </w:rPr>
        <w:t xml:space="preserve"> </w:t>
      </w:r>
      <w:r w:rsidR="00730146" w:rsidRPr="00730146">
        <w:rPr>
          <w:lang w:val="en-US" w:eastAsia="en-GB"/>
        </w:rPr>
        <w:t xml:space="preserve">rarely </w:t>
      </w:r>
      <w:r w:rsidR="00211CDC">
        <w:rPr>
          <w:lang w:val="en-US" w:eastAsia="en-GB"/>
        </w:rPr>
        <w:t xml:space="preserve">a </w:t>
      </w:r>
      <w:r w:rsidR="00730146" w:rsidRPr="00730146">
        <w:rPr>
          <w:lang w:val="en-US" w:eastAsia="en-GB"/>
        </w:rPr>
        <w:t>single event that happen</w:t>
      </w:r>
      <w:r w:rsidR="00211CDC">
        <w:rPr>
          <w:lang w:val="en-US" w:eastAsia="en-GB"/>
        </w:rPr>
        <w:t>s</w:t>
      </w:r>
      <w:r w:rsidR="00730146" w:rsidRPr="00730146">
        <w:rPr>
          <w:lang w:val="en-US" w:eastAsia="en-GB"/>
        </w:rPr>
        <w:t xml:space="preserve"> instantly. Instead, </w:t>
      </w:r>
      <w:r w:rsidR="0082052D">
        <w:rPr>
          <w:lang w:val="en-US" w:eastAsia="en-GB"/>
        </w:rPr>
        <w:t>it</w:t>
      </w:r>
      <w:r w:rsidR="0082052D" w:rsidRPr="00730146">
        <w:rPr>
          <w:lang w:val="en-US" w:eastAsia="en-GB"/>
        </w:rPr>
        <w:t xml:space="preserve"> </w:t>
      </w:r>
      <w:r w:rsidR="00730146" w:rsidRPr="00730146">
        <w:rPr>
          <w:lang w:val="en-US" w:eastAsia="en-GB"/>
        </w:rPr>
        <w:t>tend</w:t>
      </w:r>
      <w:r w:rsidR="0082052D">
        <w:rPr>
          <w:lang w:val="en-US" w:eastAsia="en-GB"/>
        </w:rPr>
        <w:t>s</w:t>
      </w:r>
      <w:r w:rsidR="00730146" w:rsidRPr="00730146">
        <w:rPr>
          <w:lang w:val="en-US" w:eastAsia="en-GB"/>
        </w:rPr>
        <w:t xml:space="preserve"> to be </w:t>
      </w:r>
      <w:r w:rsidR="0082052D">
        <w:rPr>
          <w:lang w:val="en-US" w:eastAsia="en-GB"/>
        </w:rPr>
        <w:t xml:space="preserve">a </w:t>
      </w:r>
      <w:r w:rsidR="00730146" w:rsidRPr="00730146">
        <w:rPr>
          <w:lang w:val="en-US" w:eastAsia="en-GB"/>
        </w:rPr>
        <w:t>dynamic process that require</w:t>
      </w:r>
      <w:r w:rsidR="0082052D">
        <w:rPr>
          <w:lang w:val="en-US" w:eastAsia="en-GB"/>
        </w:rPr>
        <w:t>s</w:t>
      </w:r>
      <w:r w:rsidR="00730146" w:rsidRPr="00730146">
        <w:rPr>
          <w:lang w:val="en-US" w:eastAsia="en-GB"/>
        </w:rPr>
        <w:t xml:space="preserve"> time, planning and resources </w:t>
      </w:r>
      <w:r w:rsidR="00052B47">
        <w:rPr>
          <w:lang w:val="en-US" w:eastAsia="en-GB"/>
        </w:rPr>
        <w:t>to occur</w:t>
      </w:r>
      <w:r w:rsidR="00730146" w:rsidRPr="00730146">
        <w:rPr>
          <w:lang w:val="en-US" w:eastAsia="en-GB"/>
        </w:rPr>
        <w:t>. It can take years to create an environment conducive to the perpetration of genocide. The</w:t>
      </w:r>
      <w:r w:rsidR="00730146" w:rsidRPr="00730146">
        <w:rPr>
          <w:lang w:eastAsia="en-GB"/>
        </w:rPr>
        <w:t xml:space="preserve"> commission of genocide is typically preceded by widespread and </w:t>
      </w:r>
      <w:r w:rsidR="00730146" w:rsidRPr="00730146">
        <w:rPr>
          <w:lang w:val="en-US" w:eastAsia="en-GB"/>
        </w:rPr>
        <w:t>systematic</w:t>
      </w:r>
      <w:r w:rsidR="00730146" w:rsidRPr="00730146">
        <w:rPr>
          <w:lang w:eastAsia="en-GB"/>
        </w:rPr>
        <w:t xml:space="preserve"> human rights violations, often linked to patterns of discrimination and exclusion of population groups based on their ethnic, racial, </w:t>
      </w:r>
      <w:proofErr w:type="gramStart"/>
      <w:r w:rsidR="00730146" w:rsidRPr="00730146">
        <w:rPr>
          <w:lang w:eastAsia="en-GB"/>
        </w:rPr>
        <w:t>national</w:t>
      </w:r>
      <w:proofErr w:type="gramEnd"/>
      <w:r w:rsidR="00730146" w:rsidRPr="00730146">
        <w:rPr>
          <w:lang w:eastAsia="en-GB"/>
        </w:rPr>
        <w:t xml:space="preserve"> or religious background. Ensuring the protection of all human rights and respect </w:t>
      </w:r>
      <w:r w:rsidR="00AB7CEC">
        <w:rPr>
          <w:lang w:eastAsia="en-GB"/>
        </w:rPr>
        <w:t xml:space="preserve">for </w:t>
      </w:r>
      <w:r w:rsidR="00730146" w:rsidRPr="00730146">
        <w:rPr>
          <w:lang w:eastAsia="en-GB"/>
        </w:rPr>
        <w:t xml:space="preserve">the rule of law; addressing root causes of </w:t>
      </w:r>
      <w:r w:rsidR="00730146" w:rsidRPr="00730146">
        <w:rPr>
          <w:lang w:eastAsia="en-GB"/>
        </w:rPr>
        <w:lastRenderedPageBreak/>
        <w:t xml:space="preserve">discrimination and inequality; supporting a strong and diverse civil society and </w:t>
      </w:r>
      <w:r w:rsidR="004A79CF">
        <w:rPr>
          <w:lang w:eastAsia="en-GB"/>
        </w:rPr>
        <w:t xml:space="preserve">an independent and </w:t>
      </w:r>
      <w:r w:rsidR="00730146" w:rsidRPr="00730146">
        <w:rPr>
          <w:lang w:eastAsia="en-GB"/>
        </w:rPr>
        <w:t>pluralistic media; establishing legitimate and accountable national institutions and mechanisms for prevention</w:t>
      </w:r>
      <w:r w:rsidR="004A79CF">
        <w:rPr>
          <w:lang w:eastAsia="en-GB"/>
        </w:rPr>
        <w:t xml:space="preserve"> of genocide</w:t>
      </w:r>
      <w:r w:rsidR="00730146" w:rsidRPr="00730146">
        <w:rPr>
          <w:lang w:eastAsia="en-GB"/>
        </w:rPr>
        <w:t xml:space="preserve">, and eliminating corruption, all contribute to the </w:t>
      </w:r>
      <w:r w:rsidR="00730146" w:rsidRPr="00730146">
        <w:rPr>
          <w:lang w:val="en-US" w:eastAsia="en-GB"/>
        </w:rPr>
        <w:t>prevention of genocide and to recovery in societies that have experienced genocide</w:t>
      </w:r>
      <w:r w:rsidR="00730146" w:rsidRPr="00730146">
        <w:rPr>
          <w:lang w:eastAsia="en-GB"/>
        </w:rPr>
        <w:t xml:space="preserve">. </w:t>
      </w:r>
    </w:p>
    <w:p w14:paraId="6C642140" w14:textId="4F0F40D6" w:rsidR="00730146" w:rsidRPr="00730146" w:rsidRDefault="00AB6EDF" w:rsidP="00CE4E9C">
      <w:pPr>
        <w:pStyle w:val="SingleTxtG"/>
        <w:rPr>
          <w:lang w:eastAsia="en-GB"/>
        </w:rPr>
      </w:pPr>
      <w:r>
        <w:rPr>
          <w:lang w:val="en-US" w:eastAsia="en-GB"/>
        </w:rPr>
        <w:t>6.</w:t>
      </w:r>
      <w:r>
        <w:rPr>
          <w:lang w:val="en-US" w:eastAsia="en-GB"/>
        </w:rPr>
        <w:tab/>
      </w:r>
      <w:r w:rsidR="0052321C">
        <w:rPr>
          <w:lang w:val="en-US" w:eastAsia="en-GB"/>
        </w:rPr>
        <w:t xml:space="preserve">It is </w:t>
      </w:r>
      <w:r w:rsidR="00F14436">
        <w:rPr>
          <w:lang w:val="en-US" w:eastAsia="en-GB"/>
        </w:rPr>
        <w:t>important</w:t>
      </w:r>
      <w:r w:rsidR="0052321C">
        <w:rPr>
          <w:lang w:val="en-US" w:eastAsia="en-GB"/>
        </w:rPr>
        <w:t>, for the purposes of prevention, to a</w:t>
      </w:r>
      <w:r w:rsidR="00730146" w:rsidRPr="00730146">
        <w:rPr>
          <w:lang w:val="en-US" w:eastAsia="en-GB"/>
        </w:rPr>
        <w:t xml:space="preserve">dopt legislation </w:t>
      </w:r>
      <w:r w:rsidR="00DD04D4">
        <w:rPr>
          <w:lang w:val="en-US" w:eastAsia="en-GB"/>
        </w:rPr>
        <w:t xml:space="preserve">that </w:t>
      </w:r>
      <w:r w:rsidR="00730146" w:rsidRPr="00730146">
        <w:rPr>
          <w:lang w:val="en-US" w:eastAsia="en-GB"/>
        </w:rPr>
        <w:t>protect</w:t>
      </w:r>
      <w:r w:rsidR="00DD04D4">
        <w:rPr>
          <w:lang w:val="en-US" w:eastAsia="en-GB"/>
        </w:rPr>
        <w:t>s</w:t>
      </w:r>
      <w:r w:rsidR="00730146" w:rsidRPr="00730146">
        <w:rPr>
          <w:lang w:val="en-US" w:eastAsia="en-GB"/>
        </w:rPr>
        <w:t xml:space="preserve"> human rights and the rights of ethnic, national, </w:t>
      </w:r>
      <w:proofErr w:type="gramStart"/>
      <w:r w:rsidR="00730146" w:rsidRPr="00730146">
        <w:rPr>
          <w:lang w:val="en-US" w:eastAsia="en-GB"/>
        </w:rPr>
        <w:t>racial</w:t>
      </w:r>
      <w:proofErr w:type="gramEnd"/>
      <w:r w:rsidR="00730146" w:rsidRPr="00730146">
        <w:rPr>
          <w:lang w:val="en-US" w:eastAsia="en-GB"/>
        </w:rPr>
        <w:t xml:space="preserve"> and religious minorities as well as refugees, internally displaced persons and other groups</w:t>
      </w:r>
      <w:r w:rsidR="0072464D">
        <w:rPr>
          <w:lang w:val="en-US" w:eastAsia="en-GB"/>
        </w:rPr>
        <w:t xml:space="preserve"> </w:t>
      </w:r>
      <w:r w:rsidR="0052321C">
        <w:rPr>
          <w:lang w:val="en-US" w:eastAsia="en-GB"/>
        </w:rPr>
        <w:t>(</w:t>
      </w:r>
      <w:r w:rsidR="001F7233">
        <w:rPr>
          <w:lang w:val="en-US" w:eastAsia="en-GB"/>
        </w:rPr>
        <w:t>who</w:t>
      </w:r>
      <w:r w:rsidR="00174264" w:rsidRPr="00174264">
        <w:rPr>
          <w:lang w:val="en-US" w:eastAsia="en-GB"/>
        </w:rPr>
        <w:t xml:space="preserve"> </w:t>
      </w:r>
      <w:r w:rsidR="00174264">
        <w:rPr>
          <w:lang w:val="en-US" w:eastAsia="en-GB"/>
        </w:rPr>
        <w:t>may also be at heightened risk</w:t>
      </w:r>
      <w:r w:rsidR="000906F4">
        <w:rPr>
          <w:lang w:val="en-US" w:eastAsia="en-GB"/>
        </w:rPr>
        <w:t>,</w:t>
      </w:r>
      <w:r w:rsidR="001F7233">
        <w:rPr>
          <w:lang w:val="en-US" w:eastAsia="en-GB"/>
        </w:rPr>
        <w:t xml:space="preserve"> </w:t>
      </w:r>
      <w:r w:rsidR="001B2A05">
        <w:rPr>
          <w:lang w:val="en-US" w:eastAsia="en-GB"/>
        </w:rPr>
        <w:t>when they belong to protected groups under the convention</w:t>
      </w:r>
      <w:r w:rsidR="000F192B">
        <w:rPr>
          <w:lang w:val="en-US" w:eastAsia="en-GB"/>
        </w:rPr>
        <w:t>)</w:t>
      </w:r>
      <w:r w:rsidR="001B2A05">
        <w:rPr>
          <w:lang w:val="en-US" w:eastAsia="en-GB"/>
        </w:rPr>
        <w:t xml:space="preserve">, </w:t>
      </w:r>
      <w:r w:rsidR="00730146" w:rsidRPr="00730146">
        <w:rPr>
          <w:lang w:val="en-US" w:eastAsia="en-GB"/>
        </w:rPr>
        <w:t xml:space="preserve">in line with international norms and standards and </w:t>
      </w:r>
      <w:r w:rsidR="00894C2A">
        <w:rPr>
          <w:lang w:val="en-US" w:eastAsia="en-GB"/>
        </w:rPr>
        <w:t xml:space="preserve">which codifies </w:t>
      </w:r>
      <w:r w:rsidR="00730146" w:rsidRPr="00730146">
        <w:rPr>
          <w:lang w:val="en-US" w:eastAsia="en-GB"/>
        </w:rPr>
        <w:t>international crimes into national criminal law.</w:t>
      </w:r>
      <w:r w:rsidR="00052B47">
        <w:rPr>
          <w:lang w:val="en-US" w:eastAsia="en-GB"/>
        </w:rPr>
        <w:t xml:space="preserve"> </w:t>
      </w:r>
      <w:r w:rsidR="00056CDA">
        <w:rPr>
          <w:lang w:val="en-US" w:eastAsia="en-GB"/>
        </w:rPr>
        <w:t>Prevention</w:t>
      </w:r>
      <w:r w:rsidR="00730146" w:rsidRPr="00730146">
        <w:rPr>
          <w:lang w:val="en-US" w:eastAsia="en-GB"/>
        </w:rPr>
        <w:t xml:space="preserve"> also requires </w:t>
      </w:r>
      <w:r w:rsidR="00056CDA">
        <w:rPr>
          <w:lang w:val="en-US" w:eastAsia="en-GB"/>
        </w:rPr>
        <w:t xml:space="preserve">the </w:t>
      </w:r>
      <w:r w:rsidR="00056CDA" w:rsidRPr="00730146">
        <w:rPr>
          <w:lang w:val="en-US" w:eastAsia="en-GB"/>
        </w:rPr>
        <w:t xml:space="preserve">effective </w:t>
      </w:r>
      <w:r w:rsidR="00730146" w:rsidRPr="00730146">
        <w:rPr>
          <w:lang w:val="en-US" w:eastAsia="en-GB"/>
        </w:rPr>
        <w:t>implement</w:t>
      </w:r>
      <w:r w:rsidR="00056CDA">
        <w:rPr>
          <w:lang w:val="en-US" w:eastAsia="en-GB"/>
        </w:rPr>
        <w:t>ation of</w:t>
      </w:r>
      <w:r w:rsidR="00730146" w:rsidRPr="00730146">
        <w:rPr>
          <w:lang w:val="en-US" w:eastAsia="en-GB"/>
        </w:rPr>
        <w:t xml:space="preserve"> </w:t>
      </w:r>
      <w:r w:rsidR="00056CDA" w:rsidRPr="00730146">
        <w:rPr>
          <w:lang w:val="en-US" w:eastAsia="en-GB"/>
        </w:rPr>
        <w:t>th</w:t>
      </w:r>
      <w:r w:rsidR="00056CDA">
        <w:rPr>
          <w:lang w:val="en-US" w:eastAsia="en-GB"/>
        </w:rPr>
        <w:t>is</w:t>
      </w:r>
      <w:r w:rsidR="00056CDA" w:rsidRPr="00730146">
        <w:rPr>
          <w:lang w:val="en-US" w:eastAsia="en-GB"/>
        </w:rPr>
        <w:t xml:space="preserve"> </w:t>
      </w:r>
      <w:r w:rsidR="00730146" w:rsidRPr="00730146">
        <w:rPr>
          <w:lang w:val="en-US" w:eastAsia="en-GB"/>
        </w:rPr>
        <w:t>l</w:t>
      </w:r>
      <w:r w:rsidR="00056CDA">
        <w:rPr>
          <w:lang w:val="en-US" w:eastAsia="en-GB"/>
        </w:rPr>
        <w:t>egislation</w:t>
      </w:r>
      <w:r w:rsidR="00730146" w:rsidRPr="00730146">
        <w:rPr>
          <w:lang w:val="en-US" w:eastAsia="en-GB"/>
        </w:rPr>
        <w:t xml:space="preserve"> and </w:t>
      </w:r>
      <w:r w:rsidR="00056CDA">
        <w:rPr>
          <w:lang w:val="en-US" w:eastAsia="en-GB"/>
        </w:rPr>
        <w:t xml:space="preserve">the </w:t>
      </w:r>
      <w:r w:rsidR="00730146" w:rsidRPr="00730146">
        <w:rPr>
          <w:lang w:val="en-US" w:eastAsia="en-GB"/>
        </w:rPr>
        <w:t xml:space="preserve">design </w:t>
      </w:r>
      <w:r w:rsidR="00056CDA">
        <w:rPr>
          <w:lang w:val="en-US" w:eastAsia="en-GB"/>
        </w:rPr>
        <w:t>of</w:t>
      </w:r>
      <w:r w:rsidR="00730146" w:rsidRPr="00730146">
        <w:rPr>
          <w:lang w:val="en-US" w:eastAsia="en-GB"/>
        </w:rPr>
        <w:t xml:space="preserve"> policies that promote and protect these rights. </w:t>
      </w:r>
      <w:r w:rsidR="00251652">
        <w:rPr>
          <w:lang w:val="en-US" w:eastAsia="en-GB"/>
        </w:rPr>
        <w:t>A</w:t>
      </w:r>
      <w:r w:rsidR="00730146" w:rsidRPr="00730146">
        <w:rPr>
          <w:lang w:val="en-US" w:eastAsia="en-GB"/>
        </w:rPr>
        <w:t>t the 30</w:t>
      </w:r>
      <w:r w:rsidR="00730146" w:rsidRPr="00730146">
        <w:rPr>
          <w:vertAlign w:val="superscript"/>
          <w:lang w:val="en-US" w:eastAsia="en-GB"/>
        </w:rPr>
        <w:t>th</w:t>
      </w:r>
      <w:r w:rsidR="00730146" w:rsidRPr="00730146">
        <w:rPr>
          <w:lang w:val="en-US" w:eastAsia="en-GB"/>
        </w:rPr>
        <w:t xml:space="preserve"> anniversary of the Declaration on </w:t>
      </w:r>
      <w:r w:rsidR="004E5F6E">
        <w:rPr>
          <w:lang w:val="en-US" w:eastAsia="en-GB"/>
        </w:rPr>
        <w:t xml:space="preserve">the </w:t>
      </w:r>
      <w:r w:rsidR="00730146" w:rsidRPr="00730146">
        <w:rPr>
          <w:lang w:val="en-US" w:eastAsia="en-GB"/>
        </w:rPr>
        <w:t xml:space="preserve">Rights of Persons Belonging to National or Ethnic, Religious and Linguistic Minorities, </w:t>
      </w:r>
      <w:r w:rsidR="003F15C0">
        <w:rPr>
          <w:lang w:val="en-US" w:eastAsia="en-GB"/>
        </w:rPr>
        <w:t>the Secretary-General</w:t>
      </w:r>
      <w:r w:rsidR="003F15C0" w:rsidRPr="00730146">
        <w:rPr>
          <w:lang w:val="en-US" w:eastAsia="en-GB"/>
        </w:rPr>
        <w:t xml:space="preserve"> </w:t>
      </w:r>
      <w:r w:rsidR="00730146" w:rsidRPr="00730146">
        <w:rPr>
          <w:lang w:val="en-US" w:eastAsia="en-GB"/>
        </w:rPr>
        <w:t>outlined outstanding challenges facing minorities</w:t>
      </w:r>
      <w:r w:rsidR="003C28C4">
        <w:rPr>
          <w:lang w:val="en-US" w:eastAsia="en-GB"/>
        </w:rPr>
        <w:t>:</w:t>
      </w:r>
      <w:r w:rsidR="00730146" w:rsidRPr="00730146">
        <w:rPr>
          <w:lang w:val="en-US" w:eastAsia="en-GB"/>
        </w:rPr>
        <w:t xml:space="preserve"> forced assimilation, persecution, prejudice, discrimination, stereotyping, hatred, and violence; deprivation of their political rights </w:t>
      </w:r>
      <w:r w:rsidR="00E12657">
        <w:rPr>
          <w:lang w:val="en-US" w:eastAsia="en-GB"/>
        </w:rPr>
        <w:t xml:space="preserve">including </w:t>
      </w:r>
      <w:r w:rsidR="00C07839">
        <w:rPr>
          <w:lang w:eastAsia="en-GB"/>
        </w:rPr>
        <w:t>t</w:t>
      </w:r>
      <w:r w:rsidR="00C07839" w:rsidRPr="00C07839">
        <w:rPr>
          <w:lang w:eastAsia="en-GB"/>
        </w:rPr>
        <w:t>he right to a nationality</w:t>
      </w:r>
      <w:r w:rsidR="00730146" w:rsidRPr="00730146">
        <w:rPr>
          <w:lang w:val="en-US" w:eastAsia="en-GB"/>
        </w:rPr>
        <w:t xml:space="preserve">; </w:t>
      </w:r>
      <w:r w:rsidR="00112EA3">
        <w:rPr>
          <w:lang w:val="en-US" w:eastAsia="en-GB"/>
        </w:rPr>
        <w:t>stifling of their cultures</w:t>
      </w:r>
      <w:r w:rsidR="00730146" w:rsidRPr="00730146">
        <w:rPr>
          <w:lang w:val="en-US" w:eastAsia="en-GB"/>
        </w:rPr>
        <w:t xml:space="preserve">, </w:t>
      </w:r>
      <w:r w:rsidR="00D6345F">
        <w:rPr>
          <w:lang w:val="en-US" w:eastAsia="en-GB"/>
        </w:rPr>
        <w:t xml:space="preserve">suppression of </w:t>
      </w:r>
      <w:r w:rsidR="00730146" w:rsidRPr="00730146">
        <w:rPr>
          <w:lang w:val="en-US" w:eastAsia="en-GB"/>
        </w:rPr>
        <w:t xml:space="preserve">their languages, and </w:t>
      </w:r>
      <w:r w:rsidR="00D6345F">
        <w:rPr>
          <w:lang w:val="en-US" w:eastAsia="en-GB"/>
        </w:rPr>
        <w:t xml:space="preserve">curtailing of </w:t>
      </w:r>
      <w:r w:rsidR="00730146" w:rsidRPr="00730146">
        <w:rPr>
          <w:lang w:val="en-US" w:eastAsia="en-GB"/>
        </w:rPr>
        <w:t>their religious practices. If unaddressed, such gaps can become conducive or precursory to atrocity crimes.</w:t>
      </w:r>
    </w:p>
    <w:p w14:paraId="6E8AA7FE" w14:textId="334C3ED6" w:rsidR="00730146" w:rsidRPr="00AB6EDF" w:rsidRDefault="00566D16" w:rsidP="00AB6EDF">
      <w:pPr>
        <w:pStyle w:val="SingleTxtG"/>
        <w:rPr>
          <w:lang w:eastAsia="en-GB"/>
        </w:rPr>
      </w:pPr>
      <w:r w:rsidRPr="7D91FA72">
        <w:rPr>
          <w:lang w:val="en-US" w:eastAsia="en-GB"/>
        </w:rPr>
        <w:t>7</w:t>
      </w:r>
      <w:r w:rsidR="00AB6EDF">
        <w:rPr>
          <w:lang w:val="en-US" w:eastAsia="en-GB"/>
        </w:rPr>
        <w:t>.</w:t>
      </w:r>
      <w:r w:rsidR="00AB6EDF">
        <w:rPr>
          <w:lang w:val="en-US" w:eastAsia="en-GB"/>
        </w:rPr>
        <w:tab/>
      </w:r>
      <w:r w:rsidR="005202B5" w:rsidRPr="7D91FA72">
        <w:rPr>
          <w:lang w:val="en-US" w:eastAsia="en-GB"/>
        </w:rPr>
        <w:t xml:space="preserve">As </w:t>
      </w:r>
      <w:r w:rsidR="008142A7" w:rsidRPr="7D91FA72">
        <w:rPr>
          <w:lang w:val="en-US" w:eastAsia="en-GB"/>
        </w:rPr>
        <w:t>stated</w:t>
      </w:r>
      <w:r w:rsidR="002B1B60" w:rsidRPr="7D91FA72">
        <w:rPr>
          <w:lang w:val="en-US" w:eastAsia="en-GB"/>
        </w:rPr>
        <w:t xml:space="preserve"> in the previous report</w:t>
      </w:r>
      <w:r w:rsidR="005644DD">
        <w:rPr>
          <w:rStyle w:val="FootnoteReference"/>
          <w:lang w:val="en-US" w:eastAsia="en-GB"/>
        </w:rPr>
        <w:footnoteReference w:id="5"/>
      </w:r>
      <w:r w:rsidR="002B1B60" w:rsidRPr="7D91FA72">
        <w:rPr>
          <w:lang w:val="en-US" w:eastAsia="en-GB"/>
        </w:rPr>
        <w:t xml:space="preserve">, education </w:t>
      </w:r>
      <w:r w:rsidR="00730146" w:rsidRPr="00730146">
        <w:rPr>
          <w:lang w:val="en-US" w:eastAsia="en-GB"/>
        </w:rPr>
        <w:t xml:space="preserve">systems should be inclusive, reflect the ethnic, </w:t>
      </w:r>
      <w:proofErr w:type="gramStart"/>
      <w:r w:rsidR="00730146" w:rsidRPr="00730146">
        <w:rPr>
          <w:lang w:val="en-US" w:eastAsia="en-GB"/>
        </w:rPr>
        <w:t>national</w:t>
      </w:r>
      <w:proofErr w:type="gramEnd"/>
      <w:r w:rsidR="00730146" w:rsidRPr="00730146">
        <w:rPr>
          <w:lang w:val="en-US" w:eastAsia="en-GB"/>
        </w:rPr>
        <w:t xml:space="preserve"> and cultural diversity of their societies, and offer an </w:t>
      </w:r>
      <w:r w:rsidR="00730146" w:rsidRPr="00730146">
        <w:rPr>
          <w:lang w:eastAsia="en-GB"/>
        </w:rPr>
        <w:t xml:space="preserve">education that promotes global citizenship, sustainable development, human rights, gender equality, a culture of peace and the appreciation of cultural diversity aimed to meet </w:t>
      </w:r>
      <w:r w:rsidR="00730146" w:rsidRPr="00730146">
        <w:rPr>
          <w:lang w:val="en-US" w:eastAsia="en-GB"/>
        </w:rPr>
        <w:t xml:space="preserve">SDG target 4.7. This includes </w:t>
      </w:r>
      <w:r w:rsidR="00021F9F" w:rsidRPr="7D91FA72">
        <w:rPr>
          <w:lang w:val="en-US" w:eastAsia="en-GB"/>
        </w:rPr>
        <w:t>integrating</w:t>
      </w:r>
      <w:r w:rsidR="00730146" w:rsidRPr="7D91FA72">
        <w:rPr>
          <w:lang w:val="en-US" w:eastAsia="en-GB"/>
        </w:rPr>
        <w:t xml:space="preserve"> </w:t>
      </w:r>
      <w:r w:rsidR="00730146" w:rsidRPr="00730146">
        <w:rPr>
          <w:lang w:val="en-US" w:eastAsia="en-GB"/>
        </w:rPr>
        <w:t>teaching about genocides in</w:t>
      </w:r>
      <w:r w:rsidR="005F2EF6" w:rsidRPr="7D91FA72">
        <w:rPr>
          <w:lang w:val="en-US" w:eastAsia="en-GB"/>
        </w:rPr>
        <w:t>to</w:t>
      </w:r>
      <w:r w:rsidR="00730146" w:rsidRPr="00730146">
        <w:rPr>
          <w:lang w:val="en-US" w:eastAsia="en-GB"/>
        </w:rPr>
        <w:t xml:space="preserve"> school and university curricula. Accounts of past genocides should be factual and comprehensive.</w:t>
      </w:r>
      <w:r w:rsidR="00730146" w:rsidRPr="00846141">
        <w:rPr>
          <w:lang w:val="en-US" w:eastAsia="en-GB"/>
        </w:rPr>
        <w:t xml:space="preserve"> </w:t>
      </w:r>
    </w:p>
    <w:p w14:paraId="52F4A07A" w14:textId="776F3901" w:rsidR="00730146" w:rsidRPr="004D2F6D" w:rsidRDefault="00566D16" w:rsidP="004D2F6D">
      <w:pPr>
        <w:pStyle w:val="SingleTxtG"/>
        <w:rPr>
          <w:sz w:val="24"/>
          <w:szCs w:val="24"/>
          <w:lang w:val="en-US" w:eastAsia="en-GB"/>
        </w:rPr>
      </w:pPr>
      <w:r>
        <w:rPr>
          <w:rStyle w:val="SingleTxtGChar"/>
          <w:lang w:val="en-US" w:eastAsia="en-GB"/>
        </w:rPr>
        <w:t>8</w:t>
      </w:r>
      <w:r w:rsidR="00AB6EDF">
        <w:rPr>
          <w:rStyle w:val="SingleTxtGChar"/>
          <w:lang w:val="en-US" w:eastAsia="en-GB"/>
        </w:rPr>
        <w:t>.</w:t>
      </w:r>
      <w:r w:rsidR="00AB6EDF">
        <w:rPr>
          <w:rStyle w:val="SingleTxtGChar"/>
          <w:lang w:val="en-US" w:eastAsia="en-GB"/>
        </w:rPr>
        <w:tab/>
      </w:r>
      <w:r w:rsidR="00052B47" w:rsidRPr="00052B47">
        <w:rPr>
          <w:rStyle w:val="SingleTxtGChar"/>
          <w:lang w:val="en-US" w:eastAsia="en-GB"/>
        </w:rPr>
        <w:t xml:space="preserve">Educational </w:t>
      </w:r>
      <w:proofErr w:type="spellStart"/>
      <w:r w:rsidR="00052B47" w:rsidRPr="00052B47">
        <w:rPr>
          <w:rStyle w:val="SingleTxtGChar"/>
          <w:lang w:val="en-US" w:eastAsia="en-GB"/>
        </w:rPr>
        <w:t>programmes</w:t>
      </w:r>
      <w:proofErr w:type="spellEnd"/>
      <w:r w:rsidR="00052B47" w:rsidRPr="00052B47">
        <w:rPr>
          <w:rStyle w:val="SingleTxtGChar"/>
          <w:lang w:val="en-US" w:eastAsia="en-GB"/>
        </w:rPr>
        <w:t xml:space="preserve"> for State institutions, including security forces and other government officials, on atrocity crimes and their prevention are also important. In Thailand, armed forces and military units undergo human rights trainings, including on the Genocide Convention</w:t>
      </w:r>
      <w:r w:rsidR="00A8473C">
        <w:rPr>
          <w:rStyle w:val="SingleTxtGChar"/>
          <w:lang w:val="en-US" w:eastAsia="en-GB"/>
        </w:rPr>
        <w:t>,</w:t>
      </w:r>
      <w:r w:rsidR="00C355FA">
        <w:rPr>
          <w:rStyle w:val="SingleTxtGChar"/>
          <w:lang w:val="en-US" w:eastAsia="en-GB"/>
        </w:rPr>
        <w:t xml:space="preserve"> conducted by the Ministry of Defense in collaboration with the International Committee for the Red Cross</w:t>
      </w:r>
      <w:r w:rsidR="00052B47" w:rsidRPr="00052B47">
        <w:rPr>
          <w:rStyle w:val="SingleTxtGChar"/>
          <w:lang w:val="en-US" w:eastAsia="en-GB"/>
        </w:rPr>
        <w:t>.</w:t>
      </w:r>
      <w:r w:rsidR="00730146" w:rsidRPr="00730146">
        <w:rPr>
          <w:sz w:val="24"/>
          <w:szCs w:val="24"/>
          <w:lang w:val="en-US" w:eastAsia="en-GB"/>
        </w:rPr>
        <w:t xml:space="preserve"> </w:t>
      </w:r>
    </w:p>
    <w:p w14:paraId="3BE54C50" w14:textId="19DB2E0A" w:rsidR="00BE7726" w:rsidRDefault="00566D16" w:rsidP="004D2F6D">
      <w:pPr>
        <w:pStyle w:val="SingleTxtG"/>
        <w:rPr>
          <w:lang w:eastAsia="en-GB"/>
        </w:rPr>
      </w:pPr>
      <w:r>
        <w:rPr>
          <w:lang w:eastAsia="en-GB"/>
        </w:rPr>
        <w:t>9</w:t>
      </w:r>
      <w:r w:rsidR="003A574E">
        <w:rPr>
          <w:lang w:eastAsia="en-GB"/>
        </w:rPr>
        <w:t>.</w:t>
      </w:r>
      <w:r w:rsidR="003A574E">
        <w:tab/>
      </w:r>
      <w:r w:rsidR="00052B47" w:rsidRPr="00052B47">
        <w:rPr>
          <w:lang w:eastAsia="en-GB"/>
        </w:rPr>
        <w:t xml:space="preserve">Memorialization and remembrance of past atrocity crimes is an essential aspect of reconciliation processes and </w:t>
      </w:r>
      <w:r w:rsidR="00AF1C79">
        <w:rPr>
          <w:lang w:eastAsia="en-GB"/>
        </w:rPr>
        <w:t xml:space="preserve">can </w:t>
      </w:r>
      <w:r w:rsidR="00052B47" w:rsidRPr="00052B47">
        <w:rPr>
          <w:lang w:eastAsia="en-GB"/>
        </w:rPr>
        <w:t xml:space="preserve">contribute to prevention. Shared memories of the past can encourage social cohesion, helping to prevent the reoccurrence of genocide, and sites of memory provide spaces where those affected by violence can honour victims. States have </w:t>
      </w:r>
      <w:r w:rsidR="00BE7726" w:rsidRPr="00052B47">
        <w:rPr>
          <w:lang w:eastAsia="en-GB"/>
        </w:rPr>
        <w:t>taken measures</w:t>
      </w:r>
      <w:r w:rsidR="00052B47" w:rsidRPr="00052B47">
        <w:rPr>
          <w:lang w:eastAsia="en-GB"/>
        </w:rPr>
        <w:t xml:space="preserve"> to raise awareness about past violations. In Colombia, for example, the National </w:t>
      </w:r>
      <w:proofErr w:type="spellStart"/>
      <w:r w:rsidR="00052B47" w:rsidRPr="00052B47">
        <w:rPr>
          <w:lang w:eastAsia="en-GB"/>
        </w:rPr>
        <w:t>Center</w:t>
      </w:r>
      <w:proofErr w:type="spellEnd"/>
      <w:r w:rsidR="00052B47" w:rsidRPr="00052B47">
        <w:rPr>
          <w:lang w:eastAsia="en-GB"/>
        </w:rPr>
        <w:t xml:space="preserve"> for Historical Memory </w:t>
      </w:r>
      <w:proofErr w:type="gramStart"/>
      <w:r w:rsidR="00052B47" w:rsidRPr="00052B47">
        <w:rPr>
          <w:lang w:eastAsia="en-GB"/>
        </w:rPr>
        <w:t>is in charge of</w:t>
      </w:r>
      <w:proofErr w:type="gramEnd"/>
      <w:r w:rsidR="00052B47" w:rsidRPr="00052B47">
        <w:rPr>
          <w:lang w:eastAsia="en-GB"/>
        </w:rPr>
        <w:t xml:space="preserve"> establishing the Museum of Historical Memory, constituting and managing the human rights archives, and developing guidelines for the protection of archives and human rights, historical memory and armed conflict. In 2022, it carried out Local History Memory Initiatives which promote processes of self-reflection </w:t>
      </w:r>
      <w:r w:rsidR="00F218F5">
        <w:rPr>
          <w:lang w:eastAsia="en-GB"/>
        </w:rPr>
        <w:t xml:space="preserve">and </w:t>
      </w:r>
      <w:r w:rsidR="1EDF7EBA" w:rsidRPr="393F8FC5">
        <w:rPr>
          <w:lang w:eastAsia="en-GB"/>
        </w:rPr>
        <w:t>memorialization</w:t>
      </w:r>
      <w:r w:rsidR="00052B47" w:rsidRPr="00052B47">
        <w:rPr>
          <w:lang w:eastAsia="en-GB"/>
        </w:rPr>
        <w:t xml:space="preserve"> in regions and communities that have been historically affected by armed conflict. </w:t>
      </w:r>
      <w:proofErr w:type="spellStart"/>
      <w:r w:rsidR="00052B47" w:rsidRPr="00052B47">
        <w:rPr>
          <w:lang w:eastAsia="en-GB"/>
        </w:rPr>
        <w:t>Türkiye</w:t>
      </w:r>
      <w:proofErr w:type="spellEnd"/>
      <w:r w:rsidR="00052B47" w:rsidRPr="00052B47">
        <w:rPr>
          <w:lang w:eastAsia="en-GB"/>
        </w:rPr>
        <w:t xml:space="preserve"> has a bi-lingual website “We Remember-</w:t>
      </w:r>
      <w:proofErr w:type="spellStart"/>
      <w:r w:rsidR="00052B47" w:rsidRPr="00052B47">
        <w:rPr>
          <w:lang w:eastAsia="en-GB"/>
        </w:rPr>
        <w:t>Hatırlıyoruz</w:t>
      </w:r>
      <w:proofErr w:type="spellEnd"/>
      <w:r w:rsidR="00052B47" w:rsidRPr="00052B47">
        <w:rPr>
          <w:lang w:eastAsia="en-GB"/>
        </w:rPr>
        <w:t xml:space="preserve">” with informative materials and documents on the Holocaust and other genocides. In Bosnia and Herzegovina, a Law on Missing Persons has been adopted to allow marking the places of suffering, excavation, and burial of victims from the war.  </w:t>
      </w:r>
    </w:p>
    <w:p w14:paraId="6EE74E6B" w14:textId="622A97A5" w:rsidR="00730146" w:rsidRPr="00730146" w:rsidRDefault="003A574E" w:rsidP="004D2F6D">
      <w:pPr>
        <w:pStyle w:val="SingleTxtG"/>
        <w:rPr>
          <w:lang w:eastAsia="en-GB"/>
        </w:rPr>
      </w:pPr>
      <w:r>
        <w:rPr>
          <w:lang w:eastAsia="en-GB"/>
        </w:rPr>
        <w:t>1</w:t>
      </w:r>
      <w:r w:rsidR="00566D16">
        <w:rPr>
          <w:lang w:eastAsia="en-GB"/>
        </w:rPr>
        <w:t>0</w:t>
      </w:r>
      <w:r>
        <w:rPr>
          <w:lang w:eastAsia="en-GB"/>
        </w:rPr>
        <w:t>.</w:t>
      </w:r>
      <w:r>
        <w:rPr>
          <w:lang w:eastAsia="en-GB"/>
        </w:rPr>
        <w:tab/>
      </w:r>
      <w:r w:rsidR="00730146" w:rsidRPr="00730146">
        <w:rPr>
          <w:lang w:eastAsia="en-GB"/>
        </w:rPr>
        <w:t xml:space="preserve">Accountability </w:t>
      </w:r>
      <w:r w:rsidR="00BE7726" w:rsidRPr="00BE7726">
        <w:rPr>
          <w:lang w:eastAsia="en-GB"/>
        </w:rPr>
        <w:t xml:space="preserve">for past </w:t>
      </w:r>
      <w:r w:rsidR="00357F6D">
        <w:rPr>
          <w:lang w:eastAsia="en-GB"/>
        </w:rPr>
        <w:t>atrocity</w:t>
      </w:r>
      <w:r w:rsidR="00BE7726" w:rsidRPr="00BE7726">
        <w:rPr>
          <w:lang w:eastAsia="en-GB"/>
        </w:rPr>
        <w:t xml:space="preserve"> crimes is key to ensuring their non-recurrence and, in post-conflict societies, to the success of reconciliation processes and the consolidation of peace. States </w:t>
      </w:r>
      <w:r w:rsidR="008C0AA8">
        <w:rPr>
          <w:lang w:eastAsia="en-GB"/>
        </w:rPr>
        <w:t xml:space="preserve">have </w:t>
      </w:r>
      <w:r w:rsidR="006D4C1B">
        <w:rPr>
          <w:lang w:eastAsia="en-GB"/>
        </w:rPr>
        <w:t>obligations under international law</w:t>
      </w:r>
      <w:r w:rsidR="00BE7726" w:rsidRPr="00BE7726">
        <w:rPr>
          <w:lang w:eastAsia="en-GB"/>
        </w:rPr>
        <w:t xml:space="preserve"> to investigate, prosecute and punish those responsible for acts of genocide, war crimes and crimes against humanity, and to provide victims with the right to an effective remedy. </w:t>
      </w:r>
      <w:r w:rsidR="00730146" w:rsidRPr="00730146">
        <w:rPr>
          <w:lang w:eastAsia="en-GB"/>
        </w:rPr>
        <w:t xml:space="preserve"> </w:t>
      </w:r>
    </w:p>
    <w:p w14:paraId="7868C2FD" w14:textId="4C8E5C29" w:rsidR="00730146" w:rsidRPr="00111E76" w:rsidRDefault="003A574E" w:rsidP="00566D16">
      <w:pPr>
        <w:pStyle w:val="SingleTxtG"/>
        <w:rPr>
          <w:lang w:eastAsia="en-GB"/>
        </w:rPr>
      </w:pPr>
      <w:r>
        <w:rPr>
          <w:rStyle w:val="SingleTxtGChar"/>
          <w:lang w:eastAsia="en-GB"/>
        </w:rPr>
        <w:t>1</w:t>
      </w:r>
      <w:r w:rsidR="00566D16">
        <w:rPr>
          <w:rStyle w:val="SingleTxtGChar"/>
          <w:lang w:eastAsia="en-GB"/>
        </w:rPr>
        <w:t>1</w:t>
      </w:r>
      <w:r>
        <w:rPr>
          <w:rStyle w:val="SingleTxtGChar"/>
          <w:lang w:eastAsia="en-GB"/>
        </w:rPr>
        <w:t>.</w:t>
      </w:r>
      <w:r>
        <w:rPr>
          <w:rStyle w:val="SingleTxtGChar"/>
          <w:lang w:eastAsia="en-GB"/>
        </w:rPr>
        <w:tab/>
      </w:r>
      <w:r w:rsidR="00BE7726">
        <w:rPr>
          <w:rStyle w:val="SingleTxtGChar"/>
          <w:lang w:eastAsia="en-GB"/>
        </w:rPr>
        <w:t>V</w:t>
      </w:r>
      <w:r w:rsidR="00730146" w:rsidRPr="003A574E">
        <w:rPr>
          <w:rStyle w:val="SingleTxtGChar"/>
          <w:lang w:eastAsia="en-GB"/>
        </w:rPr>
        <w:t>arious judicial options are being used to promote accountability. Besides national courts prosecuting genocide</w:t>
      </w:r>
      <w:r w:rsidR="008F70B9">
        <w:rPr>
          <w:rStyle w:val="SingleTxtGChar"/>
          <w:lang w:eastAsia="en-GB"/>
        </w:rPr>
        <w:t xml:space="preserve"> and </w:t>
      </w:r>
      <w:r w:rsidR="005773B1">
        <w:rPr>
          <w:rStyle w:val="SingleTxtGChar"/>
          <w:lang w:eastAsia="en-GB"/>
        </w:rPr>
        <w:t>other</w:t>
      </w:r>
      <w:r w:rsidR="008F70B9">
        <w:rPr>
          <w:rStyle w:val="SingleTxtGChar"/>
          <w:lang w:eastAsia="en-GB"/>
        </w:rPr>
        <w:t xml:space="preserve"> atrocity crimes</w:t>
      </w:r>
      <w:r w:rsidR="00730146" w:rsidRPr="003A574E">
        <w:rPr>
          <w:rStyle w:val="SingleTxtGChar"/>
          <w:lang w:eastAsia="en-GB"/>
        </w:rPr>
        <w:t xml:space="preserve"> committed within their own jurisdiction, international and hybrid mechanisms have been established for several count</w:t>
      </w:r>
      <w:r w:rsidR="00565785">
        <w:rPr>
          <w:rStyle w:val="SingleTxtGChar"/>
          <w:lang w:eastAsia="en-GB"/>
        </w:rPr>
        <w:t>r</w:t>
      </w:r>
      <w:r w:rsidR="00730146" w:rsidRPr="003A574E">
        <w:rPr>
          <w:rStyle w:val="SingleTxtGChar"/>
          <w:lang w:eastAsia="en-GB"/>
        </w:rPr>
        <w:t>ies. Recent examples includ</w:t>
      </w:r>
      <w:r w:rsidR="00B97679">
        <w:rPr>
          <w:rStyle w:val="SingleTxtGChar"/>
          <w:lang w:eastAsia="en-GB"/>
        </w:rPr>
        <w:t>e</w:t>
      </w:r>
      <w:r w:rsidR="00730146" w:rsidRPr="003A574E">
        <w:rPr>
          <w:rStyle w:val="SingleTxtGChar"/>
          <w:lang w:eastAsia="en-GB"/>
        </w:rPr>
        <w:t xml:space="preserve"> the hybrid Special Criminal Court</w:t>
      </w:r>
      <w:r w:rsidR="00B97679">
        <w:rPr>
          <w:rStyle w:val="SingleTxtGChar"/>
          <w:lang w:eastAsia="en-GB"/>
        </w:rPr>
        <w:t xml:space="preserve"> in</w:t>
      </w:r>
      <w:r w:rsidR="00730146" w:rsidRPr="003A574E">
        <w:rPr>
          <w:rStyle w:val="SingleTxtGChar"/>
          <w:lang w:eastAsia="en-GB"/>
        </w:rPr>
        <w:t xml:space="preserve"> </w:t>
      </w:r>
      <w:r w:rsidR="00B97679" w:rsidRPr="003A574E">
        <w:rPr>
          <w:rStyle w:val="SingleTxtGChar"/>
          <w:lang w:eastAsia="en-GB"/>
        </w:rPr>
        <w:t xml:space="preserve">the Central African Republic, </w:t>
      </w:r>
      <w:r w:rsidR="00FA485F">
        <w:rPr>
          <w:rStyle w:val="SingleTxtGChar"/>
          <w:lang w:eastAsia="en-GB"/>
        </w:rPr>
        <w:t>which</w:t>
      </w:r>
      <w:r w:rsidR="00730146" w:rsidRPr="003A574E">
        <w:rPr>
          <w:rStyle w:val="SingleTxtGChar"/>
          <w:lang w:eastAsia="en-GB"/>
        </w:rPr>
        <w:t xml:space="preserve"> handed down its first verdict in October 2022 against three members of an armed group found guilty of war crimes and crimes against humanity for their involvement </w:t>
      </w:r>
      <w:r w:rsidR="00730146" w:rsidRPr="003A574E">
        <w:rPr>
          <w:rStyle w:val="SingleTxtGChar"/>
          <w:lang w:eastAsia="en-GB"/>
        </w:rPr>
        <w:lastRenderedPageBreak/>
        <w:t xml:space="preserve">in the killing of civilians in the northeast of the country in May 2019. </w:t>
      </w:r>
      <w:r w:rsidR="0082611D" w:rsidRPr="003A574E">
        <w:rPr>
          <w:rStyle w:val="SingleTxtGChar"/>
          <w:lang w:eastAsia="en-GB"/>
        </w:rPr>
        <w:t xml:space="preserve">In addition, in September 2022, the Extraordinary Chambers in the Courts of Cambodia upheld previous convictions for genocide against the ethnic Vietnamese and other atrocity crimes committed in Cambodia between 1975 and 1979. </w:t>
      </w:r>
      <w:r w:rsidR="0082611D">
        <w:rPr>
          <w:rStyle w:val="SingleTxtGChar"/>
          <w:lang w:eastAsia="en-GB"/>
        </w:rPr>
        <w:t xml:space="preserve"> </w:t>
      </w:r>
      <w:proofErr w:type="gramStart"/>
      <w:r w:rsidR="00730146" w:rsidRPr="003A574E">
        <w:rPr>
          <w:rStyle w:val="SingleTxtGChar"/>
          <w:lang w:eastAsia="en-GB"/>
        </w:rPr>
        <w:t>A number of</w:t>
      </w:r>
      <w:proofErr w:type="gramEnd"/>
      <w:r w:rsidR="00730146" w:rsidRPr="003A574E">
        <w:rPr>
          <w:rStyle w:val="SingleTxtGChar"/>
          <w:lang w:eastAsia="en-GB"/>
        </w:rPr>
        <w:t xml:space="preserve"> States have also opted to institute national proceedings based on extraterritorial and universal jurisdiction. In January 2022, the Higher Regional Court in Koblenz (Germany) </w:t>
      </w:r>
      <w:r w:rsidR="005E2E7F">
        <w:rPr>
          <w:rStyle w:val="SingleTxtGChar"/>
          <w:lang w:eastAsia="en-GB"/>
        </w:rPr>
        <w:t xml:space="preserve">convicted and </w:t>
      </w:r>
      <w:r w:rsidR="00730146" w:rsidRPr="003A574E">
        <w:rPr>
          <w:rStyle w:val="SingleTxtGChar"/>
          <w:lang w:eastAsia="en-GB"/>
        </w:rPr>
        <w:t xml:space="preserve">sentenced a senior officer of the General Syrian Intelligence Service to life imprisonment for crimes against humanity in relation to torture in a Syrian prison. Since 2021, three judgments were also delivered by German courts in relation to crimes committed against the Yazidi community, including of a former member of Da’esh </w:t>
      </w:r>
      <w:r w:rsidR="00CB1BA9">
        <w:rPr>
          <w:rStyle w:val="SingleTxtGChar"/>
          <w:lang w:eastAsia="en-GB"/>
        </w:rPr>
        <w:t>being</w:t>
      </w:r>
      <w:r w:rsidR="00C4571E">
        <w:rPr>
          <w:rStyle w:val="SingleTxtGChar"/>
          <w:lang w:eastAsia="en-GB"/>
        </w:rPr>
        <w:t xml:space="preserve"> convicted and</w:t>
      </w:r>
      <w:r w:rsidR="00CB1BA9">
        <w:rPr>
          <w:rStyle w:val="SingleTxtGChar"/>
          <w:lang w:eastAsia="en-GB"/>
        </w:rPr>
        <w:t xml:space="preserve"> sentenced </w:t>
      </w:r>
      <w:r w:rsidR="00730146" w:rsidRPr="003A574E">
        <w:rPr>
          <w:rStyle w:val="SingleTxtGChar"/>
          <w:lang w:eastAsia="en-GB"/>
        </w:rPr>
        <w:t xml:space="preserve">to </w:t>
      </w:r>
      <w:r w:rsidR="00CB1BA9">
        <w:rPr>
          <w:rStyle w:val="SingleTxtGChar"/>
          <w:lang w:eastAsia="en-GB"/>
        </w:rPr>
        <w:t>life imprisonment</w:t>
      </w:r>
      <w:r w:rsidR="00730146" w:rsidRPr="003A574E">
        <w:rPr>
          <w:rStyle w:val="SingleTxtGChar"/>
          <w:lang w:eastAsia="en-GB"/>
        </w:rPr>
        <w:t xml:space="preserve"> for genocide, crimes against humanity and war crimes. </w:t>
      </w:r>
    </w:p>
    <w:p w14:paraId="28A736CD" w14:textId="40015931" w:rsidR="00730146" w:rsidRPr="00111E76" w:rsidRDefault="00111E76" w:rsidP="00111E76">
      <w:pPr>
        <w:pStyle w:val="H1G"/>
        <w:rPr>
          <w:rFonts w:eastAsia="Calibri"/>
          <w:lang w:val="en-US"/>
        </w:rPr>
      </w:pPr>
      <w:r>
        <w:rPr>
          <w:rFonts w:eastAsia="Calibri"/>
          <w:lang w:val="en-US"/>
        </w:rPr>
        <w:tab/>
        <w:t>B.</w:t>
      </w:r>
      <w:r>
        <w:rPr>
          <w:rFonts w:eastAsia="Calibri"/>
          <w:lang w:val="en-US"/>
        </w:rPr>
        <w:tab/>
      </w:r>
      <w:r w:rsidR="00730146" w:rsidRPr="00730146">
        <w:rPr>
          <w:rFonts w:eastAsia="Calibri"/>
          <w:lang w:val="en-US"/>
        </w:rPr>
        <w:t xml:space="preserve">Regional and international initiatives </w:t>
      </w:r>
    </w:p>
    <w:p w14:paraId="17C375A1" w14:textId="5E70E9ED" w:rsidR="00730146" w:rsidRPr="004D2F6D" w:rsidRDefault="003A574E" w:rsidP="004D2F6D">
      <w:pPr>
        <w:pStyle w:val="SingleTxtG"/>
        <w:rPr>
          <w:lang w:eastAsia="en-GB"/>
        </w:rPr>
      </w:pPr>
      <w:r>
        <w:rPr>
          <w:lang w:eastAsia="en-GB"/>
        </w:rPr>
        <w:t>1</w:t>
      </w:r>
      <w:r w:rsidR="00566D16">
        <w:rPr>
          <w:lang w:eastAsia="en-GB"/>
        </w:rPr>
        <w:t>2</w:t>
      </w:r>
      <w:r>
        <w:rPr>
          <w:lang w:eastAsia="en-GB"/>
        </w:rPr>
        <w:t>.</w:t>
      </w:r>
      <w:r>
        <w:rPr>
          <w:lang w:eastAsia="en-GB"/>
        </w:rPr>
        <w:tab/>
      </w:r>
      <w:r w:rsidR="00730146" w:rsidRPr="00730146">
        <w:rPr>
          <w:lang w:eastAsia="en-GB"/>
        </w:rPr>
        <w:t xml:space="preserve">States can strengthen prevention of genocide efforts through membership in regional and international networks. Regional </w:t>
      </w:r>
      <w:r w:rsidR="00A23C66">
        <w:rPr>
          <w:lang w:eastAsia="en-GB"/>
        </w:rPr>
        <w:t>–</w:t>
      </w:r>
      <w:r w:rsidR="00730146" w:rsidRPr="00730146">
        <w:rPr>
          <w:lang w:eastAsia="en-GB"/>
        </w:rPr>
        <w:t xml:space="preserve"> and subregional </w:t>
      </w:r>
      <w:r w:rsidR="00A23C66">
        <w:rPr>
          <w:lang w:eastAsia="en-GB"/>
        </w:rPr>
        <w:t>–</w:t>
      </w:r>
      <w:r w:rsidR="00730146" w:rsidRPr="00730146">
        <w:rPr>
          <w:lang w:eastAsia="en-GB"/>
        </w:rPr>
        <w:t xml:space="preserve"> mechanisms can be more effective in responding early to signs of concern, as they are well placed to access information and interact with relevant actors at the level of their region. </w:t>
      </w:r>
    </w:p>
    <w:p w14:paraId="2FBF3946" w14:textId="064D3F8F" w:rsidR="00730146" w:rsidRPr="00730146" w:rsidRDefault="003A574E" w:rsidP="004D2F6D">
      <w:pPr>
        <w:pStyle w:val="SingleTxtG"/>
        <w:rPr>
          <w:lang w:val="en-US" w:eastAsia="en-GB"/>
        </w:rPr>
      </w:pPr>
      <w:r>
        <w:rPr>
          <w:lang w:eastAsia="en-GB"/>
        </w:rPr>
        <w:t>1</w:t>
      </w:r>
      <w:r w:rsidR="00566D16">
        <w:rPr>
          <w:lang w:eastAsia="en-GB"/>
        </w:rPr>
        <w:t>3</w:t>
      </w:r>
      <w:r>
        <w:rPr>
          <w:lang w:eastAsia="en-GB"/>
        </w:rPr>
        <w:t>.</w:t>
      </w:r>
      <w:r>
        <w:rPr>
          <w:lang w:eastAsia="en-GB"/>
        </w:rPr>
        <w:tab/>
      </w:r>
      <w:r w:rsidR="00730146" w:rsidRPr="00730146">
        <w:rPr>
          <w:lang w:eastAsia="en-GB"/>
        </w:rPr>
        <w:t xml:space="preserve">The Global Action Against Mass Atrocity Crimes is a global coalition of States, civil society and academic institutions that supports States in establishing architectures and policies for the prevention of atrocities. Its Fourth Global Meeting, held in The Hague in November 2021, focused </w:t>
      </w:r>
      <w:r w:rsidR="00730146" w:rsidRPr="00730146">
        <w:rPr>
          <w:lang w:val="en-US" w:eastAsia="en-GB"/>
        </w:rPr>
        <w:t xml:space="preserve">on strengthening national efforts to address hate speech and discrimination and prevent incitement. At the </w:t>
      </w:r>
      <w:r w:rsidR="00730146" w:rsidRPr="00730146">
        <w:rPr>
          <w:lang w:eastAsia="en-GB"/>
        </w:rPr>
        <w:t xml:space="preserve">regional level, its initiatives and working groups provide contextually relevant support to national atrocity prevention mechanisms in their respective regions.  </w:t>
      </w:r>
    </w:p>
    <w:p w14:paraId="1A052CA1" w14:textId="00A151A6" w:rsidR="00730146" w:rsidRPr="00730146" w:rsidRDefault="003A574E" w:rsidP="004D2F6D">
      <w:pPr>
        <w:pStyle w:val="SingleTxtG"/>
        <w:rPr>
          <w:rFonts w:eastAsia="Calibri"/>
          <w:lang w:eastAsia="en-GB"/>
        </w:rPr>
      </w:pPr>
      <w:r w:rsidRPr="00564E89">
        <w:rPr>
          <w:lang w:eastAsia="en-GB"/>
        </w:rPr>
        <w:t>1</w:t>
      </w:r>
      <w:r w:rsidR="00566D16" w:rsidRPr="00564E89">
        <w:rPr>
          <w:lang w:eastAsia="en-GB"/>
        </w:rPr>
        <w:t>4</w:t>
      </w:r>
      <w:r w:rsidRPr="00564E89">
        <w:rPr>
          <w:lang w:eastAsia="en-GB"/>
        </w:rPr>
        <w:t>.</w:t>
      </w:r>
      <w:r>
        <w:rPr>
          <w:lang w:eastAsia="en-GB"/>
        </w:rPr>
        <w:tab/>
      </w:r>
      <w:r w:rsidR="00730146" w:rsidRPr="00730146">
        <w:rPr>
          <w:lang w:eastAsia="en-GB"/>
        </w:rPr>
        <w:t xml:space="preserve">The Office of </w:t>
      </w:r>
      <w:r w:rsidR="00EE2738">
        <w:rPr>
          <w:lang w:eastAsia="en-GB"/>
        </w:rPr>
        <w:t>the</w:t>
      </w:r>
      <w:r w:rsidR="00EE2738" w:rsidRPr="00730146">
        <w:rPr>
          <w:lang w:eastAsia="en-GB"/>
        </w:rPr>
        <w:t xml:space="preserve"> </w:t>
      </w:r>
      <w:r w:rsidR="00730146" w:rsidRPr="00730146">
        <w:rPr>
          <w:lang w:eastAsia="en-GB"/>
        </w:rPr>
        <w:t xml:space="preserve">Special Adviser on the Prevention of Genocide also supports regional capacity-building initiatives. </w:t>
      </w:r>
      <w:r w:rsidR="00730146" w:rsidRPr="00730146">
        <w:rPr>
          <w:rFonts w:eastAsia="Calibri"/>
          <w:lang w:eastAsia="en-GB"/>
        </w:rPr>
        <w:t xml:space="preserve">In August 2019, it supported the African Union Commission to integrate atrocity crimes risk factors in the Continental Early Warning System, </w:t>
      </w:r>
      <w:r w:rsidR="00730146" w:rsidRPr="00730146">
        <w:rPr>
          <w:lang w:eastAsia="en-GB"/>
        </w:rPr>
        <w:t>including</w:t>
      </w:r>
      <w:r w:rsidR="00730146" w:rsidRPr="00730146">
        <w:rPr>
          <w:rFonts w:eastAsia="Calibri"/>
          <w:lang w:eastAsia="en-GB"/>
        </w:rPr>
        <w:t xml:space="preserve"> developing indicators, methodology and tools for monitoring and data managing. </w:t>
      </w:r>
      <w:r w:rsidR="00730146" w:rsidRPr="00730146">
        <w:rPr>
          <w:lang w:eastAsia="en-GB"/>
        </w:rPr>
        <w:t xml:space="preserve">In March 2022, it held a conference on tackling hate speech with members of the International Conference on the Great Lakes Region, national committees on prevention of genocide from the region and civil society, to discuss trends and challenges and develop a plan of action. In June 2022, the Office held a consultation in Abuja with traditional leaders from across the world to discuss their role in preventing atrocity crimes and developing a plan of action for traditional leaders and actors. In Europe, a regional meeting of civil society was convened in March 2022 to develop a plan of action on countering hate speech. The Office has also supported the establishment of civil society networks on atrocity prevention, such as the Western Balkans Coalition for Genocide and Mass Atrocity Crimes Prevention. </w:t>
      </w:r>
    </w:p>
    <w:p w14:paraId="058C4495" w14:textId="47C5F05F" w:rsidR="00730146" w:rsidRDefault="003A574E" w:rsidP="00111E76">
      <w:pPr>
        <w:pStyle w:val="SingleTxtG"/>
        <w:rPr>
          <w:rFonts w:eastAsia="Calibri"/>
          <w:lang w:eastAsia="en-GB"/>
        </w:rPr>
      </w:pPr>
      <w:r>
        <w:rPr>
          <w:rFonts w:eastAsia="Calibri"/>
          <w:lang w:eastAsia="en-GB"/>
        </w:rPr>
        <w:t>1</w:t>
      </w:r>
      <w:r w:rsidR="00566D16">
        <w:rPr>
          <w:rFonts w:eastAsia="Calibri"/>
          <w:lang w:eastAsia="en-GB"/>
        </w:rPr>
        <w:t>5</w:t>
      </w:r>
      <w:r>
        <w:rPr>
          <w:rFonts w:eastAsia="Calibri"/>
          <w:lang w:eastAsia="en-GB"/>
        </w:rPr>
        <w:t>.</w:t>
      </w:r>
      <w:r>
        <w:rPr>
          <w:rFonts w:eastAsia="Calibri"/>
          <w:lang w:eastAsia="en-GB"/>
        </w:rPr>
        <w:tab/>
      </w:r>
      <w:r w:rsidR="00730146" w:rsidRPr="00730146">
        <w:rPr>
          <w:rFonts w:eastAsia="Calibri"/>
          <w:lang w:eastAsia="en-GB"/>
        </w:rPr>
        <w:t xml:space="preserve">The Global Forum against the Crime of Genocide, an initiative by Armenia convened since 2015, brings together States, </w:t>
      </w:r>
      <w:proofErr w:type="gramStart"/>
      <w:r w:rsidR="00730146" w:rsidRPr="00730146">
        <w:rPr>
          <w:rFonts w:eastAsia="Calibri"/>
          <w:lang w:eastAsia="en-GB"/>
        </w:rPr>
        <w:t>academia</w:t>
      </w:r>
      <w:proofErr w:type="gramEnd"/>
      <w:r w:rsidR="00730146" w:rsidRPr="00730146">
        <w:rPr>
          <w:rFonts w:eastAsia="Calibri"/>
          <w:lang w:eastAsia="en-GB"/>
        </w:rPr>
        <w:t xml:space="preserve"> and civil society to examine challenges, opportunities, experiences and perspectives of specific aspects of genocide. The Fourth Global Forum held in Yerevan in December 2022 was dedicated to the prevention of genocide in the era of new technologies.</w:t>
      </w:r>
    </w:p>
    <w:p w14:paraId="50930B97" w14:textId="25FEFA12" w:rsidR="00730146" w:rsidRPr="00646931" w:rsidRDefault="00111E76" w:rsidP="00111E76">
      <w:pPr>
        <w:pStyle w:val="H1G"/>
        <w:rPr>
          <w:rFonts w:eastAsia="Calibri"/>
          <w:lang w:val="en-US"/>
        </w:rPr>
      </w:pPr>
      <w:r>
        <w:rPr>
          <w:rFonts w:eastAsia="Calibri"/>
        </w:rPr>
        <w:tab/>
      </w:r>
      <w:r w:rsidRPr="00646931">
        <w:rPr>
          <w:rFonts w:eastAsia="Calibri"/>
        </w:rPr>
        <w:t>C.</w:t>
      </w:r>
      <w:r w:rsidRPr="00646931">
        <w:rPr>
          <w:rFonts w:eastAsia="Calibri"/>
        </w:rPr>
        <w:tab/>
      </w:r>
      <w:r w:rsidR="00730146" w:rsidRPr="00646931">
        <w:rPr>
          <w:rFonts w:eastAsia="Calibri"/>
          <w:lang w:val="en-US"/>
        </w:rPr>
        <w:t xml:space="preserve">Actions by the United Nations system on the prevention of genocide </w:t>
      </w:r>
    </w:p>
    <w:p w14:paraId="7911F3D1" w14:textId="21EEAF51" w:rsidR="00C21B42" w:rsidRPr="00564E89" w:rsidRDefault="003A574E" w:rsidP="00564E89">
      <w:pPr>
        <w:pStyle w:val="SingleTxtG"/>
        <w:rPr>
          <w:rFonts w:eastAsia="Calibri"/>
          <w:lang w:eastAsia="en-GB"/>
        </w:rPr>
      </w:pPr>
      <w:r w:rsidRPr="00564E89">
        <w:rPr>
          <w:rFonts w:eastAsia="Calibri"/>
          <w:lang w:eastAsia="en-GB"/>
        </w:rPr>
        <w:t>1</w:t>
      </w:r>
      <w:r w:rsidR="00566D16" w:rsidRPr="00564E89">
        <w:rPr>
          <w:rFonts w:eastAsia="Calibri"/>
          <w:lang w:eastAsia="en-GB"/>
        </w:rPr>
        <w:t>6</w:t>
      </w:r>
      <w:r w:rsidRPr="00564E89">
        <w:rPr>
          <w:rFonts w:eastAsia="Calibri"/>
          <w:lang w:eastAsia="en-GB"/>
        </w:rPr>
        <w:t>.</w:t>
      </w:r>
      <w:r w:rsidRPr="00564E89">
        <w:rPr>
          <w:rFonts w:eastAsia="Calibri"/>
          <w:lang w:eastAsia="en-GB"/>
        </w:rPr>
        <w:tab/>
      </w:r>
      <w:r w:rsidR="00C21B42" w:rsidRPr="00564E89">
        <w:rPr>
          <w:rFonts w:eastAsia="Calibri"/>
          <w:lang w:eastAsia="en-GB"/>
        </w:rPr>
        <w:t xml:space="preserve">The </w:t>
      </w:r>
      <w:r w:rsidR="00C21B42" w:rsidRPr="00564E89">
        <w:rPr>
          <w:rFonts w:eastAsia="Calibri"/>
          <w:i/>
          <w:iCs/>
          <w:lang w:eastAsia="en-GB"/>
        </w:rPr>
        <w:t>UN Framework of Analysis for Atrocity Crimes</w:t>
      </w:r>
      <w:r w:rsidR="00C21B42" w:rsidRPr="00BD3F1E">
        <w:rPr>
          <w:sz w:val="18"/>
          <w:szCs w:val="18"/>
          <w:vertAlign w:val="superscript"/>
          <w:lang w:eastAsia="en-GB"/>
        </w:rPr>
        <w:footnoteReference w:id="6"/>
      </w:r>
      <w:r w:rsidR="00C21B42" w:rsidRPr="00BD3F1E">
        <w:rPr>
          <w:sz w:val="18"/>
          <w:szCs w:val="18"/>
          <w:vertAlign w:val="superscript"/>
          <w:lang w:eastAsia="en-GB"/>
        </w:rPr>
        <w:t xml:space="preserve"> </w:t>
      </w:r>
      <w:r w:rsidR="00C21B42" w:rsidRPr="00564E89">
        <w:rPr>
          <w:rFonts w:eastAsia="Calibri"/>
          <w:lang w:eastAsia="en-GB"/>
        </w:rPr>
        <w:t>is a tool for States to understand risks and take appropriate action for prevention. One of the indicators of risk and potential triggers outlined in the Framework is hate speech. Since 2019, the Special Adviser on the Prevention of Genocide has led a UN system-wide effort to develop a Strategy and Plan of Action on Hate Speech</w:t>
      </w:r>
      <w:r w:rsidR="00C21B42" w:rsidRPr="00BD3F1E">
        <w:rPr>
          <w:sz w:val="18"/>
          <w:szCs w:val="18"/>
          <w:vertAlign w:val="superscript"/>
          <w:lang w:eastAsia="en-GB"/>
        </w:rPr>
        <w:footnoteReference w:id="7"/>
      </w:r>
      <w:r w:rsidR="00C21B42" w:rsidRPr="00564E89">
        <w:rPr>
          <w:rFonts w:eastAsia="Calibri"/>
          <w:lang w:eastAsia="en-GB"/>
        </w:rPr>
        <w:t xml:space="preserve">, which the Secretary-General launched on 18 June 2019, a day </w:t>
      </w:r>
      <w:r w:rsidR="00C21B42" w:rsidRPr="00564E89">
        <w:rPr>
          <w:rFonts w:eastAsia="Calibri"/>
          <w:lang w:eastAsia="en-GB"/>
        </w:rPr>
        <w:lastRenderedPageBreak/>
        <w:t>subsequently designated by the General Assembly as the International Day for Countering Hate Speech in resolution 75/309.</w:t>
      </w:r>
      <w:r w:rsidR="00220D75" w:rsidRPr="00BD3F1E">
        <w:rPr>
          <w:sz w:val="18"/>
          <w:szCs w:val="18"/>
          <w:vertAlign w:val="superscript"/>
          <w:lang w:eastAsia="en-GB"/>
        </w:rPr>
        <w:footnoteReference w:id="8"/>
      </w:r>
      <w:r w:rsidR="00C21B42" w:rsidRPr="00564E89">
        <w:rPr>
          <w:rFonts w:eastAsia="Calibri"/>
          <w:vertAlign w:val="superscript"/>
          <w:lang w:eastAsia="en-GB"/>
        </w:rPr>
        <w:t xml:space="preserve"> </w:t>
      </w:r>
    </w:p>
    <w:p w14:paraId="3D81E192" w14:textId="6E865181" w:rsidR="00730146" w:rsidRPr="004D2F6D" w:rsidRDefault="00566D16" w:rsidP="00F56AF1">
      <w:pPr>
        <w:pStyle w:val="SingleTxtG"/>
        <w:rPr>
          <w:lang w:eastAsia="en-GB"/>
        </w:rPr>
      </w:pPr>
      <w:r w:rsidRPr="005C2B01">
        <w:rPr>
          <w:rFonts w:eastAsia="Calibri"/>
          <w:lang w:eastAsia="en-GB"/>
        </w:rPr>
        <w:t>17</w:t>
      </w:r>
      <w:r w:rsidR="003A574E" w:rsidRPr="005C2B01">
        <w:rPr>
          <w:rFonts w:eastAsia="Calibri"/>
          <w:lang w:eastAsia="en-GB"/>
        </w:rPr>
        <w:t>.</w:t>
      </w:r>
      <w:r w:rsidR="003A574E" w:rsidRPr="005C2B01">
        <w:rPr>
          <w:rFonts w:eastAsia="Calibri"/>
          <w:lang w:eastAsia="en-GB"/>
        </w:rPr>
        <w:tab/>
      </w:r>
      <w:r w:rsidR="00C21B42" w:rsidRPr="005C2B01">
        <w:rPr>
          <w:rFonts w:eastAsia="Calibri"/>
          <w:lang w:eastAsia="en-GB"/>
        </w:rPr>
        <w:t xml:space="preserve">In-country visits </w:t>
      </w:r>
      <w:r w:rsidR="00C21B42" w:rsidRPr="00564E89">
        <w:rPr>
          <w:rFonts w:eastAsia="Calibri"/>
          <w:lang w:eastAsia="en-GB"/>
        </w:rPr>
        <w:t>by the Special Adviser on the Prevention of Genocide</w:t>
      </w:r>
      <w:r w:rsidR="00C21B42" w:rsidRPr="00730146">
        <w:rPr>
          <w:lang w:eastAsia="en-GB"/>
        </w:rPr>
        <w:t xml:space="preserve"> provide opportunities to assess strengths at the national level and identify areas needing further support from the international community to build </w:t>
      </w:r>
      <w:r w:rsidR="00C21B42" w:rsidRPr="00730146">
        <w:rPr>
          <w:lang w:val="en-US" w:eastAsia="en-GB"/>
        </w:rPr>
        <w:t>capacity</w:t>
      </w:r>
      <w:r w:rsidR="00C21B42" w:rsidRPr="00730146">
        <w:rPr>
          <w:lang w:eastAsia="en-GB"/>
        </w:rPr>
        <w:t xml:space="preserve"> to prevent or address genocide and other atrocity crimes. </w:t>
      </w:r>
      <w:r w:rsidR="00730146" w:rsidRPr="00730146">
        <w:rPr>
          <w:lang w:eastAsia="en-GB"/>
        </w:rPr>
        <w:t xml:space="preserve">The Special Adviser visited </w:t>
      </w:r>
      <w:r w:rsidR="00730146" w:rsidRPr="00730146">
        <w:rPr>
          <w:lang w:val="en-US" w:eastAsia="en-GB"/>
        </w:rPr>
        <w:t>Bosnia and Herzegovina</w:t>
      </w:r>
      <w:r w:rsidR="00730146" w:rsidRPr="00730146">
        <w:rPr>
          <w:lang w:eastAsia="en-GB"/>
        </w:rPr>
        <w:t xml:space="preserve"> in 2021 and 2022. During both visits</w:t>
      </w:r>
      <w:r w:rsidR="00730146" w:rsidRPr="00730146">
        <w:rPr>
          <w:lang w:val="en-US" w:eastAsia="en-GB"/>
        </w:rPr>
        <w:t>,</w:t>
      </w:r>
      <w:r w:rsidR="00730146" w:rsidRPr="00730146">
        <w:rPr>
          <w:lang w:eastAsia="en-GB"/>
        </w:rPr>
        <w:t xml:space="preserve"> she expressed concern about revisionism, noting that genocide denial and the glorification of war criminals continued to present a serious challenge to reconciliation efforts. </w:t>
      </w:r>
      <w:r w:rsidR="00E0255F">
        <w:rPr>
          <w:lang w:eastAsia="en-GB"/>
        </w:rPr>
        <w:t>T</w:t>
      </w:r>
      <w:r w:rsidR="00E0255F">
        <w:rPr>
          <w:lang w:val="en-US" w:eastAsia="en-GB"/>
        </w:rPr>
        <w:t>he</w:t>
      </w:r>
      <w:r w:rsidR="00E0255F" w:rsidRPr="00730146">
        <w:rPr>
          <w:lang w:val="en-US" w:eastAsia="en-GB"/>
        </w:rPr>
        <w:t xml:space="preserve"> Special Adviser </w:t>
      </w:r>
      <w:r w:rsidR="00E0255F">
        <w:rPr>
          <w:lang w:val="en-US" w:eastAsia="en-GB"/>
        </w:rPr>
        <w:t>also</w:t>
      </w:r>
      <w:r w:rsidR="00E0255F" w:rsidRPr="00730146">
        <w:rPr>
          <w:lang w:val="en-US" w:eastAsia="en-GB"/>
        </w:rPr>
        <w:t xml:space="preserve"> </w:t>
      </w:r>
      <w:r w:rsidR="00E0255F" w:rsidRPr="00730146">
        <w:rPr>
          <w:lang w:eastAsia="en-GB"/>
        </w:rPr>
        <w:t>drew attention to concerns about the segregation of the education system, including textbooks and curricula, leading to children being taught different versions of the past. This presents long term challenges to dealing with a past of atrocity crimes and promoting reconciliation and sustaining peac</w:t>
      </w:r>
      <w:r w:rsidR="00E0255F">
        <w:rPr>
          <w:lang w:eastAsia="en-GB"/>
        </w:rPr>
        <w:t>e</w:t>
      </w:r>
      <w:r w:rsidR="00E0255F" w:rsidRPr="00730146">
        <w:rPr>
          <w:lang w:eastAsia="en-GB"/>
        </w:rPr>
        <w:t xml:space="preserve">. </w:t>
      </w:r>
      <w:r w:rsidR="00730146" w:rsidRPr="00730146">
        <w:rPr>
          <w:lang w:eastAsia="en-GB"/>
        </w:rPr>
        <w:t xml:space="preserve">In July 2021, </w:t>
      </w:r>
      <w:r w:rsidR="006F1447">
        <w:rPr>
          <w:lang w:val="en-US" w:eastAsia="en-GB"/>
        </w:rPr>
        <w:t>the</w:t>
      </w:r>
      <w:r w:rsidR="00730146" w:rsidRPr="00730146">
        <w:rPr>
          <w:lang w:val="en-US" w:eastAsia="en-GB"/>
        </w:rPr>
        <w:t xml:space="preserve"> Bosnia and Herzegovina’s Criminal Code </w:t>
      </w:r>
      <w:r w:rsidR="006F1447">
        <w:rPr>
          <w:lang w:val="en-US" w:eastAsia="en-GB"/>
        </w:rPr>
        <w:t xml:space="preserve">was amended </w:t>
      </w:r>
      <w:r w:rsidR="00A52E93">
        <w:rPr>
          <w:lang w:val="en-US" w:eastAsia="en-GB"/>
        </w:rPr>
        <w:t xml:space="preserve">to </w:t>
      </w:r>
      <w:r w:rsidR="00730146" w:rsidRPr="00730146">
        <w:rPr>
          <w:lang w:eastAsia="en-GB"/>
        </w:rPr>
        <w:t>introduc</w:t>
      </w:r>
      <w:r w:rsidR="00A52E93">
        <w:rPr>
          <w:lang w:eastAsia="en-GB"/>
        </w:rPr>
        <w:t>e</w:t>
      </w:r>
      <w:r w:rsidR="00730146" w:rsidRPr="00730146">
        <w:rPr>
          <w:lang w:eastAsia="en-GB"/>
        </w:rPr>
        <w:t xml:space="preserve"> the prohibition of the denial and glorification of crimes of genocide, crimes against humanity and war crimes</w:t>
      </w:r>
      <w:r w:rsidR="006F1447">
        <w:rPr>
          <w:lang w:eastAsia="en-GB"/>
        </w:rPr>
        <w:t xml:space="preserve"> </w:t>
      </w:r>
      <w:r w:rsidR="006F1447" w:rsidRPr="006F1447">
        <w:rPr>
          <w:lang w:eastAsia="en-GB"/>
        </w:rPr>
        <w:t>carried out in a manner likely to incite to violence or hatred</w:t>
      </w:r>
      <w:r w:rsidR="00730146" w:rsidRPr="00730146">
        <w:rPr>
          <w:lang w:eastAsia="en-GB"/>
        </w:rPr>
        <w:t xml:space="preserve">. In July 2022, the Special Adviser attended the anniversary of the genocide in </w:t>
      </w:r>
      <w:r w:rsidR="00531627" w:rsidRPr="00F97FDF">
        <w:rPr>
          <w:lang w:eastAsia="en-GB"/>
        </w:rPr>
        <w:t>the former Yugoslavia</w:t>
      </w:r>
      <w:r w:rsidR="00730146" w:rsidRPr="00730146">
        <w:rPr>
          <w:lang w:eastAsia="en-GB"/>
        </w:rPr>
        <w:t xml:space="preserve"> at the Srebrenica Memorial </w:t>
      </w:r>
      <w:proofErr w:type="spellStart"/>
      <w:r w:rsidR="00730146" w:rsidRPr="00730146">
        <w:rPr>
          <w:lang w:eastAsia="en-GB"/>
        </w:rPr>
        <w:t>Center</w:t>
      </w:r>
      <w:proofErr w:type="spellEnd"/>
      <w:r w:rsidR="00730146" w:rsidRPr="00730146">
        <w:rPr>
          <w:lang w:eastAsia="en-GB"/>
        </w:rPr>
        <w:t xml:space="preserve"> and met with victims and survivors. </w:t>
      </w:r>
    </w:p>
    <w:p w14:paraId="2AEF0AE1" w14:textId="1BE104B5" w:rsidR="00730146" w:rsidRPr="004D2F6D" w:rsidRDefault="00566D16" w:rsidP="004D2F6D">
      <w:pPr>
        <w:pStyle w:val="SingleTxtG"/>
        <w:rPr>
          <w:rFonts w:eastAsia="Calibri"/>
          <w:lang w:eastAsia="en-GB"/>
        </w:rPr>
      </w:pPr>
      <w:r>
        <w:rPr>
          <w:rFonts w:eastAsia="Calibri"/>
          <w:lang w:eastAsia="en-GB"/>
        </w:rPr>
        <w:t>18</w:t>
      </w:r>
      <w:r w:rsidR="003A574E">
        <w:rPr>
          <w:rFonts w:eastAsia="Calibri"/>
          <w:lang w:eastAsia="en-GB"/>
        </w:rPr>
        <w:t>.</w:t>
      </w:r>
      <w:r w:rsidR="003A574E">
        <w:rPr>
          <w:rFonts w:eastAsia="Calibri"/>
          <w:lang w:eastAsia="en-GB"/>
        </w:rPr>
        <w:tab/>
      </w:r>
      <w:r w:rsidR="00730146" w:rsidRPr="00730146">
        <w:rPr>
          <w:rFonts w:eastAsia="Calibri"/>
          <w:lang w:eastAsia="en-GB"/>
        </w:rPr>
        <w:t xml:space="preserve">In </w:t>
      </w:r>
      <w:r w:rsidR="00730146" w:rsidRPr="00730146">
        <w:rPr>
          <w:lang w:eastAsia="en-GB"/>
        </w:rPr>
        <w:t>April</w:t>
      </w:r>
      <w:r w:rsidR="00730146" w:rsidRPr="00730146">
        <w:rPr>
          <w:rFonts w:eastAsia="Calibri"/>
          <w:lang w:eastAsia="en-GB"/>
        </w:rPr>
        <w:t xml:space="preserve"> 2022, the Special Adviser </w:t>
      </w:r>
      <w:r w:rsidR="00021AA9">
        <w:rPr>
          <w:rFonts w:eastAsia="Calibri"/>
          <w:lang w:eastAsia="en-GB"/>
        </w:rPr>
        <w:t xml:space="preserve">on the Prevention of Genocide </w:t>
      </w:r>
      <w:r w:rsidR="00730146" w:rsidRPr="00730146">
        <w:rPr>
          <w:lang w:eastAsia="en-GB"/>
        </w:rPr>
        <w:t xml:space="preserve">visited </w:t>
      </w:r>
      <w:r w:rsidR="00730146" w:rsidRPr="00730146">
        <w:rPr>
          <w:rFonts w:eastAsia="Calibri"/>
          <w:lang w:eastAsia="en-GB"/>
        </w:rPr>
        <w:t>Bangladesh</w:t>
      </w:r>
      <w:r w:rsidR="00730146" w:rsidRPr="00730146">
        <w:rPr>
          <w:lang w:eastAsia="en-GB"/>
        </w:rPr>
        <w:t>, with the</w:t>
      </w:r>
      <w:r w:rsidR="00730146" w:rsidRPr="00730146">
        <w:rPr>
          <w:rFonts w:eastAsia="Calibri"/>
          <w:lang w:eastAsia="en-GB"/>
        </w:rPr>
        <w:t xml:space="preserve"> primary objective to meet with Rohingya refugees in Cox’s Bazar. </w:t>
      </w:r>
      <w:r w:rsidR="00BE7726">
        <w:rPr>
          <w:rFonts w:eastAsia="Calibri"/>
          <w:lang w:eastAsia="en-GB"/>
        </w:rPr>
        <w:t>The</w:t>
      </w:r>
      <w:r w:rsidR="00730146" w:rsidRPr="00730146">
        <w:rPr>
          <w:lang w:eastAsia="en-GB"/>
        </w:rPr>
        <w:t xml:space="preserve"> Special Adviser emphasized the importance </w:t>
      </w:r>
      <w:r w:rsidR="00C03617">
        <w:rPr>
          <w:lang w:eastAsia="en-GB"/>
        </w:rPr>
        <w:t>of</w:t>
      </w:r>
      <w:r w:rsidR="00730146" w:rsidRPr="00730146">
        <w:rPr>
          <w:lang w:eastAsia="en-GB"/>
        </w:rPr>
        <w:t xml:space="preserve"> ensur</w:t>
      </w:r>
      <w:r w:rsidR="00972112">
        <w:rPr>
          <w:lang w:eastAsia="en-GB"/>
        </w:rPr>
        <w:t>ing</w:t>
      </w:r>
      <w:r w:rsidR="00730146" w:rsidRPr="00730146">
        <w:rPr>
          <w:lang w:eastAsia="en-GB"/>
        </w:rPr>
        <w:t xml:space="preserve"> support and protection to the Rohingya community, noting </w:t>
      </w:r>
      <w:r w:rsidR="00730146" w:rsidRPr="00730146">
        <w:rPr>
          <w:rFonts w:eastAsia="Calibri"/>
          <w:lang w:eastAsia="en-GB"/>
        </w:rPr>
        <w:t xml:space="preserve">that the risk of genocide facing the Rohingya in Myanmar remained unchanged since the </w:t>
      </w:r>
      <w:r w:rsidR="00730146" w:rsidRPr="00730146">
        <w:rPr>
          <w:lang w:eastAsia="en-GB"/>
        </w:rPr>
        <w:t xml:space="preserve">outbreak of </w:t>
      </w:r>
      <w:r w:rsidR="00730146" w:rsidRPr="00730146">
        <w:rPr>
          <w:rFonts w:eastAsia="Calibri"/>
          <w:lang w:eastAsia="en-GB"/>
        </w:rPr>
        <w:t xml:space="preserve">violence in 2017. </w:t>
      </w:r>
    </w:p>
    <w:p w14:paraId="06F5B0DC" w14:textId="7BED5CCD" w:rsidR="00730146" w:rsidRPr="00730146" w:rsidRDefault="00566D16" w:rsidP="004D2F6D">
      <w:pPr>
        <w:pStyle w:val="SingleTxtG"/>
        <w:rPr>
          <w:rFonts w:eastAsia="Calibri"/>
          <w:lang w:eastAsia="en-GB"/>
        </w:rPr>
      </w:pPr>
      <w:r>
        <w:rPr>
          <w:rFonts w:eastAsia="Calibri"/>
          <w:lang w:eastAsia="en-GB"/>
        </w:rPr>
        <w:t>19</w:t>
      </w:r>
      <w:r w:rsidR="003A574E">
        <w:rPr>
          <w:rFonts w:eastAsia="Calibri"/>
          <w:lang w:eastAsia="en-GB"/>
        </w:rPr>
        <w:t>.</w:t>
      </w:r>
      <w:r w:rsidR="003A574E">
        <w:rPr>
          <w:rFonts w:eastAsia="Calibri"/>
        </w:rPr>
        <w:tab/>
      </w:r>
      <w:r w:rsidR="00730146" w:rsidRPr="00730146">
        <w:rPr>
          <w:rFonts w:eastAsia="Calibri"/>
          <w:lang w:eastAsia="en-GB"/>
        </w:rPr>
        <w:t xml:space="preserve">In </w:t>
      </w:r>
      <w:r w:rsidR="00730146" w:rsidRPr="00730146">
        <w:rPr>
          <w:lang w:eastAsia="en-GB"/>
        </w:rPr>
        <w:t>May</w:t>
      </w:r>
      <w:r w:rsidR="00730146" w:rsidRPr="00730146">
        <w:rPr>
          <w:rFonts w:eastAsia="Calibri"/>
          <w:lang w:eastAsia="en-GB"/>
        </w:rPr>
        <w:t xml:space="preserve"> 2022, the </w:t>
      </w:r>
      <w:r w:rsidR="00644434">
        <w:rPr>
          <w:rFonts w:eastAsia="Calibri"/>
          <w:lang w:eastAsia="en-GB"/>
        </w:rPr>
        <w:t xml:space="preserve">Special </w:t>
      </w:r>
      <w:r w:rsidR="00730146" w:rsidRPr="00730146">
        <w:rPr>
          <w:rFonts w:eastAsia="Calibri"/>
          <w:lang w:eastAsia="en-GB"/>
        </w:rPr>
        <w:t>Adviser</w:t>
      </w:r>
      <w:r w:rsidR="00021AA9">
        <w:rPr>
          <w:rFonts w:eastAsia="Calibri"/>
          <w:lang w:eastAsia="en-GB"/>
        </w:rPr>
        <w:t xml:space="preserve"> on the Prevention of Genocide </w:t>
      </w:r>
      <w:r w:rsidR="00730146" w:rsidRPr="00730146">
        <w:rPr>
          <w:rFonts w:eastAsia="Calibri"/>
          <w:lang w:eastAsia="en-GB"/>
        </w:rPr>
        <w:t xml:space="preserve">visited Iraq, in support of efforts by the Government, </w:t>
      </w:r>
      <w:r w:rsidR="001B2A05">
        <w:rPr>
          <w:rFonts w:eastAsia="Calibri"/>
          <w:lang w:eastAsia="en-GB"/>
        </w:rPr>
        <w:t xml:space="preserve">the </w:t>
      </w:r>
      <w:r w:rsidR="001B2A05" w:rsidRPr="001B2A05">
        <w:rPr>
          <w:rFonts w:eastAsia="Calibri"/>
          <w:lang w:eastAsia="en-GB"/>
        </w:rPr>
        <w:t>Investigative Team to support domestic efforts to hold ISIL (Da’esh) accountable by collecting, preserving and storing evidence in Iraq of acts that may amount to war crimes, crimes against humanity or genocide committed by the terrorist group ISIL (Da’esh) in Iraq</w:t>
      </w:r>
      <w:r w:rsidR="001B2A05">
        <w:rPr>
          <w:rFonts w:eastAsia="Calibri"/>
          <w:lang w:eastAsia="en-GB"/>
        </w:rPr>
        <w:t xml:space="preserve"> (UNITAD)</w:t>
      </w:r>
      <w:r w:rsidR="00730146" w:rsidRPr="00730146">
        <w:rPr>
          <w:rFonts w:eastAsia="Calibri"/>
          <w:lang w:eastAsia="en-GB"/>
        </w:rPr>
        <w:t xml:space="preserve"> and the United Nations Assistance Mission for Iraq (UNAMI) to ensure accountability for </w:t>
      </w:r>
      <w:r w:rsidR="00BE7726">
        <w:rPr>
          <w:rFonts w:eastAsia="Calibri"/>
          <w:lang w:eastAsia="en-GB"/>
        </w:rPr>
        <w:t>atrocity crimes,</w:t>
      </w:r>
      <w:r w:rsidR="00730146" w:rsidRPr="00730146">
        <w:rPr>
          <w:rFonts w:eastAsia="Calibri"/>
          <w:lang w:eastAsia="en-GB"/>
        </w:rPr>
        <w:t xml:space="preserve"> strengthen the protection of vulnerable communities and </w:t>
      </w:r>
      <w:r w:rsidR="00AE4E86">
        <w:rPr>
          <w:rFonts w:eastAsia="Calibri"/>
          <w:lang w:eastAsia="en-GB"/>
        </w:rPr>
        <w:t>contribute to</w:t>
      </w:r>
      <w:r w:rsidR="00AE4E86" w:rsidRPr="00730146">
        <w:rPr>
          <w:rFonts w:eastAsia="Calibri"/>
          <w:lang w:eastAsia="en-GB"/>
        </w:rPr>
        <w:t xml:space="preserve"> </w:t>
      </w:r>
      <w:r w:rsidR="00730146" w:rsidRPr="00730146">
        <w:rPr>
          <w:rFonts w:eastAsia="Calibri"/>
          <w:lang w:eastAsia="en-GB"/>
        </w:rPr>
        <w:t xml:space="preserve">the prevention of sectarian violence. The Special Adviser also undertook visits to Brazil, the Democratic Republic of </w:t>
      </w:r>
      <w:r w:rsidR="00924A30">
        <w:rPr>
          <w:rFonts w:eastAsia="Calibri"/>
          <w:lang w:eastAsia="en-GB"/>
        </w:rPr>
        <w:t xml:space="preserve">the </w:t>
      </w:r>
      <w:r w:rsidR="00730146" w:rsidRPr="00730146">
        <w:rPr>
          <w:rFonts w:eastAsia="Calibri"/>
          <w:lang w:eastAsia="en-GB"/>
        </w:rPr>
        <w:t xml:space="preserve">Congo, the Central African </w:t>
      </w:r>
      <w:proofErr w:type="gramStart"/>
      <w:r w:rsidR="00730146" w:rsidRPr="00730146">
        <w:rPr>
          <w:rFonts w:eastAsia="Calibri"/>
          <w:lang w:eastAsia="en-GB"/>
        </w:rPr>
        <w:t>Republic</w:t>
      </w:r>
      <w:proofErr w:type="gramEnd"/>
      <w:r w:rsidR="00730146" w:rsidRPr="00730146">
        <w:rPr>
          <w:rFonts w:eastAsia="Calibri"/>
          <w:lang w:eastAsia="en-GB"/>
        </w:rPr>
        <w:t xml:space="preserve"> and Nigeria in line with her mandate. </w:t>
      </w:r>
    </w:p>
    <w:p w14:paraId="6D341AFB" w14:textId="583CF89A" w:rsidR="00730146" w:rsidRPr="00021AA9" w:rsidRDefault="003A574E" w:rsidP="004D2F6D">
      <w:pPr>
        <w:pStyle w:val="SingleTxtG"/>
        <w:rPr>
          <w:lang w:eastAsia="en-GB"/>
        </w:rPr>
      </w:pPr>
      <w:r w:rsidRPr="7D91FA72">
        <w:rPr>
          <w:rFonts w:eastAsia="Calibri"/>
          <w:lang w:eastAsia="en-GB"/>
        </w:rPr>
        <w:t>2</w:t>
      </w:r>
      <w:r w:rsidR="00566D16" w:rsidRPr="7D91FA72">
        <w:rPr>
          <w:rFonts w:eastAsia="Calibri"/>
          <w:lang w:eastAsia="en-GB"/>
        </w:rPr>
        <w:t>0</w:t>
      </w:r>
      <w:r w:rsidRPr="7D91FA72">
        <w:rPr>
          <w:rFonts w:eastAsia="Calibri"/>
          <w:lang w:eastAsia="en-GB"/>
        </w:rPr>
        <w:t>.</w:t>
      </w:r>
      <w:r>
        <w:tab/>
      </w:r>
      <w:r w:rsidR="00730146" w:rsidRPr="7D91FA72">
        <w:rPr>
          <w:rFonts w:eastAsia="Calibri"/>
          <w:lang w:eastAsia="en-GB"/>
        </w:rPr>
        <w:t xml:space="preserve">The Office of the Special Adviser </w:t>
      </w:r>
      <w:r w:rsidR="00021AA9" w:rsidRPr="7D91FA72">
        <w:rPr>
          <w:rFonts w:eastAsia="Calibri"/>
          <w:lang w:eastAsia="en-GB"/>
        </w:rPr>
        <w:t xml:space="preserve">on the Prevention of Genocide </w:t>
      </w:r>
      <w:r w:rsidR="00730146" w:rsidRPr="7D91FA72">
        <w:rPr>
          <w:rFonts w:eastAsia="Calibri"/>
          <w:lang w:eastAsia="en-GB"/>
        </w:rPr>
        <w:t>provides technical assistance to national prevention efforts. In 2020, it supported the Tanzania National Committee on the Prevention of Genocide to organize community level dialogues in regions affected by ongoing intercommunal tensions, and</w:t>
      </w:r>
      <w:r w:rsidR="00730146" w:rsidRPr="7D91FA72">
        <w:rPr>
          <w:lang w:eastAsia="en-GB"/>
        </w:rPr>
        <w:t xml:space="preserve"> in 2022, facilitated intercommunal dialogues in Mali aimed at promoting trust between the security forces and local communities. In Colombia, the Ombudsman's Office collaborated with the Office of the Special Adviser to assess the risks faced by vulnerable communities and support initiatives to mitigate them. </w:t>
      </w:r>
      <w:r w:rsidR="00021AA9" w:rsidRPr="7D91FA72">
        <w:rPr>
          <w:lang w:eastAsia="en-GB"/>
        </w:rPr>
        <w:t xml:space="preserve">The Office of the Special Adviser on the Prevention of Genocide has also led initiatives in Africa and Asia to develop curricula and learning material on atrocity crimes working with national actors, including Ministries of Education, academic </w:t>
      </w:r>
      <w:proofErr w:type="gramStart"/>
      <w:r w:rsidR="00021AA9" w:rsidRPr="7D91FA72">
        <w:rPr>
          <w:lang w:eastAsia="en-GB"/>
        </w:rPr>
        <w:t>institutions</w:t>
      </w:r>
      <w:proofErr w:type="gramEnd"/>
      <w:r w:rsidR="00021AA9" w:rsidRPr="7D91FA72">
        <w:rPr>
          <w:lang w:eastAsia="en-GB"/>
        </w:rPr>
        <w:t xml:space="preserve"> and civil society</w:t>
      </w:r>
      <w:r w:rsidR="00E17F1F" w:rsidRPr="7D91FA72">
        <w:rPr>
          <w:lang w:eastAsia="en-GB"/>
        </w:rPr>
        <w:t>.</w:t>
      </w:r>
      <w:r w:rsidR="00021AA9" w:rsidRPr="7D91FA72">
        <w:rPr>
          <w:lang w:eastAsia="en-GB"/>
        </w:rPr>
        <w:t xml:space="preserve"> </w:t>
      </w:r>
      <w:r w:rsidR="00021AA9" w:rsidRPr="7D91FA72">
        <w:rPr>
          <w:lang w:val="en-US" w:eastAsia="en-GB"/>
        </w:rPr>
        <w:t>Beyond formal education such information can also be spread through networks, as done by the Latin American Network for Education about the Holocaust and Other Genocides, led by</w:t>
      </w:r>
      <w:r w:rsidR="0081426E" w:rsidRPr="7D91FA72">
        <w:rPr>
          <w:lang w:val="en-US" w:eastAsia="en-GB"/>
        </w:rPr>
        <w:t xml:space="preserve"> the United Nations Educational, Scientific and Cultural Organization</w:t>
      </w:r>
      <w:r w:rsidR="00021AA9" w:rsidRPr="7D91FA72">
        <w:rPr>
          <w:lang w:val="en-US" w:eastAsia="en-GB"/>
        </w:rPr>
        <w:t xml:space="preserve"> </w:t>
      </w:r>
      <w:r w:rsidR="0081426E" w:rsidRPr="7D91FA72">
        <w:rPr>
          <w:lang w:val="en-US" w:eastAsia="en-GB"/>
        </w:rPr>
        <w:t>(</w:t>
      </w:r>
      <w:r w:rsidR="00021AA9" w:rsidRPr="7D91FA72">
        <w:rPr>
          <w:lang w:val="en-US" w:eastAsia="en-GB"/>
        </w:rPr>
        <w:t>UNESCO</w:t>
      </w:r>
      <w:r w:rsidR="0081426E" w:rsidRPr="7D91FA72">
        <w:rPr>
          <w:lang w:val="en-US" w:eastAsia="en-GB"/>
        </w:rPr>
        <w:t>)</w:t>
      </w:r>
      <w:r w:rsidR="00021AA9" w:rsidRPr="7D91FA72">
        <w:rPr>
          <w:lang w:val="en-US" w:eastAsia="en-GB"/>
        </w:rPr>
        <w:t xml:space="preserve">. </w:t>
      </w:r>
    </w:p>
    <w:p w14:paraId="196BABC9" w14:textId="4BECDCE1" w:rsidR="00730146" w:rsidRPr="00730146" w:rsidRDefault="003A574E" w:rsidP="004D2F6D">
      <w:pPr>
        <w:pStyle w:val="SingleTxtG"/>
        <w:rPr>
          <w:lang w:eastAsia="en-GB"/>
        </w:rPr>
      </w:pPr>
      <w:r>
        <w:rPr>
          <w:lang w:eastAsia="en-GB"/>
        </w:rPr>
        <w:t>2</w:t>
      </w:r>
      <w:r w:rsidR="00566D16">
        <w:rPr>
          <w:lang w:eastAsia="en-GB"/>
        </w:rPr>
        <w:t>1</w:t>
      </w:r>
      <w:r>
        <w:rPr>
          <w:lang w:eastAsia="en-GB"/>
        </w:rPr>
        <w:t>.</w:t>
      </w:r>
      <w:r>
        <w:rPr>
          <w:lang w:eastAsia="en-GB"/>
        </w:rPr>
        <w:tab/>
      </w:r>
      <w:r w:rsidR="00730146" w:rsidRPr="00730146">
        <w:rPr>
          <w:lang w:eastAsia="en-GB"/>
        </w:rPr>
        <w:t xml:space="preserve">Over the past few years, there have been growing calls for the </w:t>
      </w:r>
      <w:r w:rsidR="00A65341">
        <w:rPr>
          <w:lang w:eastAsia="en-GB"/>
        </w:rPr>
        <w:t xml:space="preserve">permanent </w:t>
      </w:r>
      <w:r w:rsidR="00730146" w:rsidRPr="00730146">
        <w:rPr>
          <w:lang w:eastAsia="en-GB"/>
        </w:rPr>
        <w:t xml:space="preserve">members of the Security Council to voluntarily refrain from using their veto in situations involving atrocity crimes, including two State-led initiatives – </w:t>
      </w:r>
      <w:r w:rsidR="003C3912">
        <w:rPr>
          <w:lang w:eastAsia="en-GB"/>
        </w:rPr>
        <w:t xml:space="preserve">notably </w:t>
      </w:r>
      <w:r w:rsidR="00730146" w:rsidRPr="00730146">
        <w:rPr>
          <w:lang w:eastAsia="en-GB"/>
        </w:rPr>
        <w:t>for a code of conduct, launched by the cross-regional Accountability, Coherence and Transparency Group</w:t>
      </w:r>
      <w:r w:rsidR="00730146" w:rsidRPr="393F8FC5">
        <w:rPr>
          <w:sz w:val="18"/>
          <w:szCs w:val="18"/>
          <w:vertAlign w:val="superscript"/>
          <w:lang w:eastAsia="en-GB"/>
        </w:rPr>
        <w:footnoteReference w:id="9"/>
      </w:r>
      <w:r w:rsidR="0024066D">
        <w:rPr>
          <w:lang w:eastAsia="en-GB"/>
        </w:rPr>
        <w:t xml:space="preserve">, supported by over 120 </w:t>
      </w:r>
      <w:r w:rsidR="00730146" w:rsidRPr="00730146">
        <w:rPr>
          <w:lang w:eastAsia="en-GB"/>
        </w:rPr>
        <w:t>States, and a political declaration launched by France and Mexico signed by 104 Member States</w:t>
      </w:r>
      <w:r w:rsidR="00171746">
        <w:rPr>
          <w:rStyle w:val="FootnoteReference"/>
          <w:lang w:eastAsia="en-GB"/>
        </w:rPr>
        <w:footnoteReference w:id="10"/>
      </w:r>
      <w:r w:rsidR="00730146" w:rsidRPr="00730146">
        <w:rPr>
          <w:lang w:eastAsia="en-GB"/>
        </w:rPr>
        <w:t>.</w:t>
      </w:r>
      <w:r w:rsidR="00EC1C0D">
        <w:rPr>
          <w:lang w:eastAsia="en-GB"/>
        </w:rPr>
        <w:t xml:space="preserve"> </w:t>
      </w:r>
      <w:r w:rsidR="00730146" w:rsidRPr="00730146">
        <w:rPr>
          <w:lang w:eastAsia="en-GB"/>
        </w:rPr>
        <w:t xml:space="preserve">In October 2021, the Special Adviser briefed </w:t>
      </w:r>
      <w:r w:rsidR="003C3912">
        <w:rPr>
          <w:lang w:eastAsia="en-GB"/>
        </w:rPr>
        <w:t xml:space="preserve">in </w:t>
      </w:r>
      <w:r w:rsidR="00730146" w:rsidRPr="00730146">
        <w:rPr>
          <w:lang w:eastAsia="en-GB"/>
        </w:rPr>
        <w:t xml:space="preserve">an </w:t>
      </w:r>
      <w:proofErr w:type="spellStart"/>
      <w:r w:rsidR="00730146" w:rsidRPr="00730146">
        <w:rPr>
          <w:lang w:eastAsia="en-GB"/>
        </w:rPr>
        <w:t>Arria</w:t>
      </w:r>
      <w:proofErr w:type="spellEnd"/>
      <w:r w:rsidR="00730146" w:rsidRPr="00730146">
        <w:rPr>
          <w:lang w:eastAsia="en-GB"/>
        </w:rPr>
        <w:t xml:space="preserve"> Formula meeting of the Security Council on the topic of addressing and countering hate speech and preventing </w:t>
      </w:r>
      <w:r w:rsidR="00730146" w:rsidRPr="00730146">
        <w:rPr>
          <w:lang w:eastAsia="en-GB"/>
        </w:rPr>
        <w:lastRenderedPageBreak/>
        <w:t xml:space="preserve">incitement to discrimination, </w:t>
      </w:r>
      <w:proofErr w:type="gramStart"/>
      <w:r w:rsidR="00730146" w:rsidRPr="00730146">
        <w:rPr>
          <w:lang w:eastAsia="en-GB"/>
        </w:rPr>
        <w:t>hostility</w:t>
      </w:r>
      <w:proofErr w:type="gramEnd"/>
      <w:r w:rsidR="00730146" w:rsidRPr="00730146">
        <w:rPr>
          <w:lang w:eastAsia="en-GB"/>
        </w:rPr>
        <w:t xml:space="preserve"> an</w:t>
      </w:r>
      <w:r w:rsidR="00DA7E48">
        <w:rPr>
          <w:lang w:eastAsia="en-GB"/>
        </w:rPr>
        <w:t>d</w:t>
      </w:r>
      <w:r w:rsidR="00730146" w:rsidRPr="00730146">
        <w:rPr>
          <w:lang w:eastAsia="en-GB"/>
        </w:rPr>
        <w:t xml:space="preserve"> violence on social media. In June 2022, the Special Adviser briefed the Security Council on </w:t>
      </w:r>
      <w:r w:rsidR="00DD6A61">
        <w:rPr>
          <w:lang w:eastAsia="en-GB"/>
        </w:rPr>
        <w:t xml:space="preserve">the </w:t>
      </w:r>
      <w:r w:rsidR="00730146" w:rsidRPr="00730146">
        <w:rPr>
          <w:lang w:eastAsia="en-GB"/>
        </w:rPr>
        <w:t xml:space="preserve">maintenance of peace and security </w:t>
      </w:r>
      <w:r w:rsidR="00AD6697">
        <w:rPr>
          <w:lang w:eastAsia="en-GB"/>
        </w:rPr>
        <w:t>related to</w:t>
      </w:r>
      <w:r w:rsidR="00B56489" w:rsidRPr="00730146">
        <w:rPr>
          <w:lang w:eastAsia="en-GB"/>
        </w:rPr>
        <w:t xml:space="preserve"> </w:t>
      </w:r>
      <w:r w:rsidR="00730146" w:rsidRPr="00730146">
        <w:rPr>
          <w:lang w:eastAsia="en-GB"/>
        </w:rPr>
        <w:t xml:space="preserve">Ukraine with a particular focus on the role of incitement and hate speech. </w:t>
      </w:r>
    </w:p>
    <w:p w14:paraId="07EDBC36" w14:textId="7D8D7078" w:rsidR="004777DF" w:rsidRPr="00111E76" w:rsidRDefault="003A574E" w:rsidP="004777DF">
      <w:pPr>
        <w:pStyle w:val="SingleTxtG"/>
        <w:rPr>
          <w:rFonts w:eastAsia="Calibri"/>
          <w:lang w:eastAsia="en-GB"/>
        </w:rPr>
      </w:pPr>
      <w:r>
        <w:rPr>
          <w:lang w:eastAsia="en-GB"/>
        </w:rPr>
        <w:t>2</w:t>
      </w:r>
      <w:r w:rsidR="00566D16">
        <w:rPr>
          <w:lang w:eastAsia="en-GB"/>
        </w:rPr>
        <w:t>2</w:t>
      </w:r>
      <w:r>
        <w:rPr>
          <w:lang w:eastAsia="en-GB"/>
        </w:rPr>
        <w:t>.</w:t>
      </w:r>
      <w:r>
        <w:rPr>
          <w:lang w:eastAsia="en-GB"/>
        </w:rPr>
        <w:tab/>
      </w:r>
      <w:r w:rsidR="00730146" w:rsidRPr="00730146">
        <w:rPr>
          <w:lang w:eastAsia="en-GB"/>
        </w:rPr>
        <w:t xml:space="preserve">The Human Rights Council and its mechanisms </w:t>
      </w:r>
      <w:proofErr w:type="gramStart"/>
      <w:r w:rsidR="00730146" w:rsidRPr="00730146">
        <w:rPr>
          <w:lang w:eastAsia="en-GB"/>
        </w:rPr>
        <w:t>in particular the</w:t>
      </w:r>
      <w:proofErr w:type="gramEnd"/>
      <w:r w:rsidR="00730146" w:rsidRPr="00730146">
        <w:rPr>
          <w:lang w:eastAsia="en-GB"/>
        </w:rPr>
        <w:t xml:space="preserve"> Universal Periodic Review as well as relevant Special Procedure mandate holders and commissions of inquiries, have an important role in monitoring States</w:t>
      </w:r>
      <w:r w:rsidR="00290C1A">
        <w:rPr>
          <w:lang w:eastAsia="en-GB"/>
        </w:rPr>
        <w:t>’</w:t>
      </w:r>
      <w:r w:rsidR="00730146" w:rsidRPr="00730146">
        <w:rPr>
          <w:lang w:eastAsia="en-GB"/>
        </w:rPr>
        <w:t xml:space="preserve"> adherence to their human rights obligations, and raising concern over risk</w:t>
      </w:r>
      <w:r w:rsidR="00290C1A">
        <w:rPr>
          <w:lang w:eastAsia="en-GB"/>
        </w:rPr>
        <w:t>s</w:t>
      </w:r>
      <w:r w:rsidR="00730146" w:rsidRPr="00730146">
        <w:rPr>
          <w:lang w:eastAsia="en-GB"/>
        </w:rPr>
        <w:t xml:space="preserve"> of genocide. The intersessional meetings of the Council offer a space for debate and exchange among States on specific aspects and forms of prevention</w:t>
      </w:r>
      <w:r w:rsidR="00730146" w:rsidRPr="00730146">
        <w:rPr>
          <w:lang w:val="en-US" w:eastAsia="en-GB"/>
        </w:rPr>
        <w:t>. T</w:t>
      </w:r>
      <w:r w:rsidR="00730146" w:rsidRPr="00730146">
        <w:rPr>
          <w:lang w:eastAsia="en-GB"/>
        </w:rPr>
        <w:t>he Council’s mechanisms can provide practical assistance to States</w:t>
      </w:r>
      <w:r w:rsidR="00730146" w:rsidRPr="00730146">
        <w:rPr>
          <w:lang w:val="en-US" w:eastAsia="en-GB"/>
        </w:rPr>
        <w:t xml:space="preserve"> and </w:t>
      </w:r>
      <w:r w:rsidR="00730146" w:rsidRPr="00730146">
        <w:rPr>
          <w:lang w:eastAsia="en-GB"/>
        </w:rPr>
        <w:t xml:space="preserve">help them correct structural gaps and reverse trends of increasing human rights violations. Special </w:t>
      </w:r>
      <w:r w:rsidR="004312CD">
        <w:rPr>
          <w:lang w:eastAsia="en-GB"/>
        </w:rPr>
        <w:t>P</w:t>
      </w:r>
      <w:r w:rsidR="00730146" w:rsidRPr="00730146">
        <w:rPr>
          <w:lang w:eastAsia="en-GB"/>
        </w:rPr>
        <w:t>rocedures mandate</w:t>
      </w:r>
      <w:r w:rsidR="003D1F22">
        <w:rPr>
          <w:lang w:eastAsia="en-GB"/>
        </w:rPr>
        <w:t xml:space="preserve"> </w:t>
      </w:r>
      <w:r w:rsidR="0079709C">
        <w:rPr>
          <w:lang w:eastAsia="en-GB"/>
        </w:rPr>
        <w:t>holder</w:t>
      </w:r>
      <w:r w:rsidR="00730146" w:rsidRPr="00730146">
        <w:rPr>
          <w:lang w:eastAsia="en-GB"/>
        </w:rPr>
        <w:t xml:space="preserve">s provide substantial analysis on </w:t>
      </w:r>
      <w:r w:rsidR="006F1447">
        <w:rPr>
          <w:lang w:eastAsia="en-GB"/>
        </w:rPr>
        <w:t>conditions</w:t>
      </w:r>
      <w:r w:rsidR="00730146" w:rsidRPr="00730146">
        <w:rPr>
          <w:lang w:eastAsia="en-GB"/>
        </w:rPr>
        <w:t xml:space="preserve"> conducive to genocide and </w:t>
      </w:r>
      <w:r w:rsidR="00D66F08">
        <w:rPr>
          <w:lang w:eastAsia="en-GB"/>
        </w:rPr>
        <w:t xml:space="preserve">offer </w:t>
      </w:r>
      <w:r w:rsidR="00730146" w:rsidRPr="00730146">
        <w:rPr>
          <w:lang w:eastAsia="en-GB"/>
        </w:rPr>
        <w:t xml:space="preserve">guidance and recommendations to prevent the escalation of such threats. The Council continues to address specific </w:t>
      </w:r>
      <w:r w:rsidR="00F813E9">
        <w:rPr>
          <w:lang w:eastAsia="en-GB"/>
        </w:rPr>
        <w:t>human rights</w:t>
      </w:r>
      <w:r w:rsidR="00730146" w:rsidRPr="00730146">
        <w:rPr>
          <w:lang w:eastAsia="en-GB"/>
        </w:rPr>
        <w:t xml:space="preserve"> situations that require its urgent attention and to establish investigative mechanisms on country situations </w:t>
      </w:r>
      <w:r w:rsidR="003A1ADF">
        <w:rPr>
          <w:lang w:eastAsia="en-GB"/>
        </w:rPr>
        <w:t xml:space="preserve">including </w:t>
      </w:r>
      <w:r w:rsidR="00730146" w:rsidRPr="00730146">
        <w:rPr>
          <w:lang w:eastAsia="en-GB"/>
        </w:rPr>
        <w:t xml:space="preserve">commissions of inquiry, fact-finding </w:t>
      </w:r>
      <w:proofErr w:type="gramStart"/>
      <w:r w:rsidR="00730146" w:rsidRPr="00730146">
        <w:rPr>
          <w:lang w:eastAsia="en-GB"/>
        </w:rPr>
        <w:t>missions</w:t>
      </w:r>
      <w:proofErr w:type="gramEnd"/>
      <w:r w:rsidR="00730146" w:rsidRPr="00730146">
        <w:rPr>
          <w:lang w:eastAsia="en-GB"/>
        </w:rPr>
        <w:t xml:space="preserve"> or similar mechanisms </w:t>
      </w:r>
      <w:r w:rsidR="003944B4">
        <w:rPr>
          <w:lang w:eastAsia="en-GB"/>
        </w:rPr>
        <w:t>–</w:t>
      </w:r>
      <w:r w:rsidR="00730146" w:rsidRPr="00730146">
        <w:rPr>
          <w:lang w:eastAsia="en-GB"/>
        </w:rPr>
        <w:t xml:space="preserve"> to examine allegations of gross human rights violations and atrocity crimes. The work of these mechanisms allows the Council to keep its attention on warning signals of genocide or other atrocity crimes and engage at an early stage to pre-empt the escalation of tensions.</w:t>
      </w:r>
      <w:r w:rsidR="006F1447" w:rsidRPr="00730146" w:rsidDel="006F1447">
        <w:rPr>
          <w:lang w:eastAsia="en-GB"/>
        </w:rPr>
        <w:t xml:space="preserve"> </w:t>
      </w:r>
      <w:r w:rsidR="00730146" w:rsidRPr="00730146">
        <w:rPr>
          <w:lang w:eastAsia="en-GB"/>
        </w:rPr>
        <w:t>For example, the Commission of Inquiry o</w:t>
      </w:r>
      <w:r w:rsidR="006F1447">
        <w:rPr>
          <w:lang w:eastAsia="en-GB"/>
        </w:rPr>
        <w:t>n</w:t>
      </w:r>
      <w:r w:rsidR="00730146" w:rsidRPr="00730146">
        <w:rPr>
          <w:lang w:eastAsia="en-GB"/>
        </w:rPr>
        <w:t xml:space="preserve"> Burundi in its reports </w:t>
      </w:r>
      <w:r w:rsidR="003A1ADF" w:rsidRPr="00730146">
        <w:rPr>
          <w:lang w:eastAsia="en-GB"/>
        </w:rPr>
        <w:t>ha</w:t>
      </w:r>
      <w:r w:rsidR="003A1ADF">
        <w:rPr>
          <w:lang w:eastAsia="en-GB"/>
        </w:rPr>
        <w:t>s</w:t>
      </w:r>
      <w:r w:rsidR="003A1ADF" w:rsidRPr="00730146">
        <w:rPr>
          <w:lang w:eastAsia="en-GB"/>
        </w:rPr>
        <w:t xml:space="preserve"> </w:t>
      </w:r>
      <w:r w:rsidR="00730146" w:rsidRPr="00730146">
        <w:rPr>
          <w:lang w:eastAsia="en-GB"/>
        </w:rPr>
        <w:t xml:space="preserve">used the Framework of Analysis as a basis for its assessment of the situation, </w:t>
      </w:r>
      <w:r w:rsidR="003A1ADF">
        <w:rPr>
          <w:lang w:eastAsia="en-GB"/>
        </w:rPr>
        <w:t>which allowed it</w:t>
      </w:r>
      <w:r w:rsidR="00730146" w:rsidRPr="00730146">
        <w:rPr>
          <w:lang w:eastAsia="en-GB"/>
        </w:rPr>
        <w:t xml:space="preserve"> to </w:t>
      </w:r>
      <w:r w:rsidR="00077B46">
        <w:rPr>
          <w:lang w:eastAsia="en-GB"/>
        </w:rPr>
        <w:t>design</w:t>
      </w:r>
      <w:r w:rsidR="00077B46" w:rsidRPr="00730146">
        <w:rPr>
          <w:lang w:eastAsia="en-GB"/>
        </w:rPr>
        <w:t xml:space="preserve"> </w:t>
      </w:r>
      <w:r w:rsidR="00730146" w:rsidRPr="00730146">
        <w:rPr>
          <w:lang w:eastAsia="en-GB"/>
        </w:rPr>
        <w:t>recommendations address</w:t>
      </w:r>
      <w:r w:rsidR="00077B46">
        <w:rPr>
          <w:lang w:eastAsia="en-GB"/>
        </w:rPr>
        <w:t>ing</w:t>
      </w:r>
      <w:r w:rsidR="00730146" w:rsidRPr="00730146">
        <w:rPr>
          <w:lang w:eastAsia="en-GB"/>
        </w:rPr>
        <w:t xml:space="preserve"> specific risk factors. </w:t>
      </w:r>
      <w:r w:rsidR="004777DF" w:rsidRPr="00730146">
        <w:rPr>
          <w:lang w:eastAsia="en-GB"/>
        </w:rPr>
        <w:t>Mandates</w:t>
      </w:r>
      <w:r w:rsidR="004777DF" w:rsidRPr="00730146">
        <w:rPr>
          <w:lang w:val="en-US" w:eastAsia="en-GB"/>
        </w:rPr>
        <w:t xml:space="preserve"> of United Nations investigations into human rights violations have </w:t>
      </w:r>
      <w:r w:rsidR="00B06EA7">
        <w:rPr>
          <w:lang w:val="en-US" w:eastAsia="en-GB"/>
        </w:rPr>
        <w:t xml:space="preserve">further </w:t>
      </w:r>
      <w:r w:rsidR="004777DF" w:rsidRPr="00730146">
        <w:rPr>
          <w:lang w:val="en-US" w:eastAsia="en-GB"/>
        </w:rPr>
        <w:t xml:space="preserve">been progressively expanded to include tasks such as gathering and preserving evidence, </w:t>
      </w:r>
      <w:proofErr w:type="gramStart"/>
      <w:r w:rsidR="004777DF" w:rsidRPr="00730146">
        <w:rPr>
          <w:lang w:val="en-US" w:eastAsia="en-GB"/>
        </w:rPr>
        <w:t>examining</w:t>
      </w:r>
      <w:proofErr w:type="gramEnd"/>
      <w:r w:rsidR="004777DF" w:rsidRPr="00730146">
        <w:rPr>
          <w:lang w:val="en-US" w:eastAsia="en-GB"/>
        </w:rPr>
        <w:t xml:space="preserve"> and qualifying documented violations under international criminal law, identifying potential perpetrators, and lately, building criminal case files</w:t>
      </w:r>
      <w:r w:rsidR="002114AF">
        <w:rPr>
          <w:lang w:val="en-US" w:eastAsia="en-GB"/>
        </w:rPr>
        <w:t>. Examples i</w:t>
      </w:r>
      <w:r w:rsidR="00E84C7C">
        <w:rPr>
          <w:lang w:val="en-US" w:eastAsia="en-GB"/>
        </w:rPr>
        <w:t>nclude</w:t>
      </w:r>
      <w:r w:rsidR="004777DF" w:rsidRPr="00730146">
        <w:rPr>
          <w:lang w:val="en-US" w:eastAsia="en-GB"/>
        </w:rPr>
        <w:t xml:space="preserve"> the mandates of mechanisms established by the General Assembly to </w:t>
      </w:r>
      <w:r w:rsidR="004777DF">
        <w:rPr>
          <w:lang w:val="en-US" w:eastAsia="en-GB"/>
        </w:rPr>
        <w:t>assist in the investigation of</w:t>
      </w:r>
      <w:r w:rsidR="004777DF" w:rsidRPr="00730146">
        <w:rPr>
          <w:lang w:val="en-US" w:eastAsia="en-GB"/>
        </w:rPr>
        <w:t xml:space="preserve"> international crimes in Syria</w:t>
      </w:r>
      <w:r w:rsidR="004777DF" w:rsidRPr="00730146">
        <w:rPr>
          <w:sz w:val="18"/>
          <w:vertAlign w:val="superscript"/>
          <w:lang w:val="en-US" w:eastAsia="en-GB"/>
        </w:rPr>
        <w:footnoteReference w:id="11"/>
      </w:r>
      <w:r w:rsidR="004777DF" w:rsidRPr="00730146">
        <w:rPr>
          <w:lang w:val="en-US" w:eastAsia="en-GB"/>
        </w:rPr>
        <w:t xml:space="preserve">, </w:t>
      </w:r>
      <w:r w:rsidR="00F01BBE">
        <w:rPr>
          <w:lang w:val="en-US" w:eastAsia="en-GB"/>
        </w:rPr>
        <w:t>by</w:t>
      </w:r>
      <w:r w:rsidR="004777DF" w:rsidRPr="00730146">
        <w:rPr>
          <w:lang w:val="en-US" w:eastAsia="en-GB"/>
        </w:rPr>
        <w:t xml:space="preserve"> the Security Council related to crimes by Da’esh/ISIL in Iraq</w:t>
      </w:r>
      <w:r w:rsidR="004777DF" w:rsidRPr="00730146">
        <w:rPr>
          <w:sz w:val="18"/>
          <w:vertAlign w:val="superscript"/>
          <w:lang w:val="en-US" w:eastAsia="en-GB"/>
        </w:rPr>
        <w:footnoteReference w:id="12"/>
      </w:r>
      <w:r w:rsidR="004777DF" w:rsidRPr="00730146">
        <w:rPr>
          <w:lang w:val="en-US" w:eastAsia="en-GB"/>
        </w:rPr>
        <w:t>, and by the Human Rights Council on Myanmar</w:t>
      </w:r>
      <w:r w:rsidR="004777DF" w:rsidRPr="00730146">
        <w:rPr>
          <w:sz w:val="18"/>
          <w:vertAlign w:val="superscript"/>
          <w:lang w:val="en-US" w:eastAsia="en-GB"/>
        </w:rPr>
        <w:footnoteReference w:id="13"/>
      </w:r>
      <w:r w:rsidR="004777DF" w:rsidRPr="00730146">
        <w:rPr>
          <w:lang w:val="en-US" w:eastAsia="en-GB"/>
        </w:rPr>
        <w:t xml:space="preserve">. Such initiatives help bring awareness to serious violations and support current or future accountability efforts. </w:t>
      </w:r>
    </w:p>
    <w:p w14:paraId="6B9755D4" w14:textId="5E8B74F5" w:rsidR="00730146" w:rsidRDefault="003A574E" w:rsidP="00C25208">
      <w:pPr>
        <w:pStyle w:val="SingleTxtG"/>
        <w:rPr>
          <w:lang w:eastAsia="en-GB"/>
        </w:rPr>
      </w:pPr>
      <w:r>
        <w:rPr>
          <w:lang w:eastAsia="en-GB"/>
        </w:rPr>
        <w:t>2</w:t>
      </w:r>
      <w:r w:rsidR="00566D16">
        <w:rPr>
          <w:lang w:eastAsia="en-GB"/>
        </w:rPr>
        <w:t>3</w:t>
      </w:r>
      <w:r>
        <w:rPr>
          <w:lang w:eastAsia="en-GB"/>
        </w:rPr>
        <w:t>.</w:t>
      </w:r>
      <w:r>
        <w:rPr>
          <w:lang w:eastAsia="en-GB"/>
        </w:rPr>
        <w:tab/>
      </w:r>
      <w:r w:rsidR="00730146" w:rsidRPr="00730146">
        <w:rPr>
          <w:lang w:eastAsia="en-GB"/>
        </w:rPr>
        <w:t xml:space="preserve">In </w:t>
      </w:r>
      <w:r w:rsidR="00F868EF">
        <w:rPr>
          <w:lang w:eastAsia="en-GB"/>
        </w:rPr>
        <w:t>the</w:t>
      </w:r>
      <w:r w:rsidR="00F868EF" w:rsidRPr="00730146">
        <w:rPr>
          <w:lang w:eastAsia="en-GB"/>
        </w:rPr>
        <w:t xml:space="preserve"> </w:t>
      </w:r>
      <w:r w:rsidR="00730146" w:rsidRPr="00730146">
        <w:rPr>
          <w:lang w:eastAsia="en-GB"/>
        </w:rPr>
        <w:t xml:space="preserve">previous report, </w:t>
      </w:r>
      <w:r w:rsidR="00F868EF">
        <w:rPr>
          <w:lang w:eastAsia="en-GB"/>
        </w:rPr>
        <w:t>the Secreta</w:t>
      </w:r>
      <w:r w:rsidR="00537532">
        <w:rPr>
          <w:lang w:eastAsia="en-GB"/>
        </w:rPr>
        <w:t>ry-General</w:t>
      </w:r>
      <w:r w:rsidR="00F868EF" w:rsidRPr="00730146">
        <w:rPr>
          <w:lang w:eastAsia="en-GB"/>
        </w:rPr>
        <w:t xml:space="preserve"> </w:t>
      </w:r>
      <w:r w:rsidR="00730146" w:rsidRPr="00730146">
        <w:rPr>
          <w:lang w:eastAsia="en-GB"/>
        </w:rPr>
        <w:t xml:space="preserve">emphasized the </w:t>
      </w:r>
      <w:r w:rsidR="0065344C">
        <w:t xml:space="preserve">usefulness </w:t>
      </w:r>
      <w:r w:rsidR="00730146" w:rsidRPr="00730146">
        <w:rPr>
          <w:lang w:eastAsia="en-GB"/>
        </w:rPr>
        <w:t xml:space="preserve">of the </w:t>
      </w:r>
      <w:r w:rsidR="00AF655D">
        <w:rPr>
          <w:lang w:eastAsia="en-GB"/>
        </w:rPr>
        <w:t>U</w:t>
      </w:r>
      <w:r w:rsidR="00AF655D" w:rsidRPr="00730146">
        <w:rPr>
          <w:lang w:eastAsia="en-GB"/>
        </w:rPr>
        <w:t xml:space="preserve">niversal </w:t>
      </w:r>
      <w:r w:rsidR="00AF655D">
        <w:rPr>
          <w:lang w:eastAsia="en-GB"/>
        </w:rPr>
        <w:t>P</w:t>
      </w:r>
      <w:r w:rsidR="00AF655D" w:rsidRPr="00730146">
        <w:rPr>
          <w:lang w:eastAsia="en-GB"/>
        </w:rPr>
        <w:t xml:space="preserve">eriodic </w:t>
      </w:r>
      <w:r w:rsidR="00AF655D">
        <w:rPr>
          <w:lang w:eastAsia="en-GB"/>
        </w:rPr>
        <w:t>R</w:t>
      </w:r>
      <w:r w:rsidR="00AF655D" w:rsidRPr="00730146">
        <w:rPr>
          <w:lang w:eastAsia="en-GB"/>
        </w:rPr>
        <w:t>eview</w:t>
      </w:r>
      <w:r w:rsidR="0065344C">
        <w:rPr>
          <w:lang w:eastAsia="en-GB"/>
        </w:rPr>
        <w:t xml:space="preserve"> </w:t>
      </w:r>
      <w:r w:rsidR="0065344C">
        <w:t>for atrocity prevention</w:t>
      </w:r>
      <w:r w:rsidR="00730146" w:rsidRPr="00730146">
        <w:rPr>
          <w:lang w:eastAsia="en-GB"/>
        </w:rPr>
        <w:t>.</w:t>
      </w:r>
      <w:r w:rsidR="006F1447">
        <w:rPr>
          <w:rStyle w:val="FootnoteReference"/>
          <w:lang w:eastAsia="en-GB"/>
        </w:rPr>
        <w:footnoteReference w:id="14"/>
      </w:r>
      <w:r w:rsidR="00730146" w:rsidRPr="00730146">
        <w:rPr>
          <w:lang w:eastAsia="en-GB"/>
        </w:rPr>
        <w:t xml:space="preserve"> </w:t>
      </w:r>
      <w:r w:rsidR="002B69A1">
        <w:rPr>
          <w:lang w:eastAsia="en-GB"/>
        </w:rPr>
        <w:t>Recommendations</w:t>
      </w:r>
      <w:r w:rsidR="00730146" w:rsidRPr="00730146">
        <w:rPr>
          <w:lang w:eastAsia="en-GB"/>
        </w:rPr>
        <w:t xml:space="preserve"> systematically </w:t>
      </w:r>
      <w:r w:rsidR="002B69A1">
        <w:rPr>
          <w:lang w:eastAsia="en-GB"/>
        </w:rPr>
        <w:t>include</w:t>
      </w:r>
      <w:r w:rsidR="002B69A1" w:rsidRPr="00730146">
        <w:rPr>
          <w:lang w:eastAsia="en-GB"/>
        </w:rPr>
        <w:t xml:space="preserve"> </w:t>
      </w:r>
      <w:r w:rsidR="00730146" w:rsidRPr="00730146">
        <w:rPr>
          <w:lang w:eastAsia="en-GB"/>
        </w:rPr>
        <w:t>the ratification of the Genocide Convention. States under review increasingly include information in their national reports on measures taken which contribute to preventing genocide.</w:t>
      </w:r>
      <w:r w:rsidR="00B002AC">
        <w:rPr>
          <w:rStyle w:val="FootnoteReference"/>
          <w:lang w:eastAsia="en-GB"/>
        </w:rPr>
        <w:footnoteReference w:id="15"/>
      </w:r>
      <w:r w:rsidR="00730146" w:rsidRPr="00730146">
        <w:rPr>
          <w:lang w:eastAsia="en-GB"/>
        </w:rPr>
        <w:t xml:space="preserve"> The potential for the mechanisms of the Human Rights Council to support prevention of atrocity crimes could be further harnessed</w:t>
      </w:r>
      <w:r w:rsidR="00B002AC">
        <w:rPr>
          <w:lang w:eastAsia="en-GB"/>
        </w:rPr>
        <w:t xml:space="preserve"> based on the examples outlined,</w:t>
      </w:r>
      <w:r w:rsidR="00730146" w:rsidRPr="00730146">
        <w:rPr>
          <w:lang w:eastAsia="en-GB"/>
        </w:rPr>
        <w:t xml:space="preserve"> by more systematically including assessment of risk of genocide</w:t>
      </w:r>
      <w:r w:rsidR="004E0288">
        <w:rPr>
          <w:lang w:eastAsia="en-GB"/>
        </w:rPr>
        <w:t xml:space="preserve"> in the work of the mechanisms, </w:t>
      </w:r>
      <w:r w:rsidR="00A355D9">
        <w:rPr>
          <w:lang w:eastAsia="en-GB"/>
        </w:rPr>
        <w:t>its reports and processes</w:t>
      </w:r>
      <w:r w:rsidR="002511E7">
        <w:rPr>
          <w:lang w:eastAsia="en-GB"/>
        </w:rPr>
        <w:t>,</w:t>
      </w:r>
      <w:r w:rsidR="00A355D9">
        <w:rPr>
          <w:lang w:eastAsia="en-GB"/>
        </w:rPr>
        <w:t xml:space="preserve"> as well as by the stakeholders who contribute to </w:t>
      </w:r>
      <w:r w:rsidR="002511E7">
        <w:rPr>
          <w:lang w:eastAsia="en-GB"/>
        </w:rPr>
        <w:t xml:space="preserve">the work of the Council mechanisms, including </w:t>
      </w:r>
      <w:r w:rsidR="00A355D9">
        <w:rPr>
          <w:lang w:eastAsia="en-GB"/>
        </w:rPr>
        <w:t>civil society</w:t>
      </w:r>
      <w:r w:rsidR="00730146" w:rsidRPr="00730146">
        <w:rPr>
          <w:lang w:eastAsia="en-GB"/>
        </w:rPr>
        <w:t xml:space="preserve">. </w:t>
      </w:r>
    </w:p>
    <w:p w14:paraId="3C4F3981" w14:textId="67D27A24" w:rsidR="00730146" w:rsidRPr="00C25208" w:rsidRDefault="006E5C08" w:rsidP="00C25208">
      <w:pPr>
        <w:pStyle w:val="HChG"/>
        <w:rPr>
          <w:rFonts w:eastAsia="Calibri"/>
          <w:lang w:val="en-US"/>
        </w:rPr>
      </w:pPr>
      <w:r>
        <w:rPr>
          <w:rFonts w:eastAsia="Calibri"/>
          <w:lang w:val="en-US"/>
        </w:rPr>
        <w:tab/>
      </w:r>
      <w:r w:rsidR="00C25208">
        <w:rPr>
          <w:rFonts w:eastAsia="Calibri"/>
          <w:lang w:val="en-US"/>
        </w:rPr>
        <w:t>III.</w:t>
      </w:r>
      <w:r w:rsidR="00C25208">
        <w:rPr>
          <w:rFonts w:eastAsia="Calibri"/>
          <w:lang w:val="en-US"/>
        </w:rPr>
        <w:tab/>
      </w:r>
      <w:r w:rsidR="00F36E8F">
        <w:rPr>
          <w:rFonts w:eastAsia="Calibri"/>
          <w:lang w:val="en-US"/>
        </w:rPr>
        <w:t xml:space="preserve">Technological advances: </w:t>
      </w:r>
      <w:r w:rsidR="00F36E8F" w:rsidRPr="00730146">
        <w:rPr>
          <w:rFonts w:eastAsia="Calibri"/>
          <w:lang w:val="en-US"/>
        </w:rPr>
        <w:t>risks and opportunities for the prevention of genocide</w:t>
      </w:r>
    </w:p>
    <w:p w14:paraId="1B655D05" w14:textId="2A70EC57" w:rsidR="00730146" w:rsidRPr="00EF710E" w:rsidRDefault="003A574E" w:rsidP="00EF710E">
      <w:pPr>
        <w:pStyle w:val="SingleTxtG"/>
        <w:rPr>
          <w:lang w:eastAsia="en-GB"/>
        </w:rPr>
      </w:pPr>
      <w:r>
        <w:rPr>
          <w:lang w:eastAsia="en-GB"/>
        </w:rPr>
        <w:t>2</w:t>
      </w:r>
      <w:r w:rsidR="00045616">
        <w:rPr>
          <w:lang w:eastAsia="en-GB"/>
        </w:rPr>
        <w:t>4</w:t>
      </w:r>
      <w:r>
        <w:rPr>
          <w:lang w:eastAsia="en-GB"/>
        </w:rPr>
        <w:t>.</w:t>
      </w:r>
      <w:r>
        <w:rPr>
          <w:lang w:eastAsia="en-GB"/>
        </w:rPr>
        <w:tab/>
      </w:r>
      <w:r w:rsidR="00730146" w:rsidRPr="00730146">
        <w:rPr>
          <w:lang w:eastAsia="en-GB"/>
        </w:rPr>
        <w:t xml:space="preserve">Digital technologies are advancing at an exponential pace, profoundly transforming </w:t>
      </w:r>
      <w:proofErr w:type="gramStart"/>
      <w:r w:rsidR="00730146" w:rsidRPr="00730146">
        <w:rPr>
          <w:lang w:eastAsia="en-GB"/>
        </w:rPr>
        <w:t>societies</w:t>
      </w:r>
      <w:proofErr w:type="gramEnd"/>
      <w:r w:rsidR="00730146" w:rsidRPr="00730146">
        <w:rPr>
          <w:lang w:eastAsia="en-GB"/>
        </w:rPr>
        <w:t xml:space="preserve"> and giving rise to unprecedented opportunities for positive changes but also to unprecedented challenges and risks. In resolution 75/1</w:t>
      </w:r>
      <w:r w:rsidR="00152656">
        <w:rPr>
          <w:lang w:eastAsia="en-GB"/>
        </w:rPr>
        <w:t>,</w:t>
      </w:r>
      <w:r w:rsidR="00730146" w:rsidRPr="00730146">
        <w:rPr>
          <w:lang w:eastAsia="en-GB"/>
        </w:rPr>
        <w:t xml:space="preserve"> the General Assembly outlined the risk associated with digital technologies, inter alia, that they can fuel divisions within and </w:t>
      </w:r>
      <w:r w:rsidR="00730146" w:rsidRPr="00730146">
        <w:rPr>
          <w:lang w:eastAsia="en-GB"/>
        </w:rPr>
        <w:lastRenderedPageBreak/>
        <w:t>between countries, increase insecurity, undermine human rights, and exacerbate inequality.</w:t>
      </w:r>
      <w:r w:rsidR="00730146" w:rsidRPr="00730146">
        <w:rPr>
          <w:sz w:val="18"/>
          <w:vertAlign w:val="superscript"/>
          <w:lang w:eastAsia="en-GB"/>
        </w:rPr>
        <w:footnoteReference w:id="16"/>
      </w:r>
      <w:r w:rsidR="00730146" w:rsidRPr="00730146">
        <w:rPr>
          <w:lang w:eastAsia="en-GB"/>
        </w:rPr>
        <w:t xml:space="preserve"> While offering means to </w:t>
      </w:r>
      <w:r w:rsidR="00B002AC">
        <w:rPr>
          <w:lang w:eastAsia="en-GB"/>
        </w:rPr>
        <w:t>accelerate</w:t>
      </w:r>
      <w:r w:rsidR="00B002AC" w:rsidRPr="00730146">
        <w:rPr>
          <w:lang w:eastAsia="en-GB"/>
        </w:rPr>
        <w:t xml:space="preserve"> </w:t>
      </w:r>
      <w:r w:rsidR="00730146" w:rsidRPr="00730146">
        <w:rPr>
          <w:lang w:eastAsia="en-GB"/>
        </w:rPr>
        <w:t xml:space="preserve">prevention efforts, they also provide opportunities for perpetrators of incitement of hate and violence that are new in scope, reach, </w:t>
      </w:r>
      <w:proofErr w:type="gramStart"/>
      <w:r w:rsidR="00730146" w:rsidRPr="00730146">
        <w:rPr>
          <w:lang w:eastAsia="en-GB"/>
        </w:rPr>
        <w:t>speed</w:t>
      </w:r>
      <w:proofErr w:type="gramEnd"/>
      <w:r w:rsidR="00730146" w:rsidRPr="00730146">
        <w:rPr>
          <w:lang w:eastAsia="en-GB"/>
        </w:rPr>
        <w:t xml:space="preserve"> and impact. </w:t>
      </w:r>
    </w:p>
    <w:p w14:paraId="2DE38606" w14:textId="30DE3161" w:rsidR="00730146" w:rsidRPr="00EF710E" w:rsidRDefault="00EF710E" w:rsidP="00EF710E">
      <w:pPr>
        <w:pStyle w:val="H1G"/>
        <w:rPr>
          <w:rFonts w:eastAsia="Calibri"/>
          <w:lang w:val="en-US"/>
        </w:rPr>
      </w:pPr>
      <w:r>
        <w:rPr>
          <w:rFonts w:eastAsia="Calibri"/>
          <w:lang w:val="en-US"/>
        </w:rPr>
        <w:tab/>
        <w:t>A.</w:t>
      </w:r>
      <w:r>
        <w:rPr>
          <w:rFonts w:eastAsia="Calibri"/>
          <w:lang w:val="en-US"/>
        </w:rPr>
        <w:tab/>
      </w:r>
      <w:r w:rsidR="00730146" w:rsidRPr="00730146">
        <w:rPr>
          <w:rFonts w:eastAsia="Calibri"/>
          <w:lang w:val="en-US"/>
        </w:rPr>
        <w:t>Prevention of genocide in the digital age</w:t>
      </w:r>
    </w:p>
    <w:p w14:paraId="756C23FE" w14:textId="0C239F57" w:rsidR="00730146" w:rsidRPr="00730146" w:rsidRDefault="003A574E" w:rsidP="004D2F6D">
      <w:pPr>
        <w:pStyle w:val="SingleTxtG"/>
        <w:rPr>
          <w:lang w:eastAsia="en-GB"/>
        </w:rPr>
      </w:pPr>
      <w:r w:rsidRPr="0FB62616">
        <w:rPr>
          <w:lang w:eastAsia="en-GB"/>
        </w:rPr>
        <w:t>2</w:t>
      </w:r>
      <w:r w:rsidR="00045616" w:rsidRPr="0FB62616">
        <w:rPr>
          <w:lang w:eastAsia="en-GB"/>
        </w:rPr>
        <w:t>5</w:t>
      </w:r>
      <w:r w:rsidRPr="0FB62616">
        <w:rPr>
          <w:lang w:eastAsia="en-GB"/>
        </w:rPr>
        <w:t>.</w:t>
      </w:r>
      <w:r>
        <w:tab/>
      </w:r>
      <w:r w:rsidR="00730146" w:rsidRPr="0FB62616">
        <w:rPr>
          <w:lang w:eastAsia="en-GB"/>
        </w:rPr>
        <w:t xml:space="preserve">Digital technologies offer new ways for people to exercise their rights and freedoms. Online platforms provide the means to reach wider audiences, including marginalized communities, and facilitate the exercise of freedom of expression to impart and access information, including </w:t>
      </w:r>
      <w:r w:rsidR="00222F30" w:rsidRPr="0FB62616">
        <w:rPr>
          <w:lang w:eastAsia="en-GB"/>
        </w:rPr>
        <w:t xml:space="preserve">potentially </w:t>
      </w:r>
      <w:r w:rsidR="00730146" w:rsidRPr="0FB62616">
        <w:rPr>
          <w:lang w:eastAsia="en-GB"/>
        </w:rPr>
        <w:t xml:space="preserve">in countries and societies where such freedoms are restricted. Digital technologies have contributed to expanding and reshaping civic space and public participation and to enhancing prevention efforts. The widespread and low-cost availability of tools to </w:t>
      </w:r>
      <w:r w:rsidR="0053572B" w:rsidRPr="0FB62616">
        <w:rPr>
          <w:lang w:eastAsia="en-GB"/>
        </w:rPr>
        <w:t>monitor situations</w:t>
      </w:r>
      <w:r w:rsidR="00730146" w:rsidRPr="0FB62616">
        <w:rPr>
          <w:lang w:eastAsia="en-GB"/>
        </w:rPr>
        <w:t xml:space="preserve"> and document and verify </w:t>
      </w:r>
      <w:r w:rsidR="0053572B" w:rsidRPr="0FB62616">
        <w:rPr>
          <w:lang w:eastAsia="en-GB"/>
        </w:rPr>
        <w:t xml:space="preserve">human rights </w:t>
      </w:r>
      <w:r w:rsidR="00730146" w:rsidRPr="0FB62616">
        <w:rPr>
          <w:lang w:eastAsia="en-GB"/>
        </w:rPr>
        <w:t xml:space="preserve">violations that could lead to genocide, often in real-time, have </w:t>
      </w:r>
      <w:r w:rsidR="0034657F" w:rsidRPr="0FB62616">
        <w:rPr>
          <w:lang w:eastAsia="en-GB"/>
        </w:rPr>
        <w:t xml:space="preserve">democratized </w:t>
      </w:r>
      <w:r w:rsidR="00730146" w:rsidRPr="0FB62616">
        <w:rPr>
          <w:lang w:eastAsia="en-GB"/>
        </w:rPr>
        <w:t xml:space="preserve">evidence-gathering and information-sharing, allowing for more effective early warning. </w:t>
      </w:r>
      <w:r w:rsidR="003914AA" w:rsidRPr="0FB62616">
        <w:rPr>
          <w:lang w:eastAsia="en-GB"/>
        </w:rPr>
        <w:t>Technolog</w:t>
      </w:r>
      <w:r w:rsidR="005C2A64" w:rsidRPr="0FB62616">
        <w:rPr>
          <w:lang w:eastAsia="en-GB"/>
        </w:rPr>
        <w:t xml:space="preserve">ies also have the potential to support </w:t>
      </w:r>
      <w:r w:rsidR="005E42A9" w:rsidRPr="0FB62616">
        <w:rPr>
          <w:lang w:eastAsia="en-GB"/>
        </w:rPr>
        <w:t>initiatives</w:t>
      </w:r>
      <w:r w:rsidR="005C2A64" w:rsidRPr="0FB62616">
        <w:rPr>
          <w:lang w:eastAsia="en-GB"/>
        </w:rPr>
        <w:t xml:space="preserve"> toward</w:t>
      </w:r>
      <w:r w:rsidR="00A33E7F" w:rsidRPr="0FB62616">
        <w:rPr>
          <w:lang w:eastAsia="en-GB"/>
        </w:rPr>
        <w:t xml:space="preserve">s more inclusive sustainable development </w:t>
      </w:r>
      <w:r w:rsidR="005E42A9" w:rsidRPr="0FB62616">
        <w:rPr>
          <w:lang w:eastAsia="en-GB"/>
        </w:rPr>
        <w:t xml:space="preserve">by facilitating participation and outreach to </w:t>
      </w:r>
      <w:r w:rsidR="00A64336" w:rsidRPr="0FB62616">
        <w:rPr>
          <w:lang w:eastAsia="en-GB"/>
        </w:rPr>
        <w:t xml:space="preserve">communities, including marginalized groups, addressing drivers of conflict and potential indicators of risk of genocide. </w:t>
      </w:r>
    </w:p>
    <w:p w14:paraId="364BBF2C" w14:textId="56445F0B" w:rsidR="00730146" w:rsidRPr="00730146" w:rsidRDefault="003A574E" w:rsidP="004D2F6D">
      <w:pPr>
        <w:pStyle w:val="SingleTxtG"/>
        <w:rPr>
          <w:lang w:eastAsia="en-GB"/>
        </w:rPr>
      </w:pPr>
      <w:r>
        <w:rPr>
          <w:lang w:eastAsia="en-GB"/>
        </w:rPr>
        <w:t>2</w:t>
      </w:r>
      <w:r w:rsidR="00045616">
        <w:rPr>
          <w:lang w:eastAsia="en-GB"/>
        </w:rPr>
        <w:t>6</w:t>
      </w:r>
      <w:r>
        <w:rPr>
          <w:lang w:eastAsia="en-GB"/>
        </w:rPr>
        <w:t>.</w:t>
      </w:r>
      <w:r>
        <w:rPr>
          <w:lang w:eastAsia="en-GB"/>
        </w:rPr>
        <w:tab/>
      </w:r>
      <w:r w:rsidR="00730146" w:rsidRPr="00730146">
        <w:rPr>
          <w:lang w:eastAsia="en-GB"/>
        </w:rPr>
        <w:t xml:space="preserve">At the same time, digital technologies open avenues to new forms of </w:t>
      </w:r>
      <w:r w:rsidR="004A17A0">
        <w:rPr>
          <w:lang w:eastAsia="en-GB"/>
        </w:rPr>
        <w:t>human rights</w:t>
      </w:r>
      <w:r w:rsidR="00730146" w:rsidRPr="00730146">
        <w:rPr>
          <w:lang w:eastAsia="en-GB"/>
        </w:rPr>
        <w:t xml:space="preserve"> violations which pose risks to the prevention of genocide. The right to freedom of expression and other </w:t>
      </w:r>
      <w:r w:rsidR="00CF7DCB">
        <w:rPr>
          <w:lang w:eastAsia="en-GB"/>
        </w:rPr>
        <w:t>human</w:t>
      </w:r>
      <w:r w:rsidR="00730146" w:rsidRPr="00730146">
        <w:rPr>
          <w:lang w:eastAsia="en-GB"/>
        </w:rPr>
        <w:t xml:space="preserve"> rights can be curtailed by internet shutdowns or </w:t>
      </w:r>
      <w:r w:rsidR="00F126F1">
        <w:rPr>
          <w:lang w:eastAsia="en-GB"/>
        </w:rPr>
        <w:t xml:space="preserve">by </w:t>
      </w:r>
      <w:r w:rsidR="00730146" w:rsidRPr="00730146">
        <w:rPr>
          <w:lang w:eastAsia="en-GB"/>
        </w:rPr>
        <w:t xml:space="preserve">imposing undue limitations on </w:t>
      </w:r>
      <w:r w:rsidR="00EC76EE">
        <w:rPr>
          <w:lang w:eastAsia="en-GB"/>
        </w:rPr>
        <w:t>online conversation.</w:t>
      </w:r>
      <w:r w:rsidR="002D30FA" w:rsidRPr="00730146">
        <w:rPr>
          <w:lang w:eastAsia="en-GB"/>
        </w:rPr>
        <w:t xml:space="preserve"> </w:t>
      </w:r>
      <w:r w:rsidR="00F80954">
        <w:rPr>
          <w:lang w:eastAsia="en-GB"/>
        </w:rPr>
        <w:t>Internet</w:t>
      </w:r>
      <w:r w:rsidR="00B10AFF">
        <w:rPr>
          <w:lang w:eastAsia="en-GB"/>
        </w:rPr>
        <w:t xml:space="preserve"> </w:t>
      </w:r>
      <w:r w:rsidR="00730146" w:rsidRPr="00730146">
        <w:rPr>
          <w:lang w:eastAsia="en-GB"/>
        </w:rPr>
        <w:t>shutdown</w:t>
      </w:r>
      <w:r w:rsidR="00F80954">
        <w:rPr>
          <w:lang w:eastAsia="en-GB"/>
        </w:rPr>
        <w:t>s</w:t>
      </w:r>
      <w:r w:rsidR="00730146" w:rsidRPr="00730146">
        <w:rPr>
          <w:lang w:eastAsia="en-GB"/>
        </w:rPr>
        <w:t xml:space="preserve"> </w:t>
      </w:r>
      <w:r w:rsidR="0028796A" w:rsidRPr="00730146">
        <w:rPr>
          <w:lang w:eastAsia="en-GB"/>
        </w:rPr>
        <w:t xml:space="preserve">to </w:t>
      </w:r>
      <w:r w:rsidR="00F65E81">
        <w:rPr>
          <w:lang w:eastAsia="en-GB"/>
        </w:rPr>
        <w:t xml:space="preserve">limit </w:t>
      </w:r>
      <w:r w:rsidR="003B446D">
        <w:rPr>
          <w:lang w:eastAsia="en-GB"/>
        </w:rPr>
        <w:t>public</w:t>
      </w:r>
      <w:r w:rsidR="0028796A" w:rsidRPr="00730146">
        <w:rPr>
          <w:lang w:eastAsia="en-GB"/>
        </w:rPr>
        <w:t xml:space="preserve"> scrutiny</w:t>
      </w:r>
      <w:r w:rsidR="0028796A" w:rsidRPr="00730146">
        <w:rPr>
          <w:vertAlign w:val="superscript"/>
          <w:lang w:eastAsia="en-GB"/>
        </w:rPr>
        <w:footnoteReference w:id="17"/>
      </w:r>
      <w:r w:rsidR="00107E5D">
        <w:rPr>
          <w:lang w:eastAsia="en-GB"/>
        </w:rPr>
        <w:t xml:space="preserve"> </w:t>
      </w:r>
      <w:r w:rsidR="00730146" w:rsidRPr="00730146">
        <w:rPr>
          <w:lang w:eastAsia="en-GB"/>
        </w:rPr>
        <w:t>during conflict or tense situations</w:t>
      </w:r>
      <w:r w:rsidR="00F80954">
        <w:rPr>
          <w:lang w:eastAsia="en-GB"/>
        </w:rPr>
        <w:t xml:space="preserve"> </w:t>
      </w:r>
      <w:r w:rsidR="008D2843" w:rsidRPr="00730146">
        <w:rPr>
          <w:lang w:eastAsia="en-GB"/>
        </w:rPr>
        <w:t>or using laws that criminalize incitement of violence to silence opposition or critical voices</w:t>
      </w:r>
      <w:r w:rsidR="008D2843">
        <w:rPr>
          <w:lang w:eastAsia="en-GB"/>
        </w:rPr>
        <w:t xml:space="preserve"> </w:t>
      </w:r>
      <w:r w:rsidR="00833AAA">
        <w:rPr>
          <w:lang w:eastAsia="en-GB"/>
        </w:rPr>
        <w:t xml:space="preserve">may be arbitrary and </w:t>
      </w:r>
      <w:r w:rsidR="00F80954">
        <w:rPr>
          <w:lang w:eastAsia="en-GB"/>
        </w:rPr>
        <w:t>are</w:t>
      </w:r>
      <w:r w:rsidR="00F80954" w:rsidRPr="00730146">
        <w:rPr>
          <w:lang w:eastAsia="en-GB"/>
        </w:rPr>
        <w:t xml:space="preserve"> </w:t>
      </w:r>
      <w:r w:rsidR="00730146" w:rsidRPr="00730146">
        <w:rPr>
          <w:lang w:eastAsia="en-GB"/>
        </w:rPr>
        <w:t xml:space="preserve">often </w:t>
      </w:r>
      <w:r w:rsidR="005F6ECD" w:rsidRPr="00730146">
        <w:rPr>
          <w:lang w:eastAsia="en-GB"/>
        </w:rPr>
        <w:t>justif</w:t>
      </w:r>
      <w:r w:rsidR="00F80954">
        <w:rPr>
          <w:lang w:eastAsia="en-GB"/>
        </w:rPr>
        <w:t>ied</w:t>
      </w:r>
      <w:r w:rsidR="005F6ECD">
        <w:rPr>
          <w:lang w:eastAsia="en-GB"/>
        </w:rPr>
        <w:t xml:space="preserve"> on</w:t>
      </w:r>
      <w:r w:rsidR="00730146" w:rsidRPr="00730146">
        <w:rPr>
          <w:lang w:eastAsia="en-GB"/>
        </w:rPr>
        <w:t xml:space="preserve"> “public order” or “national </w:t>
      </w:r>
      <w:proofErr w:type="gramStart"/>
      <w:r w:rsidR="00730146" w:rsidRPr="00730146">
        <w:rPr>
          <w:lang w:eastAsia="en-GB"/>
        </w:rPr>
        <w:t>security”</w:t>
      </w:r>
      <w:r w:rsidR="00625251">
        <w:rPr>
          <w:lang w:eastAsia="en-GB"/>
        </w:rPr>
        <w:t xml:space="preserve"> </w:t>
      </w:r>
      <w:r w:rsidR="00730146" w:rsidRPr="00730146">
        <w:rPr>
          <w:lang w:eastAsia="en-GB"/>
        </w:rPr>
        <w:t xml:space="preserve"> </w:t>
      </w:r>
      <w:r w:rsidR="005F6ECD" w:rsidRPr="393F8FC5">
        <w:rPr>
          <w:lang w:eastAsia="en-GB"/>
        </w:rPr>
        <w:t>grounds</w:t>
      </w:r>
      <w:proofErr w:type="gramEnd"/>
      <w:r w:rsidR="37AE468A" w:rsidRPr="393F8FC5">
        <w:rPr>
          <w:lang w:eastAsia="en-GB"/>
        </w:rPr>
        <w:t xml:space="preserve"> with a negative impact on human rights</w:t>
      </w:r>
      <w:r w:rsidR="000A7084">
        <w:rPr>
          <w:lang w:eastAsia="en-GB"/>
        </w:rPr>
        <w:t>.</w:t>
      </w:r>
      <w:r w:rsidR="00730146" w:rsidRPr="00730146">
        <w:rPr>
          <w:lang w:eastAsia="en-GB"/>
        </w:rPr>
        <w:t xml:space="preserve"> Such restrictions can facilitate the commission of genocide. Those who use the internet to promote prevention of genocide </w:t>
      </w:r>
      <w:r w:rsidR="00D13F7B">
        <w:rPr>
          <w:lang w:eastAsia="en-GB"/>
        </w:rPr>
        <w:t>including by documenting and reporting on human rights violations</w:t>
      </w:r>
      <w:r w:rsidR="00730146" w:rsidRPr="00730146">
        <w:rPr>
          <w:lang w:eastAsia="en-GB"/>
        </w:rPr>
        <w:t xml:space="preserve"> can themselves become targets of attacks, in particular human rights defenders, who </w:t>
      </w:r>
      <w:r w:rsidR="00F548CD">
        <w:rPr>
          <w:lang w:eastAsia="en-GB"/>
        </w:rPr>
        <w:t xml:space="preserve">might </w:t>
      </w:r>
      <w:r w:rsidR="00730146" w:rsidRPr="00730146">
        <w:rPr>
          <w:lang w:eastAsia="en-GB"/>
        </w:rPr>
        <w:t>face unlawful surveillance and attacks on social media, including defamation, intimidation, and death threats.</w:t>
      </w:r>
      <w:r w:rsidR="00730146" w:rsidRPr="393F8FC5">
        <w:rPr>
          <w:sz w:val="18"/>
          <w:szCs w:val="18"/>
          <w:vertAlign w:val="superscript"/>
          <w:lang w:eastAsia="en-GB"/>
        </w:rPr>
        <w:footnoteReference w:id="18"/>
      </w:r>
    </w:p>
    <w:p w14:paraId="63618A1B" w14:textId="601EFD6D" w:rsidR="00730146" w:rsidRPr="004D2F6D" w:rsidRDefault="00045616" w:rsidP="004D2F6D">
      <w:pPr>
        <w:pStyle w:val="SingleTxtG"/>
        <w:rPr>
          <w:lang w:eastAsia="en-GB"/>
        </w:rPr>
      </w:pPr>
      <w:r w:rsidRPr="0FB62616">
        <w:rPr>
          <w:lang w:eastAsia="en-GB"/>
        </w:rPr>
        <w:t>27</w:t>
      </w:r>
      <w:r w:rsidR="003A574E" w:rsidRPr="0FB62616">
        <w:rPr>
          <w:lang w:eastAsia="en-GB"/>
        </w:rPr>
        <w:t>.</w:t>
      </w:r>
      <w:r>
        <w:tab/>
      </w:r>
      <w:r w:rsidR="00730146" w:rsidRPr="0FB62616">
        <w:rPr>
          <w:lang w:eastAsia="en-GB"/>
        </w:rPr>
        <w:t xml:space="preserve">Social media have </w:t>
      </w:r>
      <w:r w:rsidR="7937FA43" w:rsidRPr="0FB62616">
        <w:rPr>
          <w:lang w:eastAsia="en-GB"/>
        </w:rPr>
        <w:t>been used several times as</w:t>
      </w:r>
      <w:r w:rsidR="00730146" w:rsidRPr="0FB62616">
        <w:rPr>
          <w:lang w:eastAsia="en-GB"/>
        </w:rPr>
        <w:t xml:space="preserve"> echo chambers for hate speech and incitement</w:t>
      </w:r>
      <w:r w:rsidR="00EC76EE" w:rsidRPr="0FB62616">
        <w:rPr>
          <w:lang w:eastAsia="en-GB"/>
        </w:rPr>
        <w:t xml:space="preserve"> </w:t>
      </w:r>
      <w:r w:rsidR="18E10B04" w:rsidRPr="0FB62616">
        <w:rPr>
          <w:lang w:eastAsia="en-GB"/>
        </w:rPr>
        <w:t>on occasion</w:t>
      </w:r>
      <w:r w:rsidR="00EC76EE" w:rsidRPr="0FB62616">
        <w:rPr>
          <w:lang w:eastAsia="en-GB"/>
        </w:rPr>
        <w:t xml:space="preserve"> </w:t>
      </w:r>
      <w:r w:rsidR="00730146" w:rsidRPr="0FB62616">
        <w:rPr>
          <w:lang w:eastAsia="en-GB"/>
        </w:rPr>
        <w:t>leading to offline violence</w:t>
      </w:r>
      <w:r w:rsidR="00272551" w:rsidRPr="0FB62616">
        <w:rPr>
          <w:lang w:eastAsia="en-GB"/>
        </w:rPr>
        <w:t>. A</w:t>
      </w:r>
      <w:r w:rsidR="00730146" w:rsidRPr="0FB62616">
        <w:rPr>
          <w:lang w:eastAsia="en-GB"/>
        </w:rPr>
        <w:t xml:space="preserve">rtificial intelligence-related technologies </w:t>
      </w:r>
      <w:r w:rsidR="0034386A" w:rsidRPr="0FB62616">
        <w:rPr>
          <w:lang w:eastAsia="en-GB"/>
        </w:rPr>
        <w:t>might</w:t>
      </w:r>
      <w:r w:rsidR="00D7013D" w:rsidRPr="0FB62616">
        <w:rPr>
          <w:lang w:eastAsia="en-GB"/>
        </w:rPr>
        <w:t xml:space="preserve"> also contribute to</w:t>
      </w:r>
      <w:r w:rsidR="00730146" w:rsidRPr="0FB62616">
        <w:rPr>
          <w:lang w:eastAsia="en-GB"/>
        </w:rPr>
        <w:t xml:space="preserve"> deepen existing inequalities and exacerbate </w:t>
      </w:r>
      <w:proofErr w:type="gramStart"/>
      <w:r w:rsidR="00730146" w:rsidRPr="0FB62616">
        <w:rPr>
          <w:lang w:eastAsia="en-GB"/>
        </w:rPr>
        <w:t>discrimination, or</w:t>
      </w:r>
      <w:proofErr w:type="gramEnd"/>
      <w:r w:rsidR="00730146" w:rsidRPr="0FB62616">
        <w:rPr>
          <w:lang w:eastAsia="en-GB"/>
        </w:rPr>
        <w:t xml:space="preserve"> be misused for surveillance purposes. </w:t>
      </w:r>
      <w:r>
        <w:tab/>
      </w:r>
    </w:p>
    <w:p w14:paraId="1181961B" w14:textId="2C496393" w:rsidR="00730146" w:rsidRPr="00EF710E" w:rsidRDefault="00045616" w:rsidP="00147D63">
      <w:pPr>
        <w:pStyle w:val="SingleTxtG"/>
        <w:rPr>
          <w:lang w:eastAsia="en-GB"/>
        </w:rPr>
      </w:pPr>
      <w:r>
        <w:rPr>
          <w:lang w:eastAsia="en-GB"/>
        </w:rPr>
        <w:t>28</w:t>
      </w:r>
      <w:r w:rsidR="003A574E">
        <w:rPr>
          <w:lang w:eastAsia="en-GB"/>
        </w:rPr>
        <w:t>.</w:t>
      </w:r>
      <w:r w:rsidR="003A574E">
        <w:tab/>
      </w:r>
      <w:r w:rsidR="00086471">
        <w:rPr>
          <w:lang w:eastAsia="en-GB"/>
        </w:rPr>
        <w:t>T</w:t>
      </w:r>
      <w:r w:rsidR="00730146" w:rsidRPr="00730146">
        <w:rPr>
          <w:lang w:eastAsia="en-GB"/>
        </w:rPr>
        <w:t xml:space="preserve">echnological safeguards </w:t>
      </w:r>
      <w:r w:rsidR="00086471">
        <w:rPr>
          <w:lang w:eastAsia="en-GB"/>
        </w:rPr>
        <w:t xml:space="preserve">must be put in place </w:t>
      </w:r>
      <w:r w:rsidR="00730146" w:rsidRPr="00730146">
        <w:rPr>
          <w:lang w:eastAsia="en-GB"/>
        </w:rPr>
        <w:t xml:space="preserve">to ensure the prevention of genocide and protection of human rights in the digital space. </w:t>
      </w:r>
      <w:r w:rsidR="006E4D99">
        <w:rPr>
          <w:lang w:eastAsia="en-GB"/>
        </w:rPr>
        <w:t>The</w:t>
      </w:r>
      <w:r w:rsidR="00730146" w:rsidRPr="00730146">
        <w:rPr>
          <w:lang w:eastAsia="en-GB"/>
        </w:rPr>
        <w:t xml:space="preserve"> application of digital technologies has been accelerating, driven by technological advances and sometimes with disregard </w:t>
      </w:r>
      <w:r w:rsidR="00945980">
        <w:rPr>
          <w:lang w:eastAsia="en-GB"/>
        </w:rPr>
        <w:t>for</w:t>
      </w:r>
      <w:r w:rsidR="00945980" w:rsidRPr="00730146">
        <w:rPr>
          <w:lang w:eastAsia="en-GB"/>
        </w:rPr>
        <w:t xml:space="preserve"> </w:t>
      </w:r>
      <w:r w:rsidR="00730146" w:rsidRPr="00730146">
        <w:rPr>
          <w:lang w:eastAsia="en-GB"/>
        </w:rPr>
        <w:t>the safety and rights of users, with mechanisms for regulation and governance struggling to keep pace</w:t>
      </w:r>
      <w:r w:rsidR="00825895">
        <w:rPr>
          <w:lang w:eastAsia="en-GB"/>
        </w:rPr>
        <w:t>.</w:t>
      </w:r>
      <w:r w:rsidR="00147D63">
        <w:rPr>
          <w:lang w:eastAsia="en-GB"/>
        </w:rPr>
        <w:t xml:space="preserve"> </w:t>
      </w:r>
      <w:r w:rsidR="00730146" w:rsidRPr="00730146">
        <w:rPr>
          <w:lang w:val="en-US" w:eastAsia="en-GB"/>
        </w:rPr>
        <w:t>T</w:t>
      </w:r>
      <w:r w:rsidR="00730146" w:rsidRPr="00730146">
        <w:rPr>
          <w:lang w:eastAsia="en-GB"/>
        </w:rPr>
        <w:t xml:space="preserve">he accepted principle </w:t>
      </w:r>
      <w:r w:rsidR="00730146" w:rsidRPr="00730146">
        <w:rPr>
          <w:lang w:val="en-US" w:eastAsia="en-GB"/>
        </w:rPr>
        <w:t>espoused in Human Rights Council resolution 20/8</w:t>
      </w:r>
      <w:r w:rsidR="00777371" w:rsidRPr="00730146">
        <w:rPr>
          <w:lang w:eastAsia="en-GB"/>
        </w:rPr>
        <w:t xml:space="preserve"> </w:t>
      </w:r>
      <w:r w:rsidR="00730146" w:rsidRPr="00730146">
        <w:rPr>
          <w:lang w:eastAsia="en-GB"/>
        </w:rPr>
        <w:t>that the same rights that are protected offline should be protected online</w:t>
      </w:r>
      <w:r w:rsidR="00C83127">
        <w:rPr>
          <w:rStyle w:val="FootnoteReference"/>
          <w:lang w:eastAsia="en-GB"/>
        </w:rPr>
        <w:footnoteReference w:id="19"/>
      </w:r>
      <w:r w:rsidR="00730146" w:rsidRPr="00730146">
        <w:rPr>
          <w:lang w:eastAsia="en-GB"/>
        </w:rPr>
        <w:t>,</w:t>
      </w:r>
      <w:r w:rsidR="00730146" w:rsidRPr="00730146">
        <w:rPr>
          <w:lang w:val="en-US" w:eastAsia="en-GB"/>
        </w:rPr>
        <w:t xml:space="preserve"> places</w:t>
      </w:r>
      <w:r w:rsidR="00730146" w:rsidRPr="00730146">
        <w:rPr>
          <w:lang w:eastAsia="en-GB"/>
        </w:rPr>
        <w:t xml:space="preserve"> the primary responsibility </w:t>
      </w:r>
      <w:r w:rsidR="00730146" w:rsidRPr="00730146">
        <w:rPr>
          <w:lang w:val="en-US" w:eastAsia="en-GB"/>
        </w:rPr>
        <w:t>on</w:t>
      </w:r>
      <w:r w:rsidR="00730146" w:rsidRPr="00730146">
        <w:rPr>
          <w:lang w:eastAsia="en-GB"/>
        </w:rPr>
        <w:t xml:space="preserve"> the State</w:t>
      </w:r>
      <w:r w:rsidR="00730146" w:rsidRPr="00730146">
        <w:rPr>
          <w:lang w:val="en-US" w:eastAsia="en-GB"/>
        </w:rPr>
        <w:t xml:space="preserve"> as duty bearer</w:t>
      </w:r>
      <w:r w:rsidR="00730146" w:rsidRPr="00730146">
        <w:rPr>
          <w:lang w:eastAsia="en-GB"/>
        </w:rPr>
        <w:t xml:space="preserve">. The lack of appropriate implementation of the international human rights framework in the digital context has </w:t>
      </w:r>
      <w:r w:rsidR="00730146" w:rsidRPr="00730146">
        <w:rPr>
          <w:lang w:val="en-US" w:eastAsia="en-GB"/>
        </w:rPr>
        <w:t xml:space="preserve">created </w:t>
      </w:r>
      <w:r w:rsidR="00730146" w:rsidRPr="00730146">
        <w:rPr>
          <w:lang w:eastAsia="en-GB"/>
        </w:rPr>
        <w:t>protection gaps</w:t>
      </w:r>
      <w:r w:rsidR="00730146" w:rsidRPr="00730146">
        <w:rPr>
          <w:lang w:val="en-US" w:eastAsia="en-GB"/>
        </w:rPr>
        <w:t xml:space="preserve">. </w:t>
      </w:r>
      <w:r w:rsidR="00147D63" w:rsidRPr="00730146" w:rsidDel="00147D63">
        <w:rPr>
          <w:lang w:val="en-US" w:eastAsia="en-GB"/>
        </w:rPr>
        <w:t xml:space="preserve"> </w:t>
      </w:r>
    </w:p>
    <w:p w14:paraId="4356F06C" w14:textId="167DC0DE" w:rsidR="00730146" w:rsidRPr="00EF710E" w:rsidRDefault="00EF710E" w:rsidP="00EF710E">
      <w:pPr>
        <w:pStyle w:val="H1G"/>
        <w:rPr>
          <w:rFonts w:eastAsia="Calibri"/>
        </w:rPr>
      </w:pPr>
      <w:r>
        <w:rPr>
          <w:rFonts w:eastAsia="Calibri"/>
          <w:lang w:val="en-US"/>
        </w:rPr>
        <w:tab/>
        <w:t>B.</w:t>
      </w:r>
      <w:r>
        <w:rPr>
          <w:rFonts w:eastAsia="Calibri"/>
          <w:lang w:val="en-US"/>
        </w:rPr>
        <w:tab/>
      </w:r>
      <w:r w:rsidR="00F3340B">
        <w:rPr>
          <w:rFonts w:eastAsia="Calibri"/>
          <w:lang w:val="en-US"/>
        </w:rPr>
        <w:t>New technology</w:t>
      </w:r>
      <w:r w:rsidR="00730146" w:rsidRPr="00730146">
        <w:rPr>
          <w:rFonts w:eastAsia="Calibri"/>
          <w:lang w:val="en-US"/>
        </w:rPr>
        <w:t xml:space="preserve"> risks – hate speech </w:t>
      </w:r>
    </w:p>
    <w:p w14:paraId="60F74FFF" w14:textId="04738D7D" w:rsidR="00730146" w:rsidRPr="00730146" w:rsidRDefault="00045616" w:rsidP="004D2F6D">
      <w:pPr>
        <w:pStyle w:val="SingleTxtG"/>
        <w:rPr>
          <w:lang w:eastAsia="en-GB"/>
        </w:rPr>
      </w:pPr>
      <w:r>
        <w:rPr>
          <w:lang w:eastAsia="en-GB"/>
        </w:rPr>
        <w:t>29</w:t>
      </w:r>
      <w:r w:rsidR="003A574E">
        <w:rPr>
          <w:lang w:eastAsia="en-GB"/>
        </w:rPr>
        <w:t>.</w:t>
      </w:r>
      <w:r w:rsidR="003A574E">
        <w:rPr>
          <w:lang w:eastAsia="en-GB"/>
        </w:rPr>
        <w:tab/>
      </w:r>
      <w:r w:rsidR="00730146" w:rsidRPr="00730146">
        <w:rPr>
          <w:lang w:eastAsia="en-GB"/>
        </w:rPr>
        <w:t>Hate speech can fuel discrimination, undermine social cohesion, erode shared values, and can</w:t>
      </w:r>
      <w:r w:rsidR="00231245">
        <w:rPr>
          <w:lang w:eastAsia="en-GB"/>
        </w:rPr>
        <w:t>,</w:t>
      </w:r>
      <w:r w:rsidR="00730146" w:rsidRPr="00730146">
        <w:rPr>
          <w:lang w:eastAsia="en-GB"/>
        </w:rPr>
        <w:t xml:space="preserve"> in some cases</w:t>
      </w:r>
      <w:r w:rsidR="00231245">
        <w:rPr>
          <w:lang w:eastAsia="en-GB"/>
        </w:rPr>
        <w:t>,</w:t>
      </w:r>
      <w:r w:rsidR="00730146" w:rsidRPr="00730146">
        <w:rPr>
          <w:lang w:eastAsia="en-GB"/>
        </w:rPr>
        <w:t xml:space="preserve"> constitute incitement to violence. Hate speech is not new and has been a precursor and accompaniment to genocide from the Holocaust to </w:t>
      </w:r>
      <w:r w:rsidR="00945D06">
        <w:rPr>
          <w:lang w:eastAsia="en-GB"/>
        </w:rPr>
        <w:t>the genocide</w:t>
      </w:r>
      <w:r w:rsidR="00E72C2B">
        <w:rPr>
          <w:lang w:eastAsia="en-GB"/>
        </w:rPr>
        <w:t>s</w:t>
      </w:r>
      <w:r w:rsidR="00945D06">
        <w:rPr>
          <w:lang w:eastAsia="en-GB"/>
        </w:rPr>
        <w:t xml:space="preserve"> in</w:t>
      </w:r>
      <w:r w:rsidR="00730146" w:rsidRPr="00730146">
        <w:rPr>
          <w:lang w:eastAsia="en-GB"/>
        </w:rPr>
        <w:t xml:space="preserve"> Rwanda and</w:t>
      </w:r>
      <w:r w:rsidR="003B5B02">
        <w:rPr>
          <w:lang w:eastAsia="en-GB"/>
        </w:rPr>
        <w:t xml:space="preserve"> the former Yugoslavia</w:t>
      </w:r>
      <w:r w:rsidR="00730146" w:rsidRPr="00730146">
        <w:rPr>
          <w:lang w:eastAsia="en-GB"/>
        </w:rPr>
        <w:t xml:space="preserve">. </w:t>
      </w:r>
      <w:bookmarkStart w:id="0" w:name="_Hlk132798673"/>
    </w:p>
    <w:p w14:paraId="3D2F4717" w14:textId="72117154" w:rsidR="00730146" w:rsidRPr="004D2F6D" w:rsidRDefault="003A574E" w:rsidP="004D2F6D">
      <w:pPr>
        <w:pStyle w:val="SingleTxtG"/>
        <w:rPr>
          <w:lang w:eastAsia="en-GB"/>
        </w:rPr>
      </w:pPr>
      <w:r>
        <w:rPr>
          <w:lang w:eastAsia="en-GB"/>
        </w:rPr>
        <w:t>3</w:t>
      </w:r>
      <w:r w:rsidR="00045616">
        <w:rPr>
          <w:lang w:eastAsia="en-GB"/>
        </w:rPr>
        <w:t>0</w:t>
      </w:r>
      <w:r>
        <w:rPr>
          <w:lang w:eastAsia="en-GB"/>
        </w:rPr>
        <w:t>.</w:t>
      </w:r>
      <w:r>
        <w:rPr>
          <w:lang w:eastAsia="en-GB"/>
        </w:rPr>
        <w:tab/>
      </w:r>
      <w:r w:rsidR="00730146" w:rsidRPr="00730146">
        <w:rPr>
          <w:lang w:eastAsia="en-GB"/>
        </w:rPr>
        <w:t xml:space="preserve">The last </w:t>
      </w:r>
      <w:r w:rsidR="00156B27">
        <w:rPr>
          <w:lang w:eastAsia="en-GB"/>
        </w:rPr>
        <w:t>few</w:t>
      </w:r>
      <w:r w:rsidR="00730146" w:rsidRPr="00730146">
        <w:rPr>
          <w:lang w:eastAsia="en-GB"/>
        </w:rPr>
        <w:t xml:space="preserve"> years have seen a growing spread of hate speech, against the backdrop of rising intolerance, xenophobia, racism, antisemitism, islamophobia, misogyny and </w:t>
      </w:r>
      <w:r w:rsidR="00730146" w:rsidRPr="00730146">
        <w:rPr>
          <w:lang w:eastAsia="en-GB"/>
        </w:rPr>
        <w:lastRenderedPageBreak/>
        <w:t xml:space="preserve">homophobia and their </w:t>
      </w:r>
      <w:r w:rsidR="00B363F6" w:rsidRPr="00730146">
        <w:rPr>
          <w:lang w:eastAsia="en-GB"/>
        </w:rPr>
        <w:t>normali</w:t>
      </w:r>
      <w:r w:rsidR="00B363F6">
        <w:rPr>
          <w:lang w:eastAsia="en-GB"/>
        </w:rPr>
        <w:t>z</w:t>
      </w:r>
      <w:r w:rsidR="00B363F6" w:rsidRPr="00730146">
        <w:rPr>
          <w:lang w:eastAsia="en-GB"/>
        </w:rPr>
        <w:t>ation</w:t>
      </w:r>
      <w:r w:rsidR="00730146" w:rsidRPr="00730146">
        <w:rPr>
          <w:lang w:eastAsia="en-GB"/>
        </w:rPr>
        <w:t xml:space="preserve">. These </w:t>
      </w:r>
      <w:bookmarkEnd w:id="0"/>
      <w:r w:rsidR="00730146" w:rsidRPr="00730146">
        <w:rPr>
          <w:lang w:eastAsia="en-GB"/>
        </w:rPr>
        <w:t>years coincide</w:t>
      </w:r>
      <w:r w:rsidR="008C7B85">
        <w:rPr>
          <w:lang w:eastAsia="en-GB"/>
        </w:rPr>
        <w:t>d</w:t>
      </w:r>
      <w:r w:rsidR="00730146" w:rsidRPr="00730146">
        <w:rPr>
          <w:lang w:eastAsia="en-GB"/>
        </w:rPr>
        <w:t xml:space="preserve"> with rapid societal changes generated by globalization and digitalization, global economic and financial crises which have deepened inequalities, and more recently the COVID-19 pandemic, impacting people’s sense of control over their lives. This has provided a fertile ground for the rise of populism, which </w:t>
      </w:r>
      <w:r w:rsidR="000E5144">
        <w:rPr>
          <w:lang w:eastAsia="en-GB"/>
        </w:rPr>
        <w:t xml:space="preserve">purports to </w:t>
      </w:r>
      <w:r w:rsidR="00730146" w:rsidRPr="00730146">
        <w:rPr>
          <w:lang w:eastAsia="en-GB"/>
        </w:rPr>
        <w:t>offer simple solutions to complex problems, capitalizing on people’s fears.</w:t>
      </w:r>
      <w:r w:rsidR="00730146" w:rsidRPr="00730146">
        <w:rPr>
          <w:vertAlign w:val="superscript"/>
          <w:lang w:eastAsia="en-GB"/>
        </w:rPr>
        <w:t xml:space="preserve"> </w:t>
      </w:r>
      <w:r w:rsidR="00730146" w:rsidRPr="00730146">
        <w:rPr>
          <w:lang w:eastAsia="en-GB"/>
        </w:rPr>
        <w:t xml:space="preserve">The ethnocentric vision it can project and the paradigm of “Us versus Them”, portraying “the people” as homogenous communities, fuels exclusion and discrimination and hate that may contribute to risk factors for genocide. </w:t>
      </w:r>
    </w:p>
    <w:p w14:paraId="46DFDEAE" w14:textId="2E1383AF" w:rsidR="00730146" w:rsidRPr="004D2F6D" w:rsidRDefault="003A574E" w:rsidP="004D2F6D">
      <w:pPr>
        <w:pStyle w:val="SingleTxtG"/>
        <w:rPr>
          <w:lang w:eastAsia="en-GB"/>
        </w:rPr>
      </w:pPr>
      <w:r>
        <w:rPr>
          <w:lang w:eastAsia="en-GB"/>
        </w:rPr>
        <w:t>3</w:t>
      </w:r>
      <w:r w:rsidR="00045616">
        <w:rPr>
          <w:lang w:eastAsia="en-GB"/>
        </w:rPr>
        <w:t>1</w:t>
      </w:r>
      <w:r>
        <w:rPr>
          <w:lang w:eastAsia="en-GB"/>
        </w:rPr>
        <w:t>.</w:t>
      </w:r>
      <w:r>
        <w:rPr>
          <w:lang w:eastAsia="en-GB"/>
        </w:rPr>
        <w:tab/>
      </w:r>
      <w:r w:rsidR="00730146" w:rsidRPr="00730146">
        <w:rPr>
          <w:lang w:eastAsia="en-GB"/>
        </w:rPr>
        <w:t xml:space="preserve">Social media </w:t>
      </w:r>
      <w:r w:rsidR="00705BC1">
        <w:rPr>
          <w:lang w:eastAsia="en-GB"/>
        </w:rPr>
        <w:t xml:space="preserve">and other digital platforms </w:t>
      </w:r>
      <w:r w:rsidR="00730146" w:rsidRPr="00730146">
        <w:rPr>
          <w:lang w:eastAsia="en-GB"/>
        </w:rPr>
        <w:t xml:space="preserve">allow politicians to mobilize support and shape public opinion, which can pave the way to online hate speech, if misused. </w:t>
      </w:r>
      <w:r w:rsidR="004B6991">
        <w:rPr>
          <w:lang w:eastAsia="en-GB"/>
        </w:rPr>
        <w:t>P</w:t>
      </w:r>
      <w:r w:rsidR="00730146" w:rsidRPr="00730146">
        <w:rPr>
          <w:lang w:eastAsia="en-GB"/>
        </w:rPr>
        <w:t xml:space="preserve">oliticians have rapidly harnessed the power of social media, which facilitates simplified discourses and emotional appeals, offers </w:t>
      </w:r>
      <w:r w:rsidR="00037B3B">
        <w:rPr>
          <w:lang w:eastAsia="en-GB"/>
        </w:rPr>
        <w:t>ample</w:t>
      </w:r>
      <w:r w:rsidR="00730146" w:rsidRPr="00730146">
        <w:rPr>
          <w:lang w:eastAsia="en-GB"/>
        </w:rPr>
        <w:t xml:space="preserve"> control of their narratives and unmediated access to a broad audience.</w:t>
      </w:r>
    </w:p>
    <w:p w14:paraId="4D6B32A3" w14:textId="15A84783" w:rsidR="00730146" w:rsidRPr="00730146" w:rsidRDefault="003A574E" w:rsidP="004D2F6D">
      <w:pPr>
        <w:pStyle w:val="SingleTxtG"/>
        <w:rPr>
          <w:lang w:eastAsia="en-GB"/>
        </w:rPr>
      </w:pPr>
      <w:r>
        <w:rPr>
          <w:lang w:eastAsia="en-GB"/>
        </w:rPr>
        <w:t>3</w:t>
      </w:r>
      <w:r w:rsidR="00045616">
        <w:rPr>
          <w:lang w:eastAsia="en-GB"/>
        </w:rPr>
        <w:t>2</w:t>
      </w:r>
      <w:r>
        <w:rPr>
          <w:lang w:eastAsia="en-GB"/>
        </w:rPr>
        <w:t>.</w:t>
      </w:r>
      <w:r>
        <w:rPr>
          <w:lang w:eastAsia="en-GB"/>
        </w:rPr>
        <w:tab/>
      </w:r>
      <w:r w:rsidR="00730146" w:rsidRPr="00730146">
        <w:rPr>
          <w:lang w:eastAsia="en-GB"/>
        </w:rPr>
        <w:t>The use of new technologies has undoubtedly contributed to the rise and spread of hate speech. However, its root causes are not technological, technology being merely a means through which such ideas are communicated.</w:t>
      </w:r>
      <w:r w:rsidR="00730146" w:rsidRPr="00730146">
        <w:rPr>
          <w:rFonts w:eastAsia="Calibri"/>
        </w:rPr>
        <w:t xml:space="preserve"> </w:t>
      </w:r>
      <w:r w:rsidR="00730146" w:rsidRPr="00730146">
        <w:rPr>
          <w:lang w:eastAsia="en-GB"/>
        </w:rPr>
        <w:t>It is therefore important to address the offline realities which constitute the underlying drivers and causes of hate speech.</w:t>
      </w:r>
    </w:p>
    <w:p w14:paraId="3B3DB780" w14:textId="5D13FDB6" w:rsidR="00730146" w:rsidRPr="00730146" w:rsidRDefault="004A5907" w:rsidP="004D2F6D">
      <w:pPr>
        <w:pStyle w:val="SingleTxtG"/>
        <w:rPr>
          <w:lang w:eastAsia="en-GB"/>
        </w:rPr>
      </w:pPr>
      <w:r>
        <w:rPr>
          <w:lang w:eastAsia="en-GB"/>
        </w:rPr>
        <w:t>3</w:t>
      </w:r>
      <w:r w:rsidR="00045616">
        <w:rPr>
          <w:lang w:eastAsia="en-GB"/>
        </w:rPr>
        <w:t>3</w:t>
      </w:r>
      <w:r>
        <w:rPr>
          <w:lang w:eastAsia="en-GB"/>
        </w:rPr>
        <w:t>.</w:t>
      </w:r>
      <w:r>
        <w:rPr>
          <w:lang w:eastAsia="en-GB"/>
        </w:rPr>
        <w:tab/>
      </w:r>
      <w:r w:rsidR="00730146" w:rsidRPr="004A5907">
        <w:rPr>
          <w:lang w:eastAsia="en-GB"/>
        </w:rPr>
        <w:t xml:space="preserve">In response to these developments, </w:t>
      </w:r>
      <w:r w:rsidR="00DB5E7E">
        <w:rPr>
          <w:lang w:eastAsia="en-GB"/>
        </w:rPr>
        <w:t>the Se</w:t>
      </w:r>
      <w:r w:rsidR="002B5B5C">
        <w:rPr>
          <w:lang w:eastAsia="en-GB"/>
        </w:rPr>
        <w:t>cretary-General</w:t>
      </w:r>
      <w:r w:rsidR="00DB5E7E" w:rsidRPr="004A5907">
        <w:rPr>
          <w:lang w:eastAsia="en-GB"/>
        </w:rPr>
        <w:t xml:space="preserve"> </w:t>
      </w:r>
      <w:r w:rsidR="00730146" w:rsidRPr="004A5907">
        <w:rPr>
          <w:lang w:eastAsia="en-GB"/>
        </w:rPr>
        <w:t>launched the Strategy and Plan of Action on Hate Speech,</w:t>
      </w:r>
      <w:r w:rsidR="00147D63">
        <w:rPr>
          <w:rStyle w:val="FootnoteReference"/>
          <w:lang w:eastAsia="en-GB"/>
        </w:rPr>
        <w:footnoteReference w:id="20"/>
      </w:r>
      <w:r w:rsidR="00730146" w:rsidRPr="004A5907">
        <w:rPr>
          <w:lang w:eastAsia="en-GB"/>
        </w:rPr>
        <w:t xml:space="preserve"> which for the first time set</w:t>
      </w:r>
      <w:r w:rsidR="00A51B5E">
        <w:rPr>
          <w:lang w:eastAsia="en-GB"/>
        </w:rPr>
        <w:t>s</w:t>
      </w:r>
      <w:r w:rsidR="00730146" w:rsidRPr="004A5907">
        <w:rPr>
          <w:lang w:eastAsia="en-GB"/>
        </w:rPr>
        <w:t xml:space="preserve"> out guidance for the UN system on how to address and counter hate speech at national and global level. It pursues two objectives – to enhance UN efforts to address root causes and drivers of hate speech; and to enable effective UN responses to the impact of hate speech on societies. This system-wide effort is coordinated by the Special Adviser on the Prevention of Genocide supporting Member States and civil society to address and counter hate speech in full respect with fundamental human rights and engaging with social media platforms to promote policies and practices to tackle online hate speech. UN field presences, UN Country Teams, peacekeeping </w:t>
      </w:r>
      <w:proofErr w:type="gramStart"/>
      <w:r w:rsidR="00730146" w:rsidRPr="004A5907">
        <w:rPr>
          <w:lang w:eastAsia="en-GB"/>
        </w:rPr>
        <w:t>missions</w:t>
      </w:r>
      <w:proofErr w:type="gramEnd"/>
      <w:r w:rsidR="00730146" w:rsidRPr="004A5907">
        <w:rPr>
          <w:lang w:eastAsia="en-GB"/>
        </w:rPr>
        <w:t xml:space="preserve"> and political missions have a critical role to play in implementing the Strategy in cooperation with their national partners, and the Office of the Special Adviser</w:t>
      </w:r>
      <w:r w:rsidR="00225B7B">
        <w:rPr>
          <w:lang w:eastAsia="en-GB"/>
        </w:rPr>
        <w:t xml:space="preserve"> on the Prevention of Genocide</w:t>
      </w:r>
      <w:r w:rsidR="00730146" w:rsidRPr="004A5907">
        <w:rPr>
          <w:lang w:eastAsia="en-GB"/>
        </w:rPr>
        <w:t xml:space="preserve"> support</w:t>
      </w:r>
      <w:r w:rsidR="001E5C48">
        <w:rPr>
          <w:lang w:eastAsia="en-GB"/>
        </w:rPr>
        <w:t>s</w:t>
      </w:r>
      <w:r w:rsidR="00730146" w:rsidRPr="004A5907">
        <w:rPr>
          <w:lang w:eastAsia="en-GB"/>
        </w:rPr>
        <w:t xml:space="preserve"> </w:t>
      </w:r>
      <w:r w:rsidR="001E5C48">
        <w:rPr>
          <w:lang w:eastAsia="en-GB"/>
        </w:rPr>
        <w:t>them in</w:t>
      </w:r>
      <w:r w:rsidR="00730146" w:rsidRPr="004A5907">
        <w:rPr>
          <w:lang w:eastAsia="en-GB"/>
        </w:rPr>
        <w:t xml:space="preserve"> develop</w:t>
      </w:r>
      <w:r w:rsidR="00BF5785">
        <w:rPr>
          <w:lang w:eastAsia="en-GB"/>
        </w:rPr>
        <w:t>ing</w:t>
      </w:r>
      <w:r w:rsidR="00730146" w:rsidRPr="004A5907">
        <w:rPr>
          <w:lang w:eastAsia="en-GB"/>
        </w:rPr>
        <w:t xml:space="preserve"> context specific action plans on tackling hate speech. The Office has also developed several policy initiatives based on the Strategy</w:t>
      </w:r>
      <w:r w:rsidR="009C1F1A">
        <w:rPr>
          <w:lang w:eastAsia="en-GB"/>
        </w:rPr>
        <w:t>,</w:t>
      </w:r>
      <w:r w:rsidR="00730146" w:rsidRPr="004A5907">
        <w:rPr>
          <w:lang w:eastAsia="en-GB"/>
        </w:rPr>
        <w:t xml:space="preserve"> including </w:t>
      </w:r>
      <w:r w:rsidR="003F4F55" w:rsidRPr="004A5907">
        <w:rPr>
          <w:lang w:val="en-US" w:eastAsia="en-GB"/>
        </w:rPr>
        <w:t xml:space="preserve">a policy paper on </w:t>
      </w:r>
      <w:r w:rsidR="003F4F55" w:rsidRPr="004A5907">
        <w:rPr>
          <w:i/>
          <w:iCs/>
          <w:lang w:eastAsia="en-GB"/>
        </w:rPr>
        <w:t>Combating Holocaust and Genocide Denial Protecting Survivors, Preserving Memory, and Promoting Prevention</w:t>
      </w:r>
      <w:r w:rsidR="003F4F55" w:rsidRPr="004A5907">
        <w:rPr>
          <w:lang w:eastAsia="en-GB"/>
        </w:rPr>
        <w:t>,</w:t>
      </w:r>
      <w:r w:rsidR="003F4F55">
        <w:rPr>
          <w:rStyle w:val="FootnoteReference"/>
          <w:lang w:eastAsia="en-GB"/>
        </w:rPr>
        <w:footnoteReference w:id="21"/>
      </w:r>
      <w:r w:rsidR="003F4F55" w:rsidRPr="004A5907">
        <w:rPr>
          <w:lang w:eastAsia="en-GB"/>
        </w:rPr>
        <w:t xml:space="preserve"> a Plan of Action for Countering Hate Speech through Sport (The Game Plan) </w:t>
      </w:r>
      <w:r w:rsidR="003F4F55">
        <w:rPr>
          <w:lang w:eastAsia="en-GB"/>
        </w:rPr>
        <w:t>of</w:t>
      </w:r>
      <w:r w:rsidR="003F4F55" w:rsidRPr="004A5907">
        <w:rPr>
          <w:lang w:eastAsia="en-GB"/>
        </w:rPr>
        <w:t xml:space="preserve"> December 2022</w:t>
      </w:r>
      <w:r w:rsidR="003F4F55">
        <w:rPr>
          <w:rStyle w:val="FootnoteReference"/>
          <w:lang w:eastAsia="en-GB"/>
        </w:rPr>
        <w:footnoteReference w:id="22"/>
      </w:r>
      <w:r w:rsidR="003F4F55" w:rsidRPr="004A5907">
        <w:rPr>
          <w:lang w:eastAsia="en-GB"/>
        </w:rPr>
        <w:t>, as well as a guidance for Policy Makers on Addressing Hate Speech through Education, developed jointly with UNESCO and which builds on the outcome</w:t>
      </w:r>
      <w:r w:rsidR="003F4F55">
        <w:rPr>
          <w:lang w:eastAsia="en-GB"/>
        </w:rPr>
        <w:t>s</w:t>
      </w:r>
      <w:r w:rsidR="003F4F55" w:rsidRPr="004A5907">
        <w:rPr>
          <w:lang w:eastAsia="en-GB"/>
        </w:rPr>
        <w:t xml:space="preserve"> of </w:t>
      </w:r>
      <w:r w:rsidR="003F4F55">
        <w:rPr>
          <w:lang w:eastAsia="en-GB"/>
        </w:rPr>
        <w:t xml:space="preserve">the </w:t>
      </w:r>
      <w:r w:rsidR="003F4F55" w:rsidRPr="006A1F38">
        <w:rPr>
          <w:lang w:eastAsia="en-GB"/>
        </w:rPr>
        <w:t>Global Ministerial Conference on Addressing Hate Speech Through Education</w:t>
      </w:r>
      <w:r w:rsidR="003F4F55">
        <w:rPr>
          <w:rStyle w:val="FootnoteReference"/>
          <w:lang w:eastAsia="en-GB"/>
        </w:rPr>
        <w:footnoteReference w:id="23"/>
      </w:r>
      <w:r w:rsidR="003F4F55">
        <w:rPr>
          <w:lang w:eastAsia="en-GB"/>
        </w:rPr>
        <w:t xml:space="preserve"> of</w:t>
      </w:r>
      <w:r w:rsidR="003F4F55" w:rsidRPr="004A5907">
        <w:rPr>
          <w:lang w:eastAsia="en-GB"/>
        </w:rPr>
        <w:t xml:space="preserve"> October 2021</w:t>
      </w:r>
      <w:r w:rsidR="003F4F55">
        <w:rPr>
          <w:lang w:eastAsia="en-GB"/>
        </w:rPr>
        <w:t xml:space="preserve"> convened by UNESCO and Namibia</w:t>
      </w:r>
      <w:r w:rsidR="003F4F55" w:rsidRPr="004A5907">
        <w:rPr>
          <w:lang w:eastAsia="en-GB"/>
        </w:rPr>
        <w:t>.</w:t>
      </w:r>
    </w:p>
    <w:p w14:paraId="522F0147" w14:textId="46978AE4" w:rsidR="00730146" w:rsidRPr="004D2F6D" w:rsidRDefault="004A5907" w:rsidP="004D2F6D">
      <w:pPr>
        <w:pStyle w:val="SingleTxtG"/>
        <w:rPr>
          <w:lang w:eastAsia="en-GB"/>
        </w:rPr>
      </w:pPr>
      <w:r>
        <w:rPr>
          <w:lang w:eastAsia="en-GB"/>
        </w:rPr>
        <w:t>3</w:t>
      </w:r>
      <w:r w:rsidR="00045616">
        <w:rPr>
          <w:lang w:eastAsia="en-GB"/>
        </w:rPr>
        <w:t>4</w:t>
      </w:r>
      <w:r>
        <w:rPr>
          <w:lang w:eastAsia="en-GB"/>
        </w:rPr>
        <w:t>.</w:t>
      </w:r>
      <w:r>
        <w:rPr>
          <w:lang w:eastAsia="en-GB"/>
        </w:rPr>
        <w:tab/>
      </w:r>
      <w:r w:rsidR="00730146" w:rsidRPr="00730146">
        <w:rPr>
          <w:lang w:eastAsia="en-GB"/>
        </w:rPr>
        <w:t xml:space="preserve">The Strategy is grounded </w:t>
      </w:r>
      <w:r w:rsidR="009C158A">
        <w:rPr>
          <w:lang w:eastAsia="en-GB"/>
        </w:rPr>
        <w:t>i</w:t>
      </w:r>
      <w:r w:rsidR="009C158A" w:rsidRPr="00730146">
        <w:rPr>
          <w:lang w:eastAsia="en-GB"/>
        </w:rPr>
        <w:t>n</w:t>
      </w:r>
      <w:r w:rsidR="00730146" w:rsidRPr="00730146">
        <w:rPr>
          <w:lang w:eastAsia="en-GB"/>
        </w:rPr>
        <w:t xml:space="preserve"> four key principles: implementation is to be in line with the right to freedom of opinion and expression; countering hate speech is the responsibility of all </w:t>
      </w:r>
      <w:r w:rsidR="00804D3A">
        <w:rPr>
          <w:lang w:eastAsia="en-GB"/>
        </w:rPr>
        <w:t>–</w:t>
      </w:r>
      <w:r w:rsidR="00F24CE3">
        <w:rPr>
          <w:lang w:eastAsia="en-GB"/>
        </w:rPr>
        <w:t xml:space="preserve"> </w:t>
      </w:r>
      <w:r w:rsidR="00730146" w:rsidRPr="00730146">
        <w:rPr>
          <w:lang w:eastAsia="en-GB"/>
        </w:rPr>
        <w:t xml:space="preserve">governments, societies, the private sector, and individuals; support to a new generation of digital citizens, empowered to recognize, reject and stand up to hate speech; and coordinated data collection and research, including on the root causes, drivers and conditions conducive to hate speech. The working definition of hate speech </w:t>
      </w:r>
      <w:r w:rsidR="007E09D6">
        <w:rPr>
          <w:lang w:eastAsia="en-GB"/>
        </w:rPr>
        <w:t>f</w:t>
      </w:r>
      <w:r w:rsidR="007E09D6" w:rsidRPr="00CE3E28">
        <w:rPr>
          <w:color w:val="000000" w:themeColor="text1"/>
          <w:szCs w:val="18"/>
        </w:rPr>
        <w:t xml:space="preserve">or the purposes </w:t>
      </w:r>
      <w:r w:rsidR="007E09D6">
        <w:rPr>
          <w:color w:val="000000" w:themeColor="text1"/>
          <w:szCs w:val="18"/>
        </w:rPr>
        <w:t>of</w:t>
      </w:r>
      <w:r w:rsidR="00730146">
        <w:rPr>
          <w:color w:val="000000" w:themeColor="text1"/>
          <w:szCs w:val="18"/>
        </w:rPr>
        <w:t xml:space="preserve"> </w:t>
      </w:r>
      <w:r w:rsidR="00730146" w:rsidRPr="00730146">
        <w:rPr>
          <w:lang w:eastAsia="en-GB"/>
        </w:rPr>
        <w:t xml:space="preserve">the Strategy provides a guide for understanding and implementing measures to tackle hate speech before it reaches the threshold of incitement to discrimination, </w:t>
      </w:r>
      <w:proofErr w:type="gramStart"/>
      <w:r w:rsidR="00730146" w:rsidRPr="00730146">
        <w:rPr>
          <w:lang w:eastAsia="en-GB"/>
        </w:rPr>
        <w:t>hostility</w:t>
      </w:r>
      <w:proofErr w:type="gramEnd"/>
      <w:r w:rsidR="00730146" w:rsidRPr="00730146">
        <w:rPr>
          <w:lang w:eastAsia="en-GB"/>
        </w:rPr>
        <w:t xml:space="preserve"> or violence.</w:t>
      </w:r>
      <w:r w:rsidR="00730146" w:rsidRPr="00730146">
        <w:rPr>
          <w:vertAlign w:val="superscript"/>
          <w:lang w:eastAsia="en-GB"/>
        </w:rPr>
        <w:footnoteReference w:id="24"/>
      </w:r>
      <w:r w:rsidR="00730146" w:rsidRPr="00730146">
        <w:rPr>
          <w:lang w:eastAsia="en-GB"/>
        </w:rPr>
        <w:t xml:space="preserve"> </w:t>
      </w:r>
    </w:p>
    <w:p w14:paraId="6B756CC7" w14:textId="253AFA6A" w:rsidR="00730146" w:rsidRPr="00EF710E" w:rsidRDefault="00F24CE3" w:rsidP="00EF710E">
      <w:pPr>
        <w:pStyle w:val="SingleTxtG"/>
        <w:rPr>
          <w:lang w:eastAsia="en-GB"/>
        </w:rPr>
      </w:pPr>
      <w:r>
        <w:rPr>
          <w:lang w:eastAsia="en-GB"/>
        </w:rPr>
        <w:lastRenderedPageBreak/>
        <w:t>3</w:t>
      </w:r>
      <w:r w:rsidR="00045616">
        <w:rPr>
          <w:lang w:eastAsia="en-GB"/>
        </w:rPr>
        <w:t>5</w:t>
      </w:r>
      <w:r>
        <w:rPr>
          <w:lang w:eastAsia="en-GB"/>
        </w:rPr>
        <w:t>.</w:t>
      </w:r>
      <w:r>
        <w:rPr>
          <w:lang w:eastAsia="en-GB"/>
        </w:rPr>
        <w:tab/>
      </w:r>
      <w:r w:rsidR="00730146" w:rsidRPr="00730146">
        <w:rPr>
          <w:lang w:eastAsia="en-GB"/>
        </w:rPr>
        <w:t xml:space="preserve">Article 20 of the International Covenant on Civil and Political Rights </w:t>
      </w:r>
      <w:r w:rsidR="000410F8">
        <w:rPr>
          <w:lang w:eastAsia="en-GB"/>
        </w:rPr>
        <w:t>(</w:t>
      </w:r>
      <w:r w:rsidR="001970A2">
        <w:rPr>
          <w:lang w:eastAsia="en-GB"/>
        </w:rPr>
        <w:t>ICC</w:t>
      </w:r>
      <w:r w:rsidR="00AA3507">
        <w:rPr>
          <w:lang w:eastAsia="en-GB"/>
        </w:rPr>
        <w:t>P</w:t>
      </w:r>
      <w:r w:rsidR="001970A2">
        <w:rPr>
          <w:lang w:eastAsia="en-GB"/>
        </w:rPr>
        <w:t xml:space="preserve">R) </w:t>
      </w:r>
      <w:r w:rsidR="00730146" w:rsidRPr="00730146">
        <w:rPr>
          <w:lang w:eastAsia="en-GB"/>
        </w:rPr>
        <w:t xml:space="preserve">prohibits advocacy of national, </w:t>
      </w:r>
      <w:proofErr w:type="gramStart"/>
      <w:r w:rsidR="00730146" w:rsidRPr="00730146">
        <w:rPr>
          <w:lang w:eastAsia="en-GB"/>
        </w:rPr>
        <w:t>racial</w:t>
      </w:r>
      <w:proofErr w:type="gramEnd"/>
      <w:r w:rsidR="00730146" w:rsidRPr="00730146">
        <w:rPr>
          <w:lang w:eastAsia="en-GB"/>
        </w:rPr>
        <w:t xml:space="preserve"> or religious hatred that constitutes incitement to discrimination, hostility or violence; article 4 of the International Convention on the Elimination of Racial Discrimination restricts incitement to racial discrimination</w:t>
      </w:r>
      <w:r w:rsidR="00251F25">
        <w:rPr>
          <w:lang w:eastAsia="en-GB"/>
        </w:rPr>
        <w:t>;</w:t>
      </w:r>
      <w:r w:rsidR="00730146" w:rsidRPr="00730146">
        <w:rPr>
          <w:lang w:eastAsia="en-GB"/>
        </w:rPr>
        <w:t xml:space="preserve"> </w:t>
      </w:r>
      <w:r w:rsidR="00113BB7">
        <w:rPr>
          <w:lang w:eastAsia="en-GB"/>
        </w:rPr>
        <w:t>and</w:t>
      </w:r>
      <w:r w:rsidR="00730146" w:rsidRPr="00730146">
        <w:rPr>
          <w:lang w:eastAsia="en-GB"/>
        </w:rPr>
        <w:t xml:space="preserve"> article</w:t>
      </w:r>
      <w:r w:rsidR="00E26750">
        <w:rPr>
          <w:lang w:eastAsia="en-GB"/>
        </w:rPr>
        <w:t> </w:t>
      </w:r>
      <w:r w:rsidR="00730146" w:rsidRPr="00730146">
        <w:rPr>
          <w:lang w:eastAsia="en-GB"/>
        </w:rPr>
        <w:t xml:space="preserve">3 </w:t>
      </w:r>
      <w:r w:rsidR="00A6789B">
        <w:rPr>
          <w:lang w:eastAsia="en-GB"/>
        </w:rPr>
        <w:t>(c)</w:t>
      </w:r>
      <w:r w:rsidR="00730146" w:rsidRPr="00730146">
        <w:rPr>
          <w:lang w:eastAsia="en-GB"/>
        </w:rPr>
        <w:t xml:space="preserve"> of the Genocide Convention prohibits direct and public incitement to genocide. Freedom of expression is guaranteed by article 19 (2) of the </w:t>
      </w:r>
      <w:r w:rsidR="001970A2">
        <w:rPr>
          <w:lang w:eastAsia="en-GB"/>
        </w:rPr>
        <w:t>ICCPR</w:t>
      </w:r>
      <w:r w:rsidR="00730146" w:rsidRPr="00730146">
        <w:rPr>
          <w:lang w:eastAsia="en-GB"/>
        </w:rPr>
        <w:t>, which also includes expression that may be regarded as deeply offensive.</w:t>
      </w:r>
      <w:r w:rsidR="00730146" w:rsidRPr="00730146">
        <w:rPr>
          <w:sz w:val="18"/>
          <w:vertAlign w:val="superscript"/>
          <w:lang w:eastAsia="en-GB"/>
        </w:rPr>
        <w:footnoteReference w:id="25"/>
      </w:r>
      <w:r w:rsidR="00730146" w:rsidRPr="00730146">
        <w:rPr>
          <w:lang w:eastAsia="en-GB"/>
        </w:rPr>
        <w:t xml:space="preserve"> This relationship between freedom of expression and incitement to </w:t>
      </w:r>
      <w:r w:rsidR="002F36D9">
        <w:rPr>
          <w:lang w:eastAsia="en-GB"/>
        </w:rPr>
        <w:t>discrimination, hostility or violence</w:t>
      </w:r>
      <w:r w:rsidR="002F36D9" w:rsidRPr="00730146">
        <w:rPr>
          <w:lang w:eastAsia="en-GB"/>
        </w:rPr>
        <w:t xml:space="preserve"> </w:t>
      </w:r>
      <w:r w:rsidR="00730146" w:rsidRPr="00730146">
        <w:rPr>
          <w:lang w:eastAsia="en-GB"/>
        </w:rPr>
        <w:t xml:space="preserve">is critical. </w:t>
      </w:r>
      <w:r w:rsidR="000156E8">
        <w:rPr>
          <w:lang w:eastAsia="en-GB"/>
        </w:rPr>
        <w:t>R</w:t>
      </w:r>
      <w:r w:rsidR="00730146" w:rsidRPr="00730146">
        <w:rPr>
          <w:lang w:eastAsia="en-GB"/>
        </w:rPr>
        <w:t xml:space="preserve">estrictions </w:t>
      </w:r>
      <w:r w:rsidR="002F36D9">
        <w:rPr>
          <w:lang w:eastAsia="en-GB"/>
        </w:rPr>
        <w:t>to the right to freedom of expression</w:t>
      </w:r>
      <w:r w:rsidR="00730146" w:rsidRPr="00730146">
        <w:rPr>
          <w:lang w:eastAsia="en-GB"/>
        </w:rPr>
        <w:t xml:space="preserve"> </w:t>
      </w:r>
      <w:r w:rsidR="00EC04E4">
        <w:rPr>
          <w:lang w:eastAsia="en-GB"/>
        </w:rPr>
        <w:t>are regulated by</w:t>
      </w:r>
      <w:r w:rsidR="00730146" w:rsidRPr="00730146">
        <w:rPr>
          <w:lang w:eastAsia="en-GB"/>
        </w:rPr>
        <w:t xml:space="preserve"> article 19 (3) of the ICCPR.</w:t>
      </w:r>
      <w:r w:rsidR="00730146" w:rsidRPr="00730146">
        <w:rPr>
          <w:sz w:val="18"/>
          <w:vertAlign w:val="superscript"/>
          <w:lang w:eastAsia="en-GB"/>
        </w:rPr>
        <w:footnoteReference w:id="26"/>
      </w:r>
      <w:r w:rsidR="00730146" w:rsidRPr="00730146">
        <w:rPr>
          <w:lang w:eastAsia="en-GB"/>
        </w:rPr>
        <w:t xml:space="preserve"> Too often, </w:t>
      </w:r>
      <w:r w:rsidR="00B6298D">
        <w:rPr>
          <w:lang w:eastAsia="en-GB"/>
        </w:rPr>
        <w:t>go</w:t>
      </w:r>
      <w:r w:rsidR="00B65870">
        <w:rPr>
          <w:lang w:eastAsia="en-GB"/>
        </w:rPr>
        <w:t xml:space="preserve">vernments of </w:t>
      </w:r>
      <w:r w:rsidR="002914F2">
        <w:rPr>
          <w:lang w:eastAsia="en-GB"/>
        </w:rPr>
        <w:t>State</w:t>
      </w:r>
      <w:r w:rsidR="00C856FC">
        <w:rPr>
          <w:lang w:eastAsia="en-GB"/>
        </w:rPr>
        <w:t xml:space="preserve"> Parties</w:t>
      </w:r>
      <w:r w:rsidR="00730146" w:rsidRPr="00730146">
        <w:rPr>
          <w:lang w:eastAsia="en-GB"/>
        </w:rPr>
        <w:t xml:space="preserve"> use hate speech and incitement laws to silence critics and opponents, while failing to address threats resulting from speech that incite discrimination or violence. The Rabat Plan of Action on the prohibition of advocacy of national, </w:t>
      </w:r>
      <w:proofErr w:type="gramStart"/>
      <w:r w:rsidR="00730146" w:rsidRPr="00730146">
        <w:rPr>
          <w:lang w:eastAsia="en-GB"/>
        </w:rPr>
        <w:t>racial</w:t>
      </w:r>
      <w:proofErr w:type="gramEnd"/>
      <w:r w:rsidR="00730146" w:rsidRPr="00730146">
        <w:rPr>
          <w:lang w:eastAsia="en-GB"/>
        </w:rPr>
        <w:t xml:space="preserve"> or religious hatred that constitutes incitement to discrimination, hostility or violence </w:t>
      </w:r>
      <w:r w:rsidR="00730146" w:rsidRPr="00730146">
        <w:rPr>
          <w:spacing w:val="4"/>
          <w:lang w:eastAsia="en-GB"/>
        </w:rPr>
        <w:t>provides guidance to States on implementing the international obligation of prohibition of incitement, including a six-part threshold test.</w:t>
      </w:r>
      <w:r w:rsidR="00730146" w:rsidRPr="00730146">
        <w:rPr>
          <w:spacing w:val="4"/>
          <w:sz w:val="18"/>
          <w:vertAlign w:val="superscript"/>
          <w:lang w:eastAsia="en-GB"/>
        </w:rPr>
        <w:footnoteReference w:id="27"/>
      </w:r>
    </w:p>
    <w:p w14:paraId="74A61F79" w14:textId="194E6FF9" w:rsidR="00730146" w:rsidRPr="00EF710E" w:rsidRDefault="00EF710E" w:rsidP="00EF710E">
      <w:pPr>
        <w:pStyle w:val="H1G"/>
        <w:rPr>
          <w:rFonts w:eastAsia="Calibri"/>
          <w:bCs/>
        </w:rPr>
      </w:pPr>
      <w:r>
        <w:rPr>
          <w:rFonts w:eastAsia="Calibri"/>
          <w:bCs/>
        </w:rPr>
        <w:tab/>
        <w:t>C.</w:t>
      </w:r>
      <w:r>
        <w:rPr>
          <w:rFonts w:eastAsia="Calibri"/>
          <w:bCs/>
        </w:rPr>
        <w:tab/>
      </w:r>
      <w:r w:rsidR="00730146" w:rsidRPr="00730146">
        <w:rPr>
          <w:rFonts w:eastAsia="Calibri"/>
          <w:bCs/>
        </w:rPr>
        <w:t xml:space="preserve">Scope and dynamics of online hate speech </w:t>
      </w:r>
    </w:p>
    <w:p w14:paraId="6F07DB80" w14:textId="6A1814DF" w:rsidR="00730146" w:rsidRPr="00730146" w:rsidRDefault="00045616" w:rsidP="004D2F6D">
      <w:pPr>
        <w:pStyle w:val="SingleTxtG"/>
        <w:rPr>
          <w:lang w:eastAsia="en-GB"/>
        </w:rPr>
      </w:pPr>
      <w:r>
        <w:rPr>
          <w:lang w:eastAsia="en-GB"/>
        </w:rPr>
        <w:t>36</w:t>
      </w:r>
      <w:r w:rsidR="006D0D11">
        <w:rPr>
          <w:lang w:eastAsia="en-GB"/>
        </w:rPr>
        <w:t>.</w:t>
      </w:r>
      <w:r w:rsidR="006D0D11">
        <w:rPr>
          <w:lang w:eastAsia="en-GB"/>
        </w:rPr>
        <w:tab/>
      </w:r>
      <w:r w:rsidR="00730146" w:rsidRPr="00730146">
        <w:rPr>
          <w:lang w:eastAsia="en-GB"/>
        </w:rPr>
        <w:t xml:space="preserve">Social media </w:t>
      </w:r>
      <w:r w:rsidR="3ED587EB" w:rsidRPr="00730146">
        <w:rPr>
          <w:lang w:eastAsia="en-GB"/>
        </w:rPr>
        <w:t xml:space="preserve">can </w:t>
      </w:r>
      <w:r w:rsidR="00730146" w:rsidRPr="00730146">
        <w:rPr>
          <w:lang w:eastAsia="en-GB"/>
        </w:rPr>
        <w:t xml:space="preserve">play a significant role in entrenching hate speech, disseminating mis/disinformation and facilitating incitement of discrimination, </w:t>
      </w:r>
      <w:proofErr w:type="gramStart"/>
      <w:r w:rsidR="00730146" w:rsidRPr="00730146">
        <w:rPr>
          <w:lang w:eastAsia="en-GB"/>
        </w:rPr>
        <w:t>hostility</w:t>
      </w:r>
      <w:proofErr w:type="gramEnd"/>
      <w:r w:rsidR="00730146" w:rsidRPr="00730146">
        <w:rPr>
          <w:lang w:eastAsia="en-GB"/>
        </w:rPr>
        <w:t xml:space="preserve"> or violence. Left unchecked, the speed and reach of narratives that dehumanize already marginalized groups and rationalize violence can metastasize into more widespread and systematic forms of violence</w:t>
      </w:r>
      <w:r w:rsidR="001E4E84">
        <w:rPr>
          <w:lang w:eastAsia="en-GB"/>
        </w:rPr>
        <w:t>.</w:t>
      </w:r>
      <w:r w:rsidR="00730146" w:rsidRPr="00826E15">
        <w:rPr>
          <w:rStyle w:val="FootnoteReference"/>
          <w:szCs w:val="18"/>
        </w:rPr>
        <w:footnoteReference w:id="28"/>
      </w:r>
      <w:r w:rsidR="001E4E84">
        <w:rPr>
          <w:lang w:eastAsia="en-GB"/>
        </w:rPr>
        <w:t xml:space="preserve"> </w:t>
      </w:r>
      <w:r w:rsidR="00730146" w:rsidRPr="00730146">
        <w:rPr>
          <w:lang w:eastAsia="en-GB"/>
        </w:rPr>
        <w:t>The impact of this has been reported in instances such as Myanmar. The Independent International Fact-Finding Mission on Myanmar (</w:t>
      </w:r>
      <w:r w:rsidR="00376A6D" w:rsidRPr="00E779EB">
        <w:rPr>
          <w:lang w:eastAsia="en-GB"/>
        </w:rPr>
        <w:t>II</w:t>
      </w:r>
      <w:r w:rsidR="00730146" w:rsidRPr="00E779EB">
        <w:rPr>
          <w:lang w:eastAsia="en-GB"/>
        </w:rPr>
        <w:t>FFM</w:t>
      </w:r>
      <w:r w:rsidR="00376A6D" w:rsidRPr="00E779EB">
        <w:rPr>
          <w:lang w:eastAsia="en-GB"/>
        </w:rPr>
        <w:t>M</w:t>
      </w:r>
      <w:r w:rsidR="00730146" w:rsidRPr="00E779EB">
        <w:rPr>
          <w:lang w:eastAsia="en-GB"/>
        </w:rPr>
        <w:t>)</w:t>
      </w:r>
      <w:r w:rsidR="00730146" w:rsidRPr="00730146">
        <w:rPr>
          <w:lang w:eastAsia="en-GB"/>
        </w:rPr>
        <w:t xml:space="preserve"> noted the prevalence of hate speech and longstanding dehumanizing and stigmatizing rhetoric against the Rohingya, and Muslims in general, in particular by </w:t>
      </w:r>
      <w:r w:rsidR="00DD3E75">
        <w:rPr>
          <w:lang w:eastAsia="en-GB"/>
        </w:rPr>
        <w:t>some religious groups</w:t>
      </w:r>
      <w:r w:rsidR="00730146" w:rsidRPr="00730146">
        <w:rPr>
          <w:lang w:eastAsia="en-GB"/>
        </w:rPr>
        <w:t>, and that the authorities, by condoning and promoting such narratives, had fostered a climate in which human rights violations were legitimized, and incitement to discrimination and violence facilitated.</w:t>
      </w:r>
      <w:r w:rsidR="00730146" w:rsidRPr="00826E15">
        <w:rPr>
          <w:rStyle w:val="FootnoteReference"/>
          <w:szCs w:val="18"/>
        </w:rPr>
        <w:footnoteReference w:id="29"/>
      </w:r>
      <w:r w:rsidR="00730146" w:rsidRPr="00730146">
        <w:rPr>
          <w:lang w:eastAsia="en-GB"/>
        </w:rPr>
        <w:t xml:space="preserve"> The </w:t>
      </w:r>
      <w:r w:rsidR="00376A6D">
        <w:rPr>
          <w:lang w:eastAsia="en-GB"/>
        </w:rPr>
        <w:t>II</w:t>
      </w:r>
      <w:r w:rsidR="00730146" w:rsidRPr="00730146">
        <w:rPr>
          <w:lang w:eastAsia="en-GB"/>
        </w:rPr>
        <w:t>FFM</w:t>
      </w:r>
      <w:r w:rsidR="00376A6D">
        <w:rPr>
          <w:lang w:eastAsia="en-GB"/>
        </w:rPr>
        <w:t>M</w:t>
      </w:r>
      <w:r w:rsidR="00730146" w:rsidRPr="00730146">
        <w:rPr>
          <w:lang w:eastAsia="en-GB"/>
        </w:rPr>
        <w:t xml:space="preserve"> also pointed to the role of </w:t>
      </w:r>
      <w:r w:rsidR="008D4316">
        <w:rPr>
          <w:lang w:eastAsia="en-GB"/>
        </w:rPr>
        <w:t>a</w:t>
      </w:r>
      <w:r w:rsidR="00730146" w:rsidRPr="00730146">
        <w:rPr>
          <w:lang w:eastAsia="en-GB"/>
        </w:rPr>
        <w:t xml:space="preserve"> </w:t>
      </w:r>
      <w:r w:rsidR="00DD3E75">
        <w:rPr>
          <w:lang w:eastAsia="en-GB"/>
        </w:rPr>
        <w:t xml:space="preserve">major social media company </w:t>
      </w:r>
      <w:r w:rsidR="00730146" w:rsidRPr="00730146">
        <w:rPr>
          <w:lang w:eastAsia="en-GB"/>
        </w:rPr>
        <w:t xml:space="preserve">in spreading </w:t>
      </w:r>
      <w:r w:rsidR="006E4D99">
        <w:rPr>
          <w:lang w:eastAsia="en-GB"/>
        </w:rPr>
        <w:t>hate.</w:t>
      </w:r>
    </w:p>
    <w:p w14:paraId="1A4D2250" w14:textId="04B26971" w:rsidR="00730146" w:rsidRPr="004D2F6D" w:rsidRDefault="00045616" w:rsidP="004D2F6D">
      <w:pPr>
        <w:pStyle w:val="SingleTxtG"/>
        <w:rPr>
          <w:lang w:eastAsia="en-GB"/>
        </w:rPr>
      </w:pPr>
      <w:r>
        <w:rPr>
          <w:lang w:eastAsia="en-GB"/>
        </w:rPr>
        <w:t>37</w:t>
      </w:r>
      <w:r w:rsidR="006D0D11">
        <w:rPr>
          <w:lang w:eastAsia="en-GB"/>
        </w:rPr>
        <w:t>.</w:t>
      </w:r>
      <w:r w:rsidR="006D0D11">
        <w:rPr>
          <w:lang w:eastAsia="en-GB"/>
        </w:rPr>
        <w:tab/>
      </w:r>
      <w:r w:rsidR="00730146" w:rsidRPr="00730146">
        <w:rPr>
          <w:lang w:eastAsia="en-GB"/>
        </w:rPr>
        <w:t xml:space="preserve">New </w:t>
      </w:r>
      <w:r w:rsidR="006E4D99" w:rsidRPr="006E4D99">
        <w:rPr>
          <w:lang w:eastAsia="en-GB"/>
        </w:rPr>
        <w:t>technologies enable the dissemination of unparalleled volumes of content at unprecedented speed.</w:t>
      </w:r>
      <w:r w:rsidR="006E4D99" w:rsidRPr="006E4D99">
        <w:rPr>
          <w:rStyle w:val="FootnoteReference"/>
          <w:szCs w:val="18"/>
        </w:rPr>
        <w:footnoteReference w:id="30"/>
      </w:r>
      <w:r w:rsidR="001A2BFD">
        <w:rPr>
          <w:sz w:val="18"/>
          <w:szCs w:val="18"/>
          <w:lang w:eastAsia="en-GB"/>
        </w:rPr>
        <w:t xml:space="preserve"> </w:t>
      </w:r>
      <w:r w:rsidR="006E4D99" w:rsidRPr="006E4D99">
        <w:rPr>
          <w:lang w:eastAsia="en-GB"/>
        </w:rPr>
        <w:t xml:space="preserve">The widespread prevalence of conspiracy theories and mis/disinformation </w:t>
      </w:r>
      <w:r w:rsidR="009C7B67" w:rsidRPr="006E4D99">
        <w:rPr>
          <w:lang w:eastAsia="en-GB"/>
        </w:rPr>
        <w:t xml:space="preserve">online </w:t>
      </w:r>
      <w:r w:rsidR="006E4D99" w:rsidRPr="006E4D99">
        <w:rPr>
          <w:lang w:eastAsia="en-GB"/>
        </w:rPr>
        <w:t>erode</w:t>
      </w:r>
      <w:r w:rsidR="009C7B67">
        <w:rPr>
          <w:lang w:eastAsia="en-GB"/>
        </w:rPr>
        <w:t>s</w:t>
      </w:r>
      <w:r w:rsidR="006E4D99" w:rsidRPr="006E4D99">
        <w:rPr>
          <w:lang w:eastAsia="en-GB"/>
        </w:rPr>
        <w:t xml:space="preserve"> trust in state institutions and facilitate</w:t>
      </w:r>
      <w:r w:rsidR="00FB6196">
        <w:rPr>
          <w:lang w:eastAsia="en-GB"/>
        </w:rPr>
        <w:t>s</w:t>
      </w:r>
      <w:r w:rsidR="006E4D99" w:rsidRPr="006E4D99">
        <w:rPr>
          <w:lang w:eastAsia="en-GB"/>
        </w:rPr>
        <w:t xml:space="preserve"> democratic backsliding. Fearmongering, scapegoating and hate speech rose exponentially during the COVID-19 pandemic. However, </w:t>
      </w:r>
      <w:r w:rsidR="0042446F">
        <w:rPr>
          <w:lang w:eastAsia="en-GB"/>
        </w:rPr>
        <w:t xml:space="preserve">in </w:t>
      </w:r>
      <w:r w:rsidR="008546F8" w:rsidRPr="00BD3F1E">
        <w:rPr>
          <w:lang w:eastAsia="en-GB"/>
        </w:rPr>
        <w:t>many instances, States’</w:t>
      </w:r>
      <w:r w:rsidR="008546F8" w:rsidRPr="006E4D99">
        <w:rPr>
          <w:lang w:eastAsia="en-GB"/>
        </w:rPr>
        <w:t xml:space="preserve"> </w:t>
      </w:r>
      <w:r w:rsidR="006E4D99" w:rsidRPr="006E4D99">
        <w:rPr>
          <w:lang w:eastAsia="en-GB"/>
        </w:rPr>
        <w:t>regulations have led to undue restrictions on the right to freedom of expression and increased public distrust</w:t>
      </w:r>
      <w:r w:rsidR="00730146" w:rsidRPr="00730146">
        <w:rPr>
          <w:lang w:eastAsia="en-GB"/>
        </w:rPr>
        <w:t>.</w:t>
      </w:r>
      <w:r w:rsidR="00730146" w:rsidRPr="00730146">
        <w:rPr>
          <w:sz w:val="18"/>
          <w:vertAlign w:val="superscript"/>
          <w:lang w:eastAsia="en-GB"/>
        </w:rPr>
        <w:footnoteReference w:id="31"/>
      </w:r>
    </w:p>
    <w:p w14:paraId="143C3DCC" w14:textId="0CB7D684" w:rsidR="00730146" w:rsidRPr="00EF710E" w:rsidRDefault="00045616" w:rsidP="00EF710E">
      <w:pPr>
        <w:pStyle w:val="SingleTxtG"/>
        <w:rPr>
          <w:shd w:val="clear" w:color="auto" w:fill="FFFFFF"/>
          <w:lang w:eastAsia="en-GB"/>
        </w:rPr>
      </w:pPr>
      <w:r>
        <w:rPr>
          <w:shd w:val="clear" w:color="auto" w:fill="FFFFFF"/>
          <w:lang w:eastAsia="en-GB"/>
        </w:rPr>
        <w:t>38</w:t>
      </w:r>
      <w:r w:rsidR="00856D86">
        <w:rPr>
          <w:shd w:val="clear" w:color="auto" w:fill="FFFFFF"/>
          <w:lang w:eastAsia="en-GB"/>
        </w:rPr>
        <w:t>.</w:t>
      </w:r>
      <w:r w:rsidR="00856D86">
        <w:rPr>
          <w:shd w:val="clear" w:color="auto" w:fill="FFFFFF"/>
          <w:lang w:eastAsia="en-GB"/>
        </w:rPr>
        <w:tab/>
      </w:r>
      <w:r w:rsidR="004F63B6">
        <w:rPr>
          <w:lang w:eastAsia="en-GB"/>
        </w:rPr>
        <w:t>A dominant approach in the c</w:t>
      </w:r>
      <w:r w:rsidR="004F63B6" w:rsidRPr="00730146">
        <w:rPr>
          <w:lang w:eastAsia="en-GB"/>
        </w:rPr>
        <w:t>urrent</w:t>
      </w:r>
      <w:r w:rsidR="004F63B6" w:rsidRPr="00730146">
        <w:rPr>
          <w:shd w:val="clear" w:color="auto" w:fill="FFFFFF"/>
          <w:lang w:eastAsia="en-GB"/>
        </w:rPr>
        <w:t xml:space="preserve"> business model</w:t>
      </w:r>
      <w:r w:rsidR="004F63B6" w:rsidRPr="393F8FC5">
        <w:rPr>
          <w:lang w:eastAsia="en-GB"/>
        </w:rPr>
        <w:t>s</w:t>
      </w:r>
      <w:r w:rsidR="004F63B6" w:rsidRPr="00730146">
        <w:rPr>
          <w:shd w:val="clear" w:color="auto" w:fill="FFFFFF"/>
          <w:lang w:eastAsia="en-GB"/>
        </w:rPr>
        <w:t xml:space="preserve"> </w:t>
      </w:r>
      <w:r w:rsidR="004F63B6">
        <w:rPr>
          <w:shd w:val="clear" w:color="auto" w:fill="FFFFFF"/>
          <w:lang w:eastAsia="en-GB"/>
        </w:rPr>
        <w:t xml:space="preserve">of most </w:t>
      </w:r>
      <w:r w:rsidR="00730146" w:rsidRPr="00730146">
        <w:rPr>
          <w:shd w:val="clear" w:color="auto" w:fill="FFFFFF"/>
          <w:lang w:eastAsia="en-GB"/>
        </w:rPr>
        <w:t>social media platforms encourage</w:t>
      </w:r>
      <w:r w:rsidR="00AD36DD">
        <w:rPr>
          <w:shd w:val="clear" w:color="auto" w:fill="FFFFFF"/>
          <w:lang w:eastAsia="en-GB"/>
        </w:rPr>
        <w:t>s</w:t>
      </w:r>
      <w:r w:rsidR="00730146" w:rsidRPr="00730146">
        <w:rPr>
          <w:shd w:val="clear" w:color="auto" w:fill="FFFFFF"/>
          <w:lang w:eastAsia="en-GB"/>
        </w:rPr>
        <w:t xml:space="preserve"> collecting personal data for commercial purposes, so that content and advertising can be more effectively tailored to individuals’ consumption patterns. This raises </w:t>
      </w:r>
      <w:proofErr w:type="gramStart"/>
      <w:r w:rsidR="00730146" w:rsidRPr="00730146">
        <w:rPr>
          <w:shd w:val="clear" w:color="auto" w:fill="FFFFFF"/>
          <w:lang w:eastAsia="en-GB"/>
        </w:rPr>
        <w:t>a number of</w:t>
      </w:r>
      <w:proofErr w:type="gramEnd"/>
      <w:r w:rsidR="00730146" w:rsidRPr="00730146">
        <w:rPr>
          <w:shd w:val="clear" w:color="auto" w:fill="FFFFFF"/>
          <w:lang w:eastAsia="en-GB"/>
        </w:rPr>
        <w:t xml:space="preserve"> privacy issues. Large platforms derive revenue from keeping users engaged </w:t>
      </w:r>
      <w:proofErr w:type="gramStart"/>
      <w:r w:rsidR="00730146" w:rsidRPr="00730146">
        <w:rPr>
          <w:shd w:val="clear" w:color="auto" w:fill="FFFFFF"/>
          <w:lang w:eastAsia="en-GB"/>
        </w:rPr>
        <w:t>as long as</w:t>
      </w:r>
      <w:proofErr w:type="gramEnd"/>
      <w:r w:rsidR="00730146" w:rsidRPr="00730146">
        <w:rPr>
          <w:shd w:val="clear" w:color="auto" w:fill="FFFFFF"/>
          <w:lang w:eastAsia="en-GB"/>
        </w:rPr>
        <w:t xml:space="preserve"> possible so that they can show them more advertisements. The use of predictive algorithms leads to the personalization </w:t>
      </w:r>
      <w:r w:rsidR="00730146" w:rsidRPr="00730146">
        <w:rPr>
          <w:shd w:val="clear" w:color="auto" w:fill="FFFFFF"/>
          <w:lang w:val="en-US" w:eastAsia="en-GB"/>
        </w:rPr>
        <w:t xml:space="preserve">of </w:t>
      </w:r>
      <w:r w:rsidR="00730146" w:rsidRPr="00730146">
        <w:rPr>
          <w:shd w:val="clear" w:color="auto" w:fill="FFFFFF"/>
          <w:lang w:eastAsia="en-GB"/>
        </w:rPr>
        <w:t xml:space="preserve">content displayed, </w:t>
      </w:r>
      <w:r w:rsidR="004F63B6" w:rsidRPr="004C569F">
        <w:rPr>
          <w:shd w:val="clear" w:color="auto" w:fill="FFFFFF"/>
          <w:lang w:eastAsia="en-GB"/>
        </w:rPr>
        <w:t xml:space="preserve">including by </w:t>
      </w:r>
      <w:r w:rsidR="00B31CB8" w:rsidRPr="00BD3F1E">
        <w:rPr>
          <w:shd w:val="clear" w:color="auto" w:fill="FFFFFF"/>
          <w:lang w:eastAsia="en-GB"/>
        </w:rPr>
        <w:t xml:space="preserve">proposing </w:t>
      </w:r>
      <w:r w:rsidR="00730146" w:rsidRPr="004C569F">
        <w:rPr>
          <w:shd w:val="clear" w:color="auto" w:fill="FFFFFF"/>
          <w:lang w:eastAsia="en-GB"/>
        </w:rPr>
        <w:t xml:space="preserve">similar content and exposing a user to less diverse information. </w:t>
      </w:r>
      <w:r w:rsidR="00FA7183" w:rsidRPr="004C569F">
        <w:rPr>
          <w:shd w:val="clear" w:color="auto" w:fill="FFFFFF"/>
          <w:lang w:eastAsia="en-GB"/>
        </w:rPr>
        <w:t>Such business model</w:t>
      </w:r>
      <w:r w:rsidR="00DD3E75" w:rsidRPr="004C569F">
        <w:rPr>
          <w:shd w:val="clear" w:color="auto" w:fill="FFFFFF"/>
          <w:lang w:eastAsia="en-GB"/>
        </w:rPr>
        <w:t>s</w:t>
      </w:r>
      <w:r w:rsidR="00395C76" w:rsidRPr="004C569F">
        <w:rPr>
          <w:shd w:val="clear" w:color="auto" w:fill="FFFFFF"/>
          <w:lang w:eastAsia="en-GB"/>
        </w:rPr>
        <w:t>,</w:t>
      </w:r>
      <w:r w:rsidR="00DD3E75" w:rsidRPr="004C569F">
        <w:rPr>
          <w:shd w:val="clear" w:color="auto" w:fill="FFFFFF"/>
          <w:lang w:eastAsia="en-GB"/>
        </w:rPr>
        <w:t xml:space="preserve"> if left unchecked</w:t>
      </w:r>
      <w:r w:rsidR="001853CC" w:rsidRPr="004C569F">
        <w:rPr>
          <w:shd w:val="clear" w:color="auto" w:fill="FFFFFF"/>
          <w:lang w:eastAsia="en-GB"/>
        </w:rPr>
        <w:t>,</w:t>
      </w:r>
      <w:r w:rsidR="00DD3E75" w:rsidRPr="004C569F">
        <w:rPr>
          <w:shd w:val="clear" w:color="auto" w:fill="FFFFFF"/>
          <w:lang w:eastAsia="en-GB"/>
        </w:rPr>
        <w:t xml:space="preserve"> </w:t>
      </w:r>
      <w:r w:rsidR="00FA7183" w:rsidRPr="004C569F">
        <w:rPr>
          <w:shd w:val="clear" w:color="auto" w:fill="FFFFFF"/>
          <w:lang w:eastAsia="en-GB"/>
        </w:rPr>
        <w:t xml:space="preserve">risk incentivizing divisive, misleading, </w:t>
      </w:r>
      <w:proofErr w:type="gramStart"/>
      <w:r w:rsidR="00FA7183" w:rsidRPr="004C569F">
        <w:rPr>
          <w:shd w:val="clear" w:color="auto" w:fill="FFFFFF"/>
          <w:lang w:eastAsia="en-GB"/>
        </w:rPr>
        <w:t>hateful</w:t>
      </w:r>
      <w:proofErr w:type="gramEnd"/>
      <w:r w:rsidR="00FA7183" w:rsidRPr="004C569F">
        <w:rPr>
          <w:shd w:val="clear" w:color="auto" w:fill="FFFFFF"/>
          <w:lang w:eastAsia="en-GB"/>
        </w:rPr>
        <w:t xml:space="preserve"> and violent</w:t>
      </w:r>
      <w:r w:rsidR="00FA7183" w:rsidRPr="00730146">
        <w:rPr>
          <w:shd w:val="clear" w:color="auto" w:fill="FFFFFF"/>
          <w:lang w:eastAsia="en-GB"/>
        </w:rPr>
        <w:t xml:space="preserve"> content</w:t>
      </w:r>
      <w:r w:rsidR="00FA7183">
        <w:rPr>
          <w:shd w:val="clear" w:color="auto" w:fill="FFFFFF"/>
          <w:lang w:eastAsia="en-GB"/>
        </w:rPr>
        <w:t xml:space="preserve"> by exacerbating expos</w:t>
      </w:r>
      <w:r w:rsidR="008E7633">
        <w:rPr>
          <w:shd w:val="clear" w:color="auto" w:fill="FFFFFF"/>
          <w:lang w:eastAsia="en-GB"/>
        </w:rPr>
        <w:t>ur</w:t>
      </w:r>
      <w:r w:rsidR="00FA7183">
        <w:rPr>
          <w:shd w:val="clear" w:color="auto" w:fill="FFFFFF"/>
          <w:lang w:eastAsia="en-GB"/>
        </w:rPr>
        <w:t>e to hate and limiting exposure to other sources of information that may counter such narratives</w:t>
      </w:r>
      <w:r w:rsidR="00FA7183" w:rsidRPr="00730146">
        <w:rPr>
          <w:shd w:val="clear" w:color="auto" w:fill="FFFFFF"/>
          <w:lang w:eastAsia="en-GB"/>
        </w:rPr>
        <w:t>.</w:t>
      </w:r>
      <w:r w:rsidR="00A429B8">
        <w:rPr>
          <w:rStyle w:val="FootnoteReference"/>
          <w:shd w:val="clear" w:color="auto" w:fill="FFFFFF"/>
          <w:lang w:eastAsia="en-GB"/>
        </w:rPr>
        <w:footnoteReference w:id="32"/>
      </w:r>
      <w:r w:rsidR="00FA7183" w:rsidRPr="00730146">
        <w:rPr>
          <w:shd w:val="clear" w:color="auto" w:fill="FFFFFF"/>
          <w:lang w:eastAsia="en-GB"/>
        </w:rPr>
        <w:t xml:space="preserve"> </w:t>
      </w:r>
    </w:p>
    <w:p w14:paraId="4936F695" w14:textId="14A2784A" w:rsidR="00730146" w:rsidRPr="00EF710E" w:rsidRDefault="00EF710E" w:rsidP="00EF710E">
      <w:pPr>
        <w:pStyle w:val="H1G"/>
        <w:rPr>
          <w:rFonts w:eastAsia="Calibri"/>
          <w:bCs/>
          <w:lang w:val="en-US"/>
        </w:rPr>
      </w:pPr>
      <w:r>
        <w:rPr>
          <w:rFonts w:eastAsia="Calibri"/>
          <w:bCs/>
          <w:lang w:val="en-US"/>
        </w:rPr>
        <w:lastRenderedPageBreak/>
        <w:tab/>
        <w:t>D.</w:t>
      </w:r>
      <w:r>
        <w:rPr>
          <w:rFonts w:eastAsia="Calibri"/>
          <w:bCs/>
          <w:lang w:val="en-US"/>
        </w:rPr>
        <w:tab/>
      </w:r>
      <w:r w:rsidR="00730146" w:rsidRPr="00730146">
        <w:rPr>
          <w:rFonts w:eastAsia="Calibri"/>
          <w:bCs/>
          <w:lang w:val="en-US"/>
        </w:rPr>
        <w:t>Emerging technologies and risks - artificial intelligence</w:t>
      </w:r>
    </w:p>
    <w:p w14:paraId="483328DD" w14:textId="0333503E" w:rsidR="00730146" w:rsidRPr="00730146" w:rsidRDefault="00045616" w:rsidP="004D2F6D">
      <w:pPr>
        <w:pStyle w:val="SingleTxtG"/>
        <w:rPr>
          <w:lang w:eastAsia="en-GB"/>
        </w:rPr>
      </w:pPr>
      <w:r>
        <w:rPr>
          <w:lang w:eastAsia="en-GB"/>
        </w:rPr>
        <w:t>39</w:t>
      </w:r>
      <w:r w:rsidR="00856D86">
        <w:rPr>
          <w:lang w:eastAsia="en-GB"/>
        </w:rPr>
        <w:t>.</w:t>
      </w:r>
      <w:r w:rsidR="00856D86">
        <w:tab/>
      </w:r>
      <w:r w:rsidR="00730146" w:rsidRPr="00730146">
        <w:rPr>
          <w:lang w:eastAsia="en-GB"/>
        </w:rPr>
        <w:t xml:space="preserve">Artificial intelligence (AI) technologies </w:t>
      </w:r>
      <w:r w:rsidR="602BB440" w:rsidRPr="393F8FC5">
        <w:rPr>
          <w:lang w:eastAsia="en-GB"/>
        </w:rPr>
        <w:t xml:space="preserve">can </w:t>
      </w:r>
      <w:r w:rsidR="00730146" w:rsidRPr="00730146">
        <w:rPr>
          <w:lang w:eastAsia="en-GB"/>
        </w:rPr>
        <w:t>enable increase</w:t>
      </w:r>
      <w:r w:rsidR="00AC54D6">
        <w:rPr>
          <w:lang w:eastAsia="en-GB"/>
        </w:rPr>
        <w:t>d</w:t>
      </w:r>
      <w:r w:rsidR="00730146" w:rsidRPr="00730146">
        <w:rPr>
          <w:lang w:eastAsia="en-GB"/>
        </w:rPr>
        <w:t xml:space="preserve"> efficiency and operating systems at a large scale</w:t>
      </w:r>
      <w:r w:rsidR="00B135D9">
        <w:rPr>
          <w:lang w:eastAsia="en-GB"/>
        </w:rPr>
        <w:t>.</w:t>
      </w:r>
    </w:p>
    <w:p w14:paraId="18899158" w14:textId="30606768" w:rsidR="00730146" w:rsidRPr="004D2F6D" w:rsidRDefault="00856D86" w:rsidP="00AC602E">
      <w:pPr>
        <w:pStyle w:val="SingleTxtG"/>
        <w:rPr>
          <w:lang w:eastAsia="en-GB"/>
        </w:rPr>
      </w:pPr>
      <w:r>
        <w:rPr>
          <w:lang w:eastAsia="en-GB"/>
        </w:rPr>
        <w:t>4</w:t>
      </w:r>
      <w:r w:rsidR="00045616">
        <w:rPr>
          <w:lang w:eastAsia="en-GB"/>
        </w:rPr>
        <w:t>0</w:t>
      </w:r>
      <w:r>
        <w:rPr>
          <w:lang w:eastAsia="en-GB"/>
        </w:rPr>
        <w:t>.</w:t>
      </w:r>
      <w:r>
        <w:rPr>
          <w:lang w:eastAsia="en-GB"/>
        </w:rPr>
        <w:tab/>
      </w:r>
      <w:r w:rsidR="00730146" w:rsidRPr="00730146">
        <w:rPr>
          <w:lang w:eastAsia="en-GB"/>
        </w:rPr>
        <w:t xml:space="preserve">Predictive analytics and other forms of artificial intelligence are </w:t>
      </w:r>
      <w:r w:rsidR="00225B7B">
        <w:rPr>
          <w:lang w:eastAsia="en-GB"/>
        </w:rPr>
        <w:t xml:space="preserve">prone </w:t>
      </w:r>
      <w:proofErr w:type="gramStart"/>
      <w:r w:rsidR="00225B7B">
        <w:rPr>
          <w:lang w:eastAsia="en-GB"/>
        </w:rPr>
        <w:t>to</w:t>
      </w:r>
      <w:r w:rsidR="00220A09" w:rsidRPr="00730146">
        <w:rPr>
          <w:lang w:eastAsia="en-GB"/>
        </w:rPr>
        <w:t xml:space="preserve"> </w:t>
      </w:r>
      <w:r w:rsidR="00730146" w:rsidRPr="00730146">
        <w:rPr>
          <w:lang w:eastAsia="en-GB"/>
        </w:rPr>
        <w:t xml:space="preserve"> reproduc</w:t>
      </w:r>
      <w:r w:rsidR="00E16E62">
        <w:rPr>
          <w:lang w:eastAsia="en-GB"/>
        </w:rPr>
        <w:t>ing</w:t>
      </w:r>
      <w:proofErr w:type="gramEnd"/>
      <w:r w:rsidR="00730146" w:rsidRPr="00730146">
        <w:rPr>
          <w:lang w:eastAsia="en-GB"/>
        </w:rPr>
        <w:t xml:space="preserve"> and exacerbat</w:t>
      </w:r>
      <w:r w:rsidR="00E16E62">
        <w:rPr>
          <w:lang w:eastAsia="en-GB"/>
        </w:rPr>
        <w:t>ing</w:t>
      </w:r>
      <w:r w:rsidR="00730146" w:rsidRPr="00730146">
        <w:rPr>
          <w:lang w:eastAsia="en-GB"/>
        </w:rPr>
        <w:t xml:space="preserve"> biases reflected in existing algorithms, data and policies and lead</w:t>
      </w:r>
      <w:r w:rsidR="00B41416">
        <w:rPr>
          <w:lang w:eastAsia="en-GB"/>
        </w:rPr>
        <w:t>ing</w:t>
      </w:r>
      <w:r w:rsidR="00730146" w:rsidRPr="00730146">
        <w:rPr>
          <w:lang w:eastAsia="en-GB"/>
        </w:rPr>
        <w:t xml:space="preserve"> to discrimination based on race, gender, religion, sexual orientation or nationality.</w:t>
      </w:r>
      <w:r w:rsidR="00730146" w:rsidRPr="393F8FC5">
        <w:rPr>
          <w:sz w:val="18"/>
          <w:szCs w:val="18"/>
          <w:vertAlign w:val="superscript"/>
          <w:lang w:eastAsia="en-GB"/>
        </w:rPr>
        <w:footnoteReference w:id="33"/>
      </w:r>
      <w:r w:rsidR="009E22A0">
        <w:rPr>
          <w:lang w:eastAsia="en-GB"/>
        </w:rPr>
        <w:t xml:space="preserve"> </w:t>
      </w:r>
      <w:r w:rsidR="00730146" w:rsidRPr="00730146">
        <w:rPr>
          <w:lang w:eastAsia="en-GB"/>
        </w:rPr>
        <w:t>Gaps in the data on which AI models are trained can likewise automate existing patterns of discrimination, which can have profound real-life consequences when such systems are used to make decisions.</w:t>
      </w:r>
      <w:r w:rsidR="00730146" w:rsidRPr="393F8FC5">
        <w:rPr>
          <w:sz w:val="18"/>
          <w:szCs w:val="18"/>
          <w:vertAlign w:val="superscript"/>
          <w:lang w:eastAsia="en-GB"/>
        </w:rPr>
        <w:footnoteReference w:id="34"/>
      </w:r>
      <w:r w:rsidR="00730146" w:rsidRPr="00730146">
        <w:rPr>
          <w:lang w:eastAsia="en-GB"/>
        </w:rPr>
        <w:t xml:space="preserve">  </w:t>
      </w:r>
    </w:p>
    <w:p w14:paraId="51F60CAB" w14:textId="41300A37" w:rsidR="00730146" w:rsidRPr="0093253C" w:rsidRDefault="00856D86" w:rsidP="0093253C">
      <w:pPr>
        <w:pStyle w:val="SingleTxtG"/>
        <w:rPr>
          <w:lang w:eastAsia="en-GB"/>
        </w:rPr>
      </w:pPr>
      <w:r>
        <w:rPr>
          <w:lang w:eastAsia="en-GB"/>
        </w:rPr>
        <w:t>4</w:t>
      </w:r>
      <w:r w:rsidR="00045616">
        <w:rPr>
          <w:lang w:eastAsia="en-GB"/>
        </w:rPr>
        <w:t>1</w:t>
      </w:r>
      <w:r>
        <w:rPr>
          <w:lang w:eastAsia="en-GB"/>
        </w:rPr>
        <w:t>.</w:t>
      </w:r>
      <w:r>
        <w:rPr>
          <w:lang w:eastAsia="en-GB"/>
        </w:rPr>
        <w:tab/>
      </w:r>
      <w:r w:rsidR="00730146" w:rsidRPr="00730146">
        <w:rPr>
          <w:lang w:eastAsia="en-GB"/>
        </w:rPr>
        <w:t>Facial recognition, used remotely in public places for surveillance, by law enforcement and border management, and increasingly for commercial purposes</w:t>
      </w:r>
      <w:r w:rsidR="006E4D99">
        <w:rPr>
          <w:lang w:eastAsia="en-GB"/>
        </w:rPr>
        <w:t>,</w:t>
      </w:r>
      <w:r w:rsidR="00730146" w:rsidRPr="00730146">
        <w:rPr>
          <w:lang w:eastAsia="en-GB"/>
        </w:rPr>
        <w:t xml:space="preserve"> and without the knowledge of the individual, raises </w:t>
      </w:r>
      <w:proofErr w:type="gramStart"/>
      <w:r w:rsidR="00730146" w:rsidRPr="00730146">
        <w:rPr>
          <w:lang w:eastAsia="en-GB"/>
        </w:rPr>
        <w:t xml:space="preserve">a number </w:t>
      </w:r>
      <w:r w:rsidR="008A7129">
        <w:rPr>
          <w:lang w:eastAsia="en-GB"/>
        </w:rPr>
        <w:t>of</w:t>
      </w:r>
      <w:proofErr w:type="gramEnd"/>
      <w:r w:rsidR="008A7129">
        <w:rPr>
          <w:lang w:eastAsia="en-GB"/>
        </w:rPr>
        <w:t xml:space="preserve"> </w:t>
      </w:r>
      <w:r w:rsidR="00730146" w:rsidRPr="00730146">
        <w:rPr>
          <w:lang w:eastAsia="en-GB"/>
        </w:rPr>
        <w:t xml:space="preserve">human rights concerns. </w:t>
      </w:r>
      <w:r w:rsidR="00112F21">
        <w:rPr>
          <w:lang w:eastAsia="en-GB"/>
        </w:rPr>
        <w:t xml:space="preserve">Real-time tracking and identification </w:t>
      </w:r>
      <w:r w:rsidR="00112F21" w:rsidRPr="00730146">
        <w:rPr>
          <w:lang w:eastAsia="en-GB"/>
        </w:rPr>
        <w:t>carr</w:t>
      </w:r>
      <w:r w:rsidR="00777139">
        <w:rPr>
          <w:lang w:eastAsia="en-GB"/>
        </w:rPr>
        <w:t>y</w:t>
      </w:r>
      <w:r w:rsidR="00112F21" w:rsidRPr="00730146">
        <w:rPr>
          <w:lang w:eastAsia="en-GB"/>
        </w:rPr>
        <w:t xml:space="preserve"> the risk of individuals and communities </w:t>
      </w:r>
      <w:r w:rsidR="00112F21">
        <w:rPr>
          <w:lang w:eastAsia="en-GB"/>
        </w:rPr>
        <w:t xml:space="preserve">being targeted </w:t>
      </w:r>
      <w:proofErr w:type="gramStart"/>
      <w:r w:rsidR="00112F21">
        <w:rPr>
          <w:lang w:eastAsia="en-GB"/>
        </w:rPr>
        <w:t xml:space="preserve">on the </w:t>
      </w:r>
      <w:r w:rsidR="00112F21" w:rsidRPr="00730146">
        <w:rPr>
          <w:lang w:eastAsia="en-GB"/>
        </w:rPr>
        <w:t>bas</w:t>
      </w:r>
      <w:r w:rsidR="005B1DD4">
        <w:rPr>
          <w:lang w:eastAsia="en-GB"/>
        </w:rPr>
        <w:t>is</w:t>
      </w:r>
      <w:r w:rsidR="00112F21" w:rsidRPr="00730146">
        <w:rPr>
          <w:lang w:eastAsia="en-GB"/>
        </w:rPr>
        <w:t xml:space="preserve"> o</w:t>
      </w:r>
      <w:r w:rsidR="00112F21">
        <w:rPr>
          <w:lang w:eastAsia="en-GB"/>
        </w:rPr>
        <w:t>f</w:t>
      </w:r>
      <w:proofErr w:type="gramEnd"/>
      <w:r w:rsidR="00112F21" w:rsidRPr="00730146">
        <w:rPr>
          <w:lang w:eastAsia="en-GB"/>
        </w:rPr>
        <w:t xml:space="preserve"> their identity. </w:t>
      </w:r>
      <w:r w:rsidR="00730146" w:rsidRPr="00730146">
        <w:rPr>
          <w:lang w:eastAsia="en-GB"/>
        </w:rPr>
        <w:t xml:space="preserve">Another critical aspect of facial recognition is its reliability and accuracy. Studies on demographic effects in facial identification revealed that false positive rates widely varied across demographics, with highest false positive rates for people of African and East Asian origin; </w:t>
      </w:r>
      <w:r w:rsidR="00304741">
        <w:rPr>
          <w:lang w:eastAsia="en-GB"/>
        </w:rPr>
        <w:t>an</w:t>
      </w:r>
      <w:r w:rsidR="009373AB">
        <w:rPr>
          <w:lang w:eastAsia="en-GB"/>
        </w:rPr>
        <w:t xml:space="preserve">d </w:t>
      </w:r>
      <w:r w:rsidR="00730146" w:rsidRPr="00730146">
        <w:rPr>
          <w:lang w:eastAsia="en-GB"/>
        </w:rPr>
        <w:t>media have reported that the analysis of three commercial gender-classification systems of facial analysis algorithms showed that women of colour were the most misclassified group.</w:t>
      </w:r>
      <w:r w:rsidR="0030370B">
        <w:rPr>
          <w:rStyle w:val="FootnoteReference"/>
          <w:lang w:eastAsia="en-GB"/>
        </w:rPr>
        <w:footnoteReference w:id="35"/>
      </w:r>
      <w:r w:rsidR="00730146" w:rsidRPr="00730146">
        <w:rPr>
          <w:lang w:eastAsia="en-GB"/>
        </w:rPr>
        <w:t xml:space="preserve"> </w:t>
      </w:r>
      <w:r w:rsidR="00C9688C" w:rsidRPr="00C9688C">
        <w:rPr>
          <w:lang w:eastAsia="en-GB"/>
        </w:rPr>
        <w:t xml:space="preserve"> </w:t>
      </w:r>
    </w:p>
    <w:p w14:paraId="21C8A014" w14:textId="14F725CB" w:rsidR="00730146" w:rsidRPr="0093253C" w:rsidRDefault="0093253C" w:rsidP="0093253C">
      <w:pPr>
        <w:pStyle w:val="H1G"/>
        <w:rPr>
          <w:rFonts w:eastAsia="Calibri"/>
          <w:lang w:val="en-US"/>
        </w:rPr>
      </w:pPr>
      <w:r>
        <w:rPr>
          <w:rFonts w:eastAsia="Calibri"/>
        </w:rPr>
        <w:tab/>
        <w:t>E.</w:t>
      </w:r>
      <w:r>
        <w:rPr>
          <w:rFonts w:eastAsia="Calibri"/>
        </w:rPr>
        <w:tab/>
      </w:r>
      <w:r w:rsidR="00730146" w:rsidRPr="00730146">
        <w:rPr>
          <w:rFonts w:eastAsia="Calibri"/>
          <w:lang w:val="en-US"/>
        </w:rPr>
        <w:t>Impact of technologies on women, minorities, and marginalized communities</w:t>
      </w:r>
    </w:p>
    <w:p w14:paraId="4AB4C043" w14:textId="315EE7AF" w:rsidR="00730146" w:rsidRPr="006E4D99" w:rsidRDefault="00856D86" w:rsidP="006E4D99">
      <w:pPr>
        <w:pStyle w:val="SingleTxtG"/>
        <w:rPr>
          <w:lang w:val="en-US" w:eastAsia="en-GB"/>
        </w:rPr>
      </w:pPr>
      <w:r>
        <w:rPr>
          <w:lang w:val="en-US" w:eastAsia="en-GB"/>
        </w:rPr>
        <w:t>4</w:t>
      </w:r>
      <w:r w:rsidR="00045616">
        <w:rPr>
          <w:lang w:val="en-US" w:eastAsia="en-GB"/>
        </w:rPr>
        <w:t>2</w:t>
      </w:r>
      <w:r>
        <w:rPr>
          <w:lang w:val="en-US" w:eastAsia="en-GB"/>
        </w:rPr>
        <w:t>.</w:t>
      </w:r>
      <w:r>
        <w:rPr>
          <w:lang w:val="en-US" w:eastAsia="en-GB"/>
        </w:rPr>
        <w:tab/>
      </w:r>
      <w:r w:rsidR="00730146" w:rsidRPr="00730146">
        <w:rPr>
          <w:lang w:val="en-US" w:eastAsia="en-GB"/>
        </w:rPr>
        <w:t xml:space="preserve">Studies show that the adverse impacts of digital technologies on human rights disproportionately affect certain population groups, deepening inequalities and discrimination, and fueling </w:t>
      </w:r>
      <w:r w:rsidR="00730146" w:rsidRPr="00730146">
        <w:rPr>
          <w:lang w:eastAsia="en-GB"/>
        </w:rPr>
        <w:t>bias</w:t>
      </w:r>
      <w:r w:rsidR="00056C49">
        <w:rPr>
          <w:lang w:val="en-US" w:eastAsia="en-GB"/>
        </w:rPr>
        <w:t>:</w:t>
      </w:r>
    </w:p>
    <w:p w14:paraId="31FE4959" w14:textId="703510F0" w:rsidR="00730146" w:rsidRPr="004D2F6D" w:rsidRDefault="00856D86" w:rsidP="004D2F6D">
      <w:pPr>
        <w:pStyle w:val="SingleTxtG"/>
        <w:rPr>
          <w:lang w:eastAsia="en-GB"/>
        </w:rPr>
      </w:pPr>
      <w:r>
        <w:rPr>
          <w:lang w:eastAsia="en-GB"/>
        </w:rPr>
        <w:t>4</w:t>
      </w:r>
      <w:r w:rsidR="00045616">
        <w:rPr>
          <w:lang w:eastAsia="en-GB"/>
        </w:rPr>
        <w:t>3</w:t>
      </w:r>
      <w:r>
        <w:rPr>
          <w:lang w:eastAsia="en-GB"/>
        </w:rPr>
        <w:t>.</w:t>
      </w:r>
      <w:r>
        <w:rPr>
          <w:lang w:eastAsia="en-GB"/>
        </w:rPr>
        <w:tab/>
      </w:r>
      <w:r w:rsidR="00730146" w:rsidRPr="00730146">
        <w:rPr>
          <w:lang w:eastAsia="en-GB"/>
        </w:rPr>
        <w:t xml:space="preserve">Women are disproportionately targeted by hate speech and suffer disproportionately serious consequences, in particular women human rights defenders, journalists and politicians, women with disabilities, lesbian, bisexual and transgender women, indigenous </w:t>
      </w:r>
      <w:proofErr w:type="gramStart"/>
      <w:r w:rsidR="00730146" w:rsidRPr="00730146">
        <w:rPr>
          <w:lang w:eastAsia="en-GB"/>
        </w:rPr>
        <w:t>women</w:t>
      </w:r>
      <w:proofErr w:type="gramEnd"/>
      <w:r w:rsidR="00730146" w:rsidRPr="00730146">
        <w:rPr>
          <w:lang w:eastAsia="en-GB"/>
        </w:rPr>
        <w:t xml:space="preserve"> and women belonging to ethnic minorities and </w:t>
      </w:r>
      <w:r w:rsidR="00F75F4E">
        <w:rPr>
          <w:lang w:eastAsia="en-GB"/>
        </w:rPr>
        <w:t xml:space="preserve">other </w:t>
      </w:r>
      <w:r w:rsidR="00F75F4E" w:rsidRPr="00730146">
        <w:rPr>
          <w:lang w:eastAsia="en-GB"/>
        </w:rPr>
        <w:t>marginali</w:t>
      </w:r>
      <w:r w:rsidR="00F75F4E">
        <w:rPr>
          <w:lang w:eastAsia="en-GB"/>
        </w:rPr>
        <w:t>z</w:t>
      </w:r>
      <w:r w:rsidR="00F75F4E" w:rsidRPr="00730146">
        <w:rPr>
          <w:lang w:eastAsia="en-GB"/>
        </w:rPr>
        <w:t xml:space="preserve">ed </w:t>
      </w:r>
      <w:r w:rsidR="00730146" w:rsidRPr="00730146">
        <w:rPr>
          <w:lang w:eastAsia="en-GB"/>
        </w:rPr>
        <w:t>groups.</w:t>
      </w:r>
      <w:r w:rsidR="00730146" w:rsidRPr="00730146">
        <w:rPr>
          <w:sz w:val="18"/>
          <w:vertAlign w:val="superscript"/>
          <w:lang w:eastAsia="en-GB"/>
        </w:rPr>
        <w:footnoteReference w:id="36"/>
      </w:r>
      <w:r w:rsidR="00730146" w:rsidRPr="00730146">
        <w:rPr>
          <w:lang w:eastAsia="en-GB"/>
        </w:rPr>
        <w:t xml:space="preserve">  </w:t>
      </w:r>
    </w:p>
    <w:p w14:paraId="4B00E21F" w14:textId="3ED7C358" w:rsidR="00730146" w:rsidRPr="00730146" w:rsidRDefault="00856D86" w:rsidP="004D2F6D">
      <w:pPr>
        <w:pStyle w:val="SingleTxtG"/>
        <w:rPr>
          <w:lang w:val="en-US" w:eastAsia="en-GB"/>
        </w:rPr>
      </w:pPr>
      <w:r>
        <w:rPr>
          <w:lang w:eastAsia="en-GB"/>
        </w:rPr>
        <w:t>4</w:t>
      </w:r>
      <w:r w:rsidR="00045616">
        <w:rPr>
          <w:lang w:eastAsia="en-GB"/>
        </w:rPr>
        <w:t>4</w:t>
      </w:r>
      <w:r>
        <w:rPr>
          <w:lang w:eastAsia="en-GB"/>
        </w:rPr>
        <w:t>.</w:t>
      </w:r>
      <w:r>
        <w:rPr>
          <w:lang w:eastAsia="en-GB"/>
        </w:rPr>
        <w:tab/>
      </w:r>
      <w:r w:rsidR="00730146" w:rsidRPr="00730146">
        <w:rPr>
          <w:lang w:eastAsia="en-GB"/>
        </w:rPr>
        <w:t>According to the Special Rapporteur on minorities, where disaggregated data is available, approximately 70 per cent of those targeted by online hate violence belong to minorities, including Roma, Dalits, persons of African descent, migrants, and refugees. Antisemitism, Islamophobia and targeting of religious minorities are also on the rise.</w:t>
      </w:r>
      <w:r w:rsidR="00730146" w:rsidRPr="00730146">
        <w:rPr>
          <w:sz w:val="18"/>
          <w:vertAlign w:val="superscript"/>
          <w:lang w:eastAsia="en-GB"/>
        </w:rPr>
        <w:footnoteReference w:id="37"/>
      </w:r>
      <w:r w:rsidR="00730146" w:rsidRPr="00730146">
        <w:rPr>
          <w:lang w:eastAsia="en-GB"/>
        </w:rPr>
        <w:t xml:space="preserve"> </w:t>
      </w:r>
      <w:r w:rsidR="00730146" w:rsidRPr="00730146">
        <w:rPr>
          <w:lang w:val="en-US" w:eastAsia="en-GB"/>
        </w:rPr>
        <w:t xml:space="preserve"> </w:t>
      </w:r>
      <w:r w:rsidR="00730146" w:rsidRPr="00730146">
        <w:rPr>
          <w:rFonts w:eastAsia="Calibri"/>
          <w:lang w:val="en-US"/>
        </w:rPr>
        <w:t xml:space="preserve">  </w:t>
      </w:r>
    </w:p>
    <w:p w14:paraId="313BE9D9" w14:textId="5B9635B0" w:rsidR="00730146" w:rsidRPr="0093253C" w:rsidRDefault="00856D86" w:rsidP="0093253C">
      <w:pPr>
        <w:pStyle w:val="SingleTxtG"/>
        <w:rPr>
          <w:lang w:val="en-US" w:eastAsia="en-GB"/>
        </w:rPr>
      </w:pPr>
      <w:r>
        <w:rPr>
          <w:lang w:eastAsia="en-GB"/>
        </w:rPr>
        <w:t>4</w:t>
      </w:r>
      <w:r w:rsidR="00045616">
        <w:rPr>
          <w:lang w:eastAsia="en-GB"/>
        </w:rPr>
        <w:t>5</w:t>
      </w:r>
      <w:r>
        <w:rPr>
          <w:lang w:eastAsia="en-GB"/>
        </w:rPr>
        <w:t>.</w:t>
      </w:r>
      <w:r>
        <w:rPr>
          <w:lang w:eastAsia="en-GB"/>
        </w:rPr>
        <w:tab/>
      </w:r>
      <w:r w:rsidR="00730146" w:rsidRPr="00730146">
        <w:rPr>
          <w:lang w:eastAsia="en-GB"/>
        </w:rPr>
        <w:t xml:space="preserve">In the digital era, the ability to obtain timely information, to communicate with others and access social services is becoming increasingly dependent on access to the Internet.  Affordable and reliable connection and education on the use of the Internet is therefore paramount in prevention efforts. According to </w:t>
      </w:r>
      <w:r w:rsidR="0029162C">
        <w:rPr>
          <w:lang w:eastAsia="en-GB"/>
        </w:rPr>
        <w:t xml:space="preserve">the </w:t>
      </w:r>
      <w:r w:rsidR="0029162C" w:rsidRPr="0029162C">
        <w:rPr>
          <w:lang w:eastAsia="en-GB"/>
        </w:rPr>
        <w:t>International Telecommunication Union</w:t>
      </w:r>
      <w:r w:rsidR="00730146" w:rsidRPr="00730146">
        <w:rPr>
          <w:lang w:eastAsia="en-GB"/>
        </w:rPr>
        <w:t xml:space="preserve"> </w:t>
      </w:r>
      <w:r w:rsidR="009B00DF">
        <w:rPr>
          <w:lang w:eastAsia="en-GB"/>
        </w:rPr>
        <w:t xml:space="preserve">around </w:t>
      </w:r>
      <w:r w:rsidR="00730146" w:rsidRPr="00730146">
        <w:rPr>
          <w:lang w:eastAsia="en-GB"/>
        </w:rPr>
        <w:t xml:space="preserve">90 per cent of the population of developed countries are online and only 36 per cent in </w:t>
      </w:r>
      <w:r w:rsidR="00730146" w:rsidRPr="00730146">
        <w:rPr>
          <w:lang w:val="en-US" w:eastAsia="en-GB"/>
        </w:rPr>
        <w:t>L</w:t>
      </w:r>
      <w:r w:rsidR="00730146" w:rsidRPr="00730146">
        <w:rPr>
          <w:lang w:eastAsia="en-GB"/>
        </w:rPr>
        <w:t xml:space="preserve">east </w:t>
      </w:r>
      <w:r w:rsidR="00730146" w:rsidRPr="00730146">
        <w:rPr>
          <w:lang w:val="en-US" w:eastAsia="en-GB"/>
        </w:rPr>
        <w:t>D</w:t>
      </w:r>
      <w:proofErr w:type="spellStart"/>
      <w:r w:rsidR="00730146" w:rsidRPr="00730146">
        <w:rPr>
          <w:lang w:eastAsia="en-GB"/>
        </w:rPr>
        <w:t>eveloped</w:t>
      </w:r>
      <w:proofErr w:type="spellEnd"/>
      <w:r w:rsidR="00730146" w:rsidRPr="00730146">
        <w:rPr>
          <w:lang w:eastAsia="en-GB"/>
        </w:rPr>
        <w:t xml:space="preserve"> </w:t>
      </w:r>
      <w:r w:rsidR="00730146" w:rsidRPr="00730146">
        <w:rPr>
          <w:lang w:val="en-US" w:eastAsia="en-GB"/>
        </w:rPr>
        <w:t>C</w:t>
      </w:r>
      <w:proofErr w:type="spellStart"/>
      <w:r w:rsidR="00730146" w:rsidRPr="00730146">
        <w:rPr>
          <w:lang w:eastAsia="en-GB"/>
        </w:rPr>
        <w:t>ountries</w:t>
      </w:r>
      <w:proofErr w:type="spellEnd"/>
      <w:r w:rsidR="00730146" w:rsidRPr="00730146">
        <w:rPr>
          <w:lang w:val="en-US" w:eastAsia="en-GB"/>
        </w:rPr>
        <w:t xml:space="preserve">. </w:t>
      </w:r>
      <w:r w:rsidR="00730146" w:rsidRPr="393F8FC5">
        <w:rPr>
          <w:sz w:val="18"/>
          <w:szCs w:val="18"/>
          <w:vertAlign w:val="superscript"/>
          <w:lang w:eastAsia="en-GB"/>
        </w:rPr>
        <w:t xml:space="preserve"> </w:t>
      </w:r>
      <w:r w:rsidR="00730146" w:rsidRPr="00826E15">
        <w:rPr>
          <w:lang w:eastAsia="en-GB"/>
        </w:rPr>
        <w:t>Women account for an increasing share of the global offline population: in 2022, women outnumbered male non-users by 18 per cent, up from 11 per cent in 2019</w:t>
      </w:r>
      <w:r w:rsidR="00730146" w:rsidRPr="00730146">
        <w:rPr>
          <w:color w:val="212529"/>
          <w:shd w:val="clear" w:color="auto" w:fill="FFFFFF"/>
          <w:lang w:eastAsia="en-GB"/>
        </w:rPr>
        <w:t>.</w:t>
      </w:r>
      <w:r w:rsidR="00653280">
        <w:rPr>
          <w:rStyle w:val="FootnoteReference"/>
          <w:color w:val="212529"/>
          <w:shd w:val="clear" w:color="auto" w:fill="FFFFFF"/>
          <w:lang w:eastAsia="en-GB"/>
        </w:rPr>
        <w:footnoteReference w:id="38"/>
      </w:r>
      <w:r w:rsidR="00730146" w:rsidRPr="00730146">
        <w:rPr>
          <w:color w:val="212529"/>
          <w:shd w:val="clear" w:color="auto" w:fill="FFFFFF"/>
          <w:lang w:eastAsia="en-GB"/>
        </w:rPr>
        <w:t xml:space="preserve"> </w:t>
      </w:r>
    </w:p>
    <w:p w14:paraId="6CD91ADE" w14:textId="72C5E753" w:rsidR="00730146" w:rsidRPr="0093253C" w:rsidRDefault="0093253C" w:rsidP="0093253C">
      <w:pPr>
        <w:pStyle w:val="H1G"/>
        <w:rPr>
          <w:rFonts w:eastAsia="Calibri"/>
          <w:lang w:val="en-US"/>
        </w:rPr>
      </w:pPr>
      <w:r>
        <w:rPr>
          <w:rFonts w:eastAsia="Calibri"/>
          <w:lang w:val="en-US"/>
        </w:rPr>
        <w:lastRenderedPageBreak/>
        <w:tab/>
        <w:t>F.</w:t>
      </w:r>
      <w:r>
        <w:rPr>
          <w:rFonts w:eastAsia="Calibri"/>
          <w:lang w:val="en-US"/>
        </w:rPr>
        <w:tab/>
      </w:r>
      <w:r w:rsidR="00730146" w:rsidRPr="00730146">
        <w:rPr>
          <w:rFonts w:eastAsia="Calibri"/>
          <w:lang w:val="en-US"/>
        </w:rPr>
        <w:t>Use of new technologies to support early warning and accountability</w:t>
      </w:r>
    </w:p>
    <w:p w14:paraId="79B0C97F" w14:textId="2826E578" w:rsidR="00730146" w:rsidRPr="004D2F6D" w:rsidRDefault="00045616" w:rsidP="004D2F6D">
      <w:pPr>
        <w:pStyle w:val="SingleTxtG"/>
        <w:rPr>
          <w:lang w:val="en-US" w:eastAsia="en-GB"/>
        </w:rPr>
      </w:pPr>
      <w:r>
        <w:rPr>
          <w:lang w:eastAsia="en-GB"/>
        </w:rPr>
        <w:t>46</w:t>
      </w:r>
      <w:r w:rsidR="00856D86">
        <w:rPr>
          <w:lang w:eastAsia="en-GB"/>
        </w:rPr>
        <w:t>.</w:t>
      </w:r>
      <w:r w:rsidR="00856D86">
        <w:rPr>
          <w:lang w:eastAsia="en-GB"/>
        </w:rPr>
        <w:tab/>
      </w:r>
      <w:r w:rsidR="00730146" w:rsidRPr="00730146">
        <w:rPr>
          <w:lang w:eastAsia="en-GB"/>
        </w:rPr>
        <w:t xml:space="preserve">Digital technologies open a myriad of new opportunities to support prevention efforts, offering a wide array of tools, granting access to numerous resources, and facilitating the collection of evidence and </w:t>
      </w:r>
      <w:r w:rsidR="00730146" w:rsidRPr="00730146">
        <w:rPr>
          <w:lang w:val="en-US" w:eastAsia="en-GB"/>
        </w:rPr>
        <w:t xml:space="preserve">detection of precursory developments that could pose risks such as movements of troops or </w:t>
      </w:r>
      <w:r w:rsidR="00730146" w:rsidRPr="00730146">
        <w:rPr>
          <w:lang w:eastAsia="en-GB"/>
        </w:rPr>
        <w:t>refugee</w:t>
      </w:r>
      <w:r w:rsidR="00730146" w:rsidRPr="00730146">
        <w:rPr>
          <w:lang w:val="en-US" w:eastAsia="en-GB"/>
        </w:rPr>
        <w:t xml:space="preserve"> groups. At the same time, the use of technologies as predictive tools for early warning and accountability may carry risks, if developed and used without sufficient prevention of genocide and human rights safeguards. For example, AI systems relying on faulty or biased data can erroneously flag an individual as a perpetrator. </w:t>
      </w:r>
    </w:p>
    <w:p w14:paraId="3D36BEE7" w14:textId="6155997D" w:rsidR="00730146" w:rsidRPr="00730146" w:rsidRDefault="00045616" w:rsidP="004D2F6D">
      <w:pPr>
        <w:pStyle w:val="SingleTxtG"/>
        <w:rPr>
          <w:lang w:eastAsia="en-GB"/>
        </w:rPr>
      </w:pPr>
      <w:r>
        <w:rPr>
          <w:lang w:val="en-US" w:eastAsia="en-GB"/>
        </w:rPr>
        <w:t>47</w:t>
      </w:r>
      <w:r w:rsidR="00856D86">
        <w:rPr>
          <w:lang w:val="en-US" w:eastAsia="en-GB"/>
        </w:rPr>
        <w:t>.</w:t>
      </w:r>
      <w:r w:rsidR="00856D86">
        <w:rPr>
          <w:lang w:val="en-US" w:eastAsia="en-GB"/>
        </w:rPr>
        <w:tab/>
      </w:r>
      <w:r w:rsidR="00730146" w:rsidRPr="00730146">
        <w:rPr>
          <w:lang w:val="en-US" w:eastAsia="en-GB"/>
        </w:rPr>
        <w:t xml:space="preserve">The use of </w:t>
      </w:r>
      <w:proofErr w:type="gramStart"/>
      <w:r w:rsidR="008C418B">
        <w:rPr>
          <w:lang w:val="en-US" w:eastAsia="en-GB"/>
        </w:rPr>
        <w:t>o</w:t>
      </w:r>
      <w:r w:rsidR="00730146" w:rsidRPr="00730146">
        <w:rPr>
          <w:color w:val="111111"/>
          <w:shd w:val="clear" w:color="auto" w:fill="FFFFFF"/>
          <w:lang w:eastAsia="en-GB"/>
        </w:rPr>
        <w:t xml:space="preserve">pen </w:t>
      </w:r>
      <w:r w:rsidR="008C418B">
        <w:rPr>
          <w:color w:val="111111"/>
          <w:shd w:val="clear" w:color="auto" w:fill="FFFFFF"/>
          <w:lang w:eastAsia="en-GB"/>
        </w:rPr>
        <w:t>s</w:t>
      </w:r>
      <w:r w:rsidR="00730146" w:rsidRPr="00730146">
        <w:rPr>
          <w:color w:val="111111"/>
          <w:shd w:val="clear" w:color="auto" w:fill="FFFFFF"/>
          <w:lang w:eastAsia="en-GB"/>
        </w:rPr>
        <w:t>ource</w:t>
      </w:r>
      <w:proofErr w:type="gramEnd"/>
      <w:r w:rsidR="00730146" w:rsidRPr="00730146">
        <w:rPr>
          <w:color w:val="111111"/>
          <w:shd w:val="clear" w:color="auto" w:fill="FFFFFF"/>
          <w:lang w:eastAsia="en-GB"/>
        </w:rPr>
        <w:t xml:space="preserve"> </w:t>
      </w:r>
      <w:r w:rsidR="008C418B">
        <w:rPr>
          <w:color w:val="111111"/>
          <w:shd w:val="clear" w:color="auto" w:fill="FFFFFF"/>
          <w:lang w:eastAsia="en-GB"/>
        </w:rPr>
        <w:t>i</w:t>
      </w:r>
      <w:r w:rsidR="00730146" w:rsidRPr="00730146">
        <w:rPr>
          <w:color w:val="111111"/>
          <w:shd w:val="clear" w:color="auto" w:fill="FFFFFF"/>
          <w:lang w:eastAsia="en-GB"/>
        </w:rPr>
        <w:t>ntelligence, including social media content, satellite imagery and geolocation, has increasingly gained traction in human rights investigations. The</w:t>
      </w:r>
      <w:r w:rsidR="00730146" w:rsidRPr="00730146">
        <w:rPr>
          <w:lang w:eastAsia="en-GB"/>
        </w:rPr>
        <w:t xml:space="preserve"> </w:t>
      </w:r>
      <w:r w:rsidR="00376A6D">
        <w:rPr>
          <w:lang w:eastAsia="en-GB"/>
        </w:rPr>
        <w:t>II</w:t>
      </w:r>
      <w:r w:rsidR="00730146" w:rsidRPr="00730146">
        <w:rPr>
          <w:lang w:eastAsia="en-GB"/>
        </w:rPr>
        <w:t>FFM</w:t>
      </w:r>
      <w:r w:rsidR="00376A6D">
        <w:rPr>
          <w:lang w:eastAsia="en-GB"/>
        </w:rPr>
        <w:t>M</w:t>
      </w:r>
      <w:r w:rsidR="00730146" w:rsidRPr="00730146">
        <w:rPr>
          <w:lang w:eastAsia="en-GB"/>
        </w:rPr>
        <w:t xml:space="preserve"> used satellite imagery to corroborate information provided by victims and witnesses of the “clearance operations” in August 2017, showing transformations in northern Rakhine State with at least 392 villages in Rohingya-populated areas burnt to the ground.</w:t>
      </w:r>
      <w:r w:rsidR="00730146" w:rsidRPr="00730146">
        <w:rPr>
          <w:sz w:val="18"/>
          <w:vertAlign w:val="superscript"/>
          <w:lang w:eastAsia="en-GB"/>
        </w:rPr>
        <w:footnoteReference w:id="39"/>
      </w:r>
      <w:r w:rsidR="00730146" w:rsidRPr="00730146">
        <w:rPr>
          <w:color w:val="2A2A2A"/>
          <w:shd w:val="clear" w:color="auto" w:fill="EFF2F7"/>
          <w:lang w:eastAsia="en-GB"/>
        </w:rPr>
        <w:t xml:space="preserve"> </w:t>
      </w:r>
    </w:p>
    <w:p w14:paraId="43A0E9A8" w14:textId="6F2A5921" w:rsidR="00730146" w:rsidRPr="00730146" w:rsidRDefault="00045616" w:rsidP="004D2F6D">
      <w:pPr>
        <w:pStyle w:val="SingleTxtG"/>
        <w:rPr>
          <w:lang w:eastAsia="en-GB"/>
        </w:rPr>
      </w:pPr>
      <w:r>
        <w:rPr>
          <w:shd w:val="clear" w:color="auto" w:fill="FFFFFF"/>
          <w:lang w:eastAsia="en-GB"/>
        </w:rPr>
        <w:t>48</w:t>
      </w:r>
      <w:r w:rsidR="00856D86">
        <w:rPr>
          <w:shd w:val="clear" w:color="auto" w:fill="FFFFFF"/>
          <w:lang w:eastAsia="en-GB"/>
        </w:rPr>
        <w:t>.</w:t>
      </w:r>
      <w:r w:rsidR="00856D86">
        <w:rPr>
          <w:shd w:val="clear" w:color="auto" w:fill="FFFFFF"/>
          <w:lang w:eastAsia="en-GB"/>
        </w:rPr>
        <w:tab/>
      </w:r>
      <w:r w:rsidR="00730146" w:rsidRPr="00730146">
        <w:rPr>
          <w:shd w:val="clear" w:color="auto" w:fill="FFFFFF"/>
          <w:lang w:eastAsia="en-GB"/>
        </w:rPr>
        <w:t xml:space="preserve">The </w:t>
      </w:r>
      <w:r w:rsidR="00730146" w:rsidRPr="00730146">
        <w:rPr>
          <w:lang w:eastAsia="en-GB"/>
        </w:rPr>
        <w:t>Berkeley Protocol on Digital Open Source Investigations</w:t>
      </w:r>
      <w:r w:rsidR="00730146" w:rsidRPr="00730146">
        <w:rPr>
          <w:sz w:val="18"/>
          <w:vertAlign w:val="superscript"/>
          <w:lang w:eastAsia="en-GB"/>
        </w:rPr>
        <w:footnoteReference w:id="40"/>
      </w:r>
      <w:r w:rsidR="00730146" w:rsidRPr="00730146">
        <w:rPr>
          <w:lang w:eastAsia="en-GB"/>
        </w:rPr>
        <w:t xml:space="preserve">, developed in 2020 by </w:t>
      </w:r>
      <w:r w:rsidR="00B7172A">
        <w:rPr>
          <w:lang w:eastAsia="en-GB"/>
        </w:rPr>
        <w:t>the Office of the</w:t>
      </w:r>
      <w:r w:rsidR="00B523C8">
        <w:rPr>
          <w:lang w:eastAsia="en-GB"/>
        </w:rPr>
        <w:t xml:space="preserve"> United Nations</w:t>
      </w:r>
      <w:r w:rsidR="00B7172A">
        <w:rPr>
          <w:lang w:eastAsia="en-GB"/>
        </w:rPr>
        <w:t xml:space="preserve"> High Commissioner </w:t>
      </w:r>
      <w:r w:rsidR="00B523C8">
        <w:rPr>
          <w:lang w:eastAsia="en-GB"/>
        </w:rPr>
        <w:t>for</w:t>
      </w:r>
      <w:r w:rsidR="00B7172A">
        <w:rPr>
          <w:lang w:eastAsia="en-GB"/>
        </w:rPr>
        <w:t xml:space="preserve"> Human Rights </w:t>
      </w:r>
      <w:r w:rsidR="00730146" w:rsidRPr="00730146">
        <w:rPr>
          <w:lang w:eastAsia="en-GB"/>
        </w:rPr>
        <w:t xml:space="preserve">and the University of California Human Rights </w:t>
      </w:r>
      <w:proofErr w:type="spellStart"/>
      <w:r w:rsidR="00730146" w:rsidRPr="00730146">
        <w:rPr>
          <w:lang w:eastAsia="en-GB"/>
        </w:rPr>
        <w:t>Center</w:t>
      </w:r>
      <w:proofErr w:type="spellEnd"/>
      <w:r w:rsidR="00730146" w:rsidRPr="00730146">
        <w:rPr>
          <w:lang w:eastAsia="en-GB"/>
        </w:rPr>
        <w:t xml:space="preserve">, establishes legal and ethical standards for open source investigation and provides guidelines for the </w:t>
      </w:r>
      <w:r w:rsidR="00730146" w:rsidRPr="00730146">
        <w:rPr>
          <w:shd w:val="clear" w:color="auto" w:fill="FFFFFF"/>
          <w:lang w:eastAsia="en-GB"/>
        </w:rPr>
        <w:t xml:space="preserve">identification, collection, preservation, verification and analysis of digital open source information to improve its effective use in international criminal and human rights investigations. </w:t>
      </w:r>
    </w:p>
    <w:p w14:paraId="59C295BC" w14:textId="0B5AAD12" w:rsidR="00730146" w:rsidRPr="00BF2F4F" w:rsidRDefault="00045616" w:rsidP="00BF2F4F">
      <w:pPr>
        <w:pStyle w:val="SingleTxtG"/>
        <w:rPr>
          <w:color w:val="333333"/>
          <w:sz w:val="24"/>
          <w:szCs w:val="24"/>
          <w:lang w:eastAsia="en-GB"/>
        </w:rPr>
      </w:pPr>
      <w:r>
        <w:rPr>
          <w:rStyle w:val="SingleTxtGChar"/>
          <w:lang w:eastAsia="en-GB"/>
        </w:rPr>
        <w:t>49</w:t>
      </w:r>
      <w:r w:rsidR="00856D86">
        <w:rPr>
          <w:rStyle w:val="SingleTxtGChar"/>
          <w:lang w:eastAsia="en-GB"/>
        </w:rPr>
        <w:t>.</w:t>
      </w:r>
      <w:r w:rsidR="00856D86">
        <w:rPr>
          <w:rStyle w:val="SingleTxtGChar"/>
          <w:lang w:eastAsia="en-GB"/>
        </w:rPr>
        <w:tab/>
      </w:r>
      <w:r w:rsidR="00730146" w:rsidRPr="00856D86">
        <w:rPr>
          <w:rStyle w:val="SingleTxtGChar"/>
          <w:lang w:eastAsia="en-GB"/>
        </w:rPr>
        <w:t xml:space="preserve">The growing use of information and communications technologies has seen the emergence of online initiatives involving NGOs, research institutes, academia, and non-profit tech companies. Some run </w:t>
      </w:r>
      <w:r w:rsidR="00730146" w:rsidRPr="00856D86">
        <w:rPr>
          <w:rStyle w:val="SingleTxtGChar"/>
          <w:lang w:val="en-US" w:eastAsia="en-GB"/>
        </w:rPr>
        <w:t xml:space="preserve">platforms </w:t>
      </w:r>
      <w:r w:rsidR="00730146" w:rsidRPr="00856D86">
        <w:rPr>
          <w:rStyle w:val="SingleTxtGChar"/>
          <w:lang w:eastAsia="en-GB"/>
        </w:rPr>
        <w:t xml:space="preserve">that assist community early warning efforts by offering access to </w:t>
      </w:r>
      <w:proofErr w:type="gramStart"/>
      <w:r w:rsidR="00730146" w:rsidRPr="00856D86">
        <w:rPr>
          <w:rStyle w:val="SingleTxtGChar"/>
          <w:lang w:eastAsia="en-GB"/>
        </w:rPr>
        <w:t>open</w:t>
      </w:r>
      <w:r w:rsidR="004838A0">
        <w:rPr>
          <w:rStyle w:val="SingleTxtGChar"/>
          <w:lang w:eastAsia="en-GB"/>
        </w:rPr>
        <w:t xml:space="preserve"> </w:t>
      </w:r>
      <w:r w:rsidR="00730146" w:rsidRPr="00856D86">
        <w:rPr>
          <w:rStyle w:val="SingleTxtGChar"/>
          <w:lang w:eastAsia="en-GB"/>
        </w:rPr>
        <w:t>source</w:t>
      </w:r>
      <w:proofErr w:type="gramEnd"/>
      <w:r w:rsidR="00730146" w:rsidRPr="00856D86">
        <w:rPr>
          <w:rStyle w:val="SingleTxtGChar"/>
          <w:lang w:eastAsia="en-GB"/>
        </w:rPr>
        <w:t xml:space="preserve"> software, and tools and services for mapping, crowdsourcing and information management and analysis</w:t>
      </w:r>
      <w:r w:rsidR="00730146" w:rsidRPr="00856D86">
        <w:rPr>
          <w:rStyle w:val="SingleTxtGChar"/>
          <w:lang w:val="en-US" w:eastAsia="en-GB"/>
        </w:rPr>
        <w:t xml:space="preserve">. Others work on </w:t>
      </w:r>
      <w:r w:rsidR="00730146" w:rsidRPr="00856D86">
        <w:rPr>
          <w:rStyle w:val="SingleTxtGChar"/>
          <w:lang w:eastAsia="en-GB"/>
        </w:rPr>
        <w:t>risk assessment and early warning models, and conduct research, capacity-</w:t>
      </w:r>
      <w:proofErr w:type="gramStart"/>
      <w:r w:rsidR="00730146" w:rsidRPr="00856D86">
        <w:rPr>
          <w:rStyle w:val="SingleTxtGChar"/>
          <w:lang w:eastAsia="en-GB"/>
        </w:rPr>
        <w:t>building</w:t>
      </w:r>
      <w:proofErr w:type="gramEnd"/>
      <w:r w:rsidR="00730146" w:rsidRPr="00856D86">
        <w:rPr>
          <w:rStyle w:val="SingleTxtGChar"/>
          <w:lang w:eastAsia="en-GB"/>
        </w:rPr>
        <w:t xml:space="preserve"> and advocacy on tech-related human rights issues. Several technology companies with social media platforms have launched Safety Advisory Councils and Oversight Boards to detect and moderate hate speech and violent extremism. In addition, many are working closely with the Office of the Special Adviser for the Prevention of Genocide, to implement the UN Strategy and Plan of Action on Hate Speech</w:t>
      </w:r>
      <w:r w:rsidR="00730146" w:rsidRPr="00730146">
        <w:rPr>
          <w:i/>
          <w:iCs/>
          <w:sz w:val="24"/>
          <w:szCs w:val="24"/>
          <w:lang w:eastAsia="en-GB"/>
        </w:rPr>
        <w:t>.</w:t>
      </w:r>
    </w:p>
    <w:p w14:paraId="18F728F0" w14:textId="5FC4F3EF" w:rsidR="00730146" w:rsidRPr="00730146" w:rsidRDefault="00BF2F4F" w:rsidP="00BF2F4F">
      <w:pPr>
        <w:pStyle w:val="H1G"/>
        <w:rPr>
          <w:rFonts w:eastAsia="Calibri"/>
          <w:bCs/>
          <w:lang w:val="en-US"/>
        </w:rPr>
      </w:pPr>
      <w:r>
        <w:rPr>
          <w:rFonts w:eastAsia="Calibri"/>
          <w:bCs/>
        </w:rPr>
        <w:tab/>
      </w:r>
      <w:r>
        <w:rPr>
          <w:rFonts w:eastAsia="Calibri"/>
          <w:bCs/>
          <w:lang w:val="en-US"/>
        </w:rPr>
        <w:t>G.</w:t>
      </w:r>
      <w:r>
        <w:rPr>
          <w:rFonts w:eastAsia="Calibri"/>
          <w:bCs/>
          <w:lang w:val="en-US"/>
        </w:rPr>
        <w:tab/>
      </w:r>
      <w:r w:rsidR="00730146" w:rsidRPr="00730146">
        <w:rPr>
          <w:rFonts w:eastAsia="Calibri"/>
          <w:bCs/>
          <w:lang w:val="en-US"/>
        </w:rPr>
        <w:t xml:space="preserve">UN system initiatives </w:t>
      </w:r>
    </w:p>
    <w:p w14:paraId="207E0BBC" w14:textId="4D05D3D3" w:rsidR="00730146" w:rsidRPr="00730146" w:rsidRDefault="00485B2C" w:rsidP="004D2F6D">
      <w:pPr>
        <w:pStyle w:val="SingleTxtG"/>
        <w:rPr>
          <w:lang w:eastAsia="en-GB"/>
        </w:rPr>
      </w:pPr>
      <w:r>
        <w:rPr>
          <w:lang w:eastAsia="en-GB"/>
        </w:rPr>
        <w:t>5</w:t>
      </w:r>
      <w:r w:rsidR="00045616">
        <w:rPr>
          <w:lang w:eastAsia="en-GB"/>
        </w:rPr>
        <w:t>0</w:t>
      </w:r>
      <w:r>
        <w:rPr>
          <w:lang w:eastAsia="en-GB"/>
        </w:rPr>
        <w:t>.</w:t>
      </w:r>
      <w:r>
        <w:rPr>
          <w:lang w:eastAsia="en-GB"/>
        </w:rPr>
        <w:tab/>
      </w:r>
      <w:r w:rsidR="00137767">
        <w:rPr>
          <w:lang w:eastAsia="en-GB"/>
        </w:rPr>
        <w:t>D</w:t>
      </w:r>
      <w:r w:rsidR="00730146" w:rsidRPr="00730146">
        <w:rPr>
          <w:lang w:eastAsia="en-GB"/>
        </w:rPr>
        <w:t xml:space="preserve">igital technologies </w:t>
      </w:r>
      <w:r w:rsidR="00137767">
        <w:rPr>
          <w:lang w:eastAsia="en-GB"/>
        </w:rPr>
        <w:t>have</w:t>
      </w:r>
      <w:r w:rsidR="00730146" w:rsidRPr="00730146">
        <w:rPr>
          <w:lang w:eastAsia="en-GB"/>
        </w:rPr>
        <w:t xml:space="preserve"> rapidly </w:t>
      </w:r>
      <w:r w:rsidR="004245A8" w:rsidRPr="00730146">
        <w:rPr>
          <w:lang w:eastAsia="en-GB"/>
        </w:rPr>
        <w:t>transform</w:t>
      </w:r>
      <w:r w:rsidR="004245A8">
        <w:rPr>
          <w:lang w:eastAsia="en-GB"/>
        </w:rPr>
        <w:t>ed</w:t>
      </w:r>
      <w:r w:rsidR="004245A8" w:rsidRPr="00730146">
        <w:rPr>
          <w:lang w:eastAsia="en-GB"/>
        </w:rPr>
        <w:t xml:space="preserve"> </w:t>
      </w:r>
      <w:r w:rsidR="00730146" w:rsidRPr="00730146">
        <w:rPr>
          <w:lang w:eastAsia="en-GB"/>
        </w:rPr>
        <w:t xml:space="preserve">society, heralding unprecedented changes which </w:t>
      </w:r>
      <w:r w:rsidR="004245A8">
        <w:rPr>
          <w:lang w:eastAsia="en-GB"/>
        </w:rPr>
        <w:t xml:space="preserve">can </w:t>
      </w:r>
      <w:proofErr w:type="spellStart"/>
      <w:r w:rsidR="00730146" w:rsidRPr="00730146">
        <w:rPr>
          <w:lang w:eastAsia="en-GB"/>
        </w:rPr>
        <w:t>advanc</w:t>
      </w:r>
      <w:proofErr w:type="spellEnd"/>
      <w:r w:rsidR="00730146" w:rsidRPr="00730146">
        <w:rPr>
          <w:lang w:val="en-US" w:eastAsia="en-GB"/>
        </w:rPr>
        <w:t>e</w:t>
      </w:r>
      <w:r w:rsidR="00730146" w:rsidRPr="00730146">
        <w:rPr>
          <w:lang w:eastAsia="en-GB"/>
        </w:rPr>
        <w:t xml:space="preserve"> the human condition </w:t>
      </w:r>
      <w:r w:rsidR="00730146" w:rsidRPr="00730146">
        <w:rPr>
          <w:lang w:val="en-US" w:eastAsia="en-GB"/>
        </w:rPr>
        <w:t xml:space="preserve">but </w:t>
      </w:r>
      <w:r w:rsidR="00730146" w:rsidRPr="00730146">
        <w:rPr>
          <w:lang w:eastAsia="en-GB"/>
        </w:rPr>
        <w:t xml:space="preserve">also give rise to profound new challenges. Sensing the urgency of the moment, in July 2018, </w:t>
      </w:r>
      <w:bookmarkStart w:id="1" w:name="_Hlk134543980"/>
      <w:r w:rsidR="005F2A94">
        <w:rPr>
          <w:lang w:eastAsia="en-GB"/>
        </w:rPr>
        <w:t>the Secretary-General</w:t>
      </w:r>
      <w:r w:rsidR="005F2A94" w:rsidRPr="00730146">
        <w:rPr>
          <w:lang w:eastAsia="en-GB"/>
        </w:rPr>
        <w:t xml:space="preserve"> </w:t>
      </w:r>
      <w:r w:rsidR="00730146" w:rsidRPr="00730146">
        <w:rPr>
          <w:lang w:eastAsia="en-GB"/>
        </w:rPr>
        <w:t xml:space="preserve">convened an independent high-level panel </w:t>
      </w:r>
      <w:bookmarkEnd w:id="1"/>
      <w:r w:rsidR="00730146" w:rsidRPr="00730146">
        <w:rPr>
          <w:lang w:eastAsia="en-GB"/>
        </w:rPr>
        <w:t xml:space="preserve">to consider the question of “digital cooperation” – the ways we work together to address the impacts of digital technologies </w:t>
      </w:r>
      <w:proofErr w:type="gramStart"/>
      <w:r w:rsidR="00730146" w:rsidRPr="00730146">
        <w:rPr>
          <w:lang w:eastAsia="en-GB"/>
        </w:rPr>
        <w:t>in order to</w:t>
      </w:r>
      <w:proofErr w:type="gramEnd"/>
      <w:r w:rsidR="00730146" w:rsidRPr="00730146">
        <w:rPr>
          <w:lang w:eastAsia="en-GB"/>
        </w:rPr>
        <w:t xml:space="preserve"> </w:t>
      </w:r>
      <w:r w:rsidR="002C72AA" w:rsidRPr="00730146">
        <w:rPr>
          <w:lang w:eastAsia="en-GB"/>
        </w:rPr>
        <w:t>maximi</w:t>
      </w:r>
      <w:r w:rsidR="002C72AA">
        <w:rPr>
          <w:lang w:eastAsia="en-GB"/>
        </w:rPr>
        <w:t>z</w:t>
      </w:r>
      <w:r w:rsidR="002C72AA" w:rsidRPr="00730146">
        <w:rPr>
          <w:lang w:eastAsia="en-GB"/>
        </w:rPr>
        <w:t xml:space="preserve">e </w:t>
      </w:r>
      <w:r w:rsidR="00730146" w:rsidRPr="00730146">
        <w:rPr>
          <w:lang w:eastAsia="en-GB"/>
        </w:rPr>
        <w:t xml:space="preserve">their benefits and </w:t>
      </w:r>
      <w:r w:rsidR="002C72AA" w:rsidRPr="00730146">
        <w:rPr>
          <w:lang w:eastAsia="en-GB"/>
        </w:rPr>
        <w:t>minimi</w:t>
      </w:r>
      <w:r w:rsidR="002C72AA">
        <w:rPr>
          <w:lang w:eastAsia="en-GB"/>
        </w:rPr>
        <w:t>z</w:t>
      </w:r>
      <w:r w:rsidR="002C72AA" w:rsidRPr="00730146">
        <w:rPr>
          <w:lang w:eastAsia="en-GB"/>
        </w:rPr>
        <w:t xml:space="preserve">e </w:t>
      </w:r>
      <w:r w:rsidR="00730146" w:rsidRPr="00730146">
        <w:rPr>
          <w:lang w:eastAsia="en-GB"/>
        </w:rPr>
        <w:t>their harm, and how digital cooperation could contribute to the achievement of the Sustainable Development Goals. The High-level Panel on Digital Cooperation</w:t>
      </w:r>
      <w:r w:rsidR="00D212CC" w:rsidRPr="00D212CC">
        <w:rPr>
          <w:lang w:eastAsia="en-GB"/>
        </w:rPr>
        <w:t xml:space="preserve"> </w:t>
      </w:r>
      <w:r w:rsidR="00D212CC" w:rsidRPr="00730146">
        <w:rPr>
          <w:lang w:eastAsia="en-GB"/>
        </w:rPr>
        <w:t>highlighted some critical questions, and called for universal internet connectivity, digital capacity building and mechanisms to improve digital trust and security</w:t>
      </w:r>
      <w:r w:rsidR="00B877C8">
        <w:rPr>
          <w:lang w:eastAsia="en-GB"/>
        </w:rPr>
        <w:t>.</w:t>
      </w:r>
      <w:r w:rsidR="00730146" w:rsidRPr="00730146">
        <w:rPr>
          <w:sz w:val="18"/>
          <w:vertAlign w:val="superscript"/>
          <w:lang w:eastAsia="en-GB"/>
        </w:rPr>
        <w:footnoteReference w:id="41"/>
      </w:r>
      <w:r w:rsidR="00730146" w:rsidRPr="00730146">
        <w:rPr>
          <w:lang w:eastAsia="en-GB"/>
        </w:rPr>
        <w:t xml:space="preserve"> </w:t>
      </w:r>
    </w:p>
    <w:p w14:paraId="4FCE8821" w14:textId="737DE06D" w:rsidR="00730146" w:rsidRPr="004D2F6D" w:rsidRDefault="00485B2C" w:rsidP="004D2F6D">
      <w:pPr>
        <w:pStyle w:val="SingleTxtG"/>
        <w:rPr>
          <w:lang w:eastAsia="en-GB"/>
        </w:rPr>
      </w:pPr>
      <w:r>
        <w:rPr>
          <w:lang w:eastAsia="en-GB"/>
        </w:rPr>
        <w:t>5</w:t>
      </w:r>
      <w:r w:rsidR="00045616">
        <w:rPr>
          <w:lang w:eastAsia="en-GB"/>
        </w:rPr>
        <w:t>1</w:t>
      </w:r>
      <w:r>
        <w:rPr>
          <w:lang w:eastAsia="en-GB"/>
        </w:rPr>
        <w:t>.</w:t>
      </w:r>
      <w:r>
        <w:rPr>
          <w:lang w:eastAsia="en-GB"/>
        </w:rPr>
        <w:tab/>
      </w:r>
      <w:r w:rsidR="00702F8E">
        <w:rPr>
          <w:lang w:eastAsia="en-GB"/>
        </w:rPr>
        <w:t>T</w:t>
      </w:r>
      <w:r w:rsidR="00730146" w:rsidRPr="00730146">
        <w:rPr>
          <w:lang w:eastAsia="en-GB"/>
        </w:rPr>
        <w:t>he Roadmap for Digital Cooperation</w:t>
      </w:r>
      <w:r w:rsidR="00B742C1">
        <w:rPr>
          <w:rStyle w:val="FootnoteReference"/>
          <w:lang w:eastAsia="en-GB"/>
        </w:rPr>
        <w:footnoteReference w:id="42"/>
      </w:r>
      <w:r w:rsidR="00730146" w:rsidRPr="00730146">
        <w:rPr>
          <w:lang w:eastAsia="en-GB"/>
        </w:rPr>
        <w:t xml:space="preserve"> contains recommendations for concrete action </w:t>
      </w:r>
      <w:r w:rsidR="00730146" w:rsidRPr="00730146">
        <w:rPr>
          <w:lang w:val="en-US" w:eastAsia="en-GB"/>
        </w:rPr>
        <w:t>by</w:t>
      </w:r>
      <w:r w:rsidR="00730146" w:rsidRPr="00730146">
        <w:rPr>
          <w:lang w:eastAsia="en-GB"/>
        </w:rPr>
        <w:t xml:space="preserve"> the international community that could enhance global cooperation and help ensure that all people are connected, respected, and protected in the digital age. The </w:t>
      </w:r>
      <w:r w:rsidR="00730146" w:rsidRPr="00730146">
        <w:rPr>
          <w:lang w:val="en-US" w:eastAsia="en-GB"/>
        </w:rPr>
        <w:t>roadmap</w:t>
      </w:r>
      <w:r w:rsidR="00730146" w:rsidRPr="00730146">
        <w:rPr>
          <w:lang w:eastAsia="en-GB"/>
        </w:rPr>
        <w:t xml:space="preserve"> builds on </w:t>
      </w:r>
      <w:r w:rsidR="00730146" w:rsidRPr="00730146">
        <w:rPr>
          <w:lang w:eastAsia="en-GB"/>
        </w:rPr>
        <w:lastRenderedPageBreak/>
        <w:t xml:space="preserve">the recommendations of the High-level Panel and input from Member States, the private sector, civil society, the technical community, and other stakeholder groups. </w:t>
      </w:r>
    </w:p>
    <w:p w14:paraId="2EE34E5F" w14:textId="3C8B8523" w:rsidR="00730146" w:rsidRPr="00730146" w:rsidRDefault="00485B2C" w:rsidP="004D2F6D">
      <w:pPr>
        <w:pStyle w:val="SingleTxtG"/>
        <w:rPr>
          <w:lang w:eastAsia="en-GB"/>
        </w:rPr>
      </w:pPr>
      <w:r>
        <w:rPr>
          <w:lang w:eastAsia="en-GB"/>
        </w:rPr>
        <w:t>5</w:t>
      </w:r>
      <w:r w:rsidR="00045616">
        <w:rPr>
          <w:lang w:eastAsia="en-GB"/>
        </w:rPr>
        <w:t>2</w:t>
      </w:r>
      <w:r>
        <w:rPr>
          <w:lang w:eastAsia="en-GB"/>
        </w:rPr>
        <w:t>.</w:t>
      </w:r>
      <w:r>
        <w:rPr>
          <w:lang w:eastAsia="en-GB"/>
        </w:rPr>
        <w:tab/>
      </w:r>
      <w:r w:rsidR="00730146" w:rsidRPr="00730146">
        <w:rPr>
          <w:lang w:eastAsia="en-GB"/>
        </w:rPr>
        <w:t xml:space="preserve">The Office of the Special Adviser, in partnership with the </w:t>
      </w:r>
      <w:r w:rsidR="00E84498">
        <w:rPr>
          <w:lang w:eastAsia="en-GB"/>
        </w:rPr>
        <w:t>Economic and Social Research Council</w:t>
      </w:r>
      <w:r w:rsidR="007301A6">
        <w:rPr>
          <w:lang w:eastAsia="en-GB"/>
        </w:rPr>
        <w:t>’s</w:t>
      </w:r>
      <w:r w:rsidR="00730146" w:rsidRPr="00730146">
        <w:rPr>
          <w:lang w:eastAsia="en-GB"/>
        </w:rPr>
        <w:t xml:space="preserve"> Human Rights, Big Data and Technology Project at the University of Essex, has since 2020 convened three roundtable consultations to discuss the implementation of the UN Strategy and Plan of Action on Hate Speech in the online space. These consultations engaged technology and social media companies on their role</w:t>
      </w:r>
      <w:r w:rsidR="00730146" w:rsidRPr="00730146">
        <w:rPr>
          <w:lang w:val="en-US" w:eastAsia="en-GB"/>
        </w:rPr>
        <w:t>s</w:t>
      </w:r>
      <w:r w:rsidR="00730146" w:rsidRPr="00730146">
        <w:rPr>
          <w:lang w:eastAsia="en-GB"/>
        </w:rPr>
        <w:t xml:space="preserve"> and responsibilities </w:t>
      </w:r>
      <w:r w:rsidR="00730146" w:rsidRPr="00730146">
        <w:rPr>
          <w:lang w:val="en-US" w:eastAsia="en-GB"/>
        </w:rPr>
        <w:t>in</w:t>
      </w:r>
      <w:r w:rsidR="00730146" w:rsidRPr="00730146">
        <w:rPr>
          <w:lang w:eastAsia="en-GB"/>
        </w:rPr>
        <w:t xml:space="preserve"> address</w:t>
      </w:r>
      <w:proofErr w:type="spellStart"/>
      <w:r w:rsidR="00730146" w:rsidRPr="00730146">
        <w:rPr>
          <w:lang w:val="en-US" w:eastAsia="en-GB"/>
        </w:rPr>
        <w:t>ing</w:t>
      </w:r>
      <w:proofErr w:type="spellEnd"/>
      <w:r w:rsidR="00730146" w:rsidRPr="00730146">
        <w:rPr>
          <w:lang w:eastAsia="en-GB"/>
        </w:rPr>
        <w:t xml:space="preserve"> online hate speech in line with international human rights norms and standards, with a view to building partnerships for the implementation of the Strategy and formulated recommendations addressed to technology and social media companies, Member States, the United Nations, civil society, </w:t>
      </w:r>
      <w:proofErr w:type="gramStart"/>
      <w:r w:rsidR="00730146" w:rsidRPr="00730146">
        <w:rPr>
          <w:lang w:eastAsia="en-GB"/>
        </w:rPr>
        <w:t>academia</w:t>
      </w:r>
      <w:proofErr w:type="gramEnd"/>
      <w:r w:rsidR="00730146" w:rsidRPr="00730146">
        <w:rPr>
          <w:lang w:eastAsia="en-GB"/>
        </w:rPr>
        <w:t xml:space="preserve"> and </w:t>
      </w:r>
      <w:r w:rsidR="00730146" w:rsidRPr="00730146">
        <w:rPr>
          <w:lang w:val="en-US" w:eastAsia="en-GB"/>
        </w:rPr>
        <w:t xml:space="preserve">the </w:t>
      </w:r>
      <w:r w:rsidR="00730146" w:rsidRPr="00730146">
        <w:rPr>
          <w:lang w:eastAsia="en-GB"/>
        </w:rPr>
        <w:t xml:space="preserve">media. In June 2022, the Office published </w:t>
      </w:r>
      <w:r w:rsidR="00730146" w:rsidRPr="00730146">
        <w:rPr>
          <w:i/>
          <w:iCs/>
          <w:lang w:eastAsia="en-GB"/>
        </w:rPr>
        <w:t>a policy paper on Combating Holocaust and Genocide Denial Protecting Survivors, Preserving Memory, and Promoting Prevention</w:t>
      </w:r>
      <w:r w:rsidR="00730146" w:rsidRPr="00730146">
        <w:rPr>
          <w:lang w:eastAsia="en-GB"/>
        </w:rPr>
        <w:t>.</w:t>
      </w:r>
      <w:r w:rsidR="00CD7E8E">
        <w:rPr>
          <w:rStyle w:val="FootnoteReference"/>
          <w:lang w:eastAsia="en-GB"/>
        </w:rPr>
        <w:footnoteReference w:id="43"/>
      </w:r>
      <w:r w:rsidR="00B37D0A">
        <w:rPr>
          <w:lang w:eastAsia="en-GB"/>
        </w:rPr>
        <w:t xml:space="preserve"> </w:t>
      </w:r>
      <w:r w:rsidR="00730146" w:rsidRPr="00730146">
        <w:rPr>
          <w:lang w:eastAsia="en-GB"/>
        </w:rPr>
        <w:t xml:space="preserve">The paper outlines challenges of online Holocaust and genocide denial linked to hate speech and provides recommendations for action. </w:t>
      </w:r>
      <w:r w:rsidR="00A30880">
        <w:rPr>
          <w:lang w:eastAsia="en-GB"/>
        </w:rPr>
        <w:t>In June 2023, t</w:t>
      </w:r>
      <w:r w:rsidR="00730146" w:rsidRPr="00730146">
        <w:rPr>
          <w:lang w:eastAsia="en-GB"/>
        </w:rPr>
        <w:t xml:space="preserve">he Office </w:t>
      </w:r>
      <w:r w:rsidR="00A30880">
        <w:rPr>
          <w:lang w:eastAsia="en-GB"/>
        </w:rPr>
        <w:t>issued</w:t>
      </w:r>
      <w:r w:rsidR="00730146" w:rsidRPr="00730146">
        <w:rPr>
          <w:lang w:eastAsia="en-GB"/>
        </w:rPr>
        <w:t xml:space="preserve"> an additional policy paper with recommendations for tackling online hate speech, based on the roundtable discussions convened.</w:t>
      </w:r>
      <w:r w:rsidR="00A30880">
        <w:rPr>
          <w:rStyle w:val="FootnoteReference"/>
          <w:lang w:eastAsia="en-GB"/>
        </w:rPr>
        <w:footnoteReference w:id="44"/>
      </w:r>
      <w:r w:rsidR="00730146" w:rsidRPr="00730146">
        <w:rPr>
          <w:lang w:eastAsia="en-GB"/>
        </w:rPr>
        <w:t xml:space="preserve"> </w:t>
      </w:r>
    </w:p>
    <w:p w14:paraId="4B607495" w14:textId="40A51F01" w:rsidR="00730146" w:rsidRPr="00730146" w:rsidRDefault="00485B2C" w:rsidP="004D2F6D">
      <w:pPr>
        <w:pStyle w:val="SingleTxtG"/>
        <w:rPr>
          <w:lang w:eastAsia="en-GB"/>
        </w:rPr>
      </w:pPr>
      <w:r>
        <w:rPr>
          <w:lang w:eastAsia="en-GB"/>
        </w:rPr>
        <w:t>5</w:t>
      </w:r>
      <w:r w:rsidR="00045616">
        <w:rPr>
          <w:lang w:eastAsia="en-GB"/>
        </w:rPr>
        <w:t>3</w:t>
      </w:r>
      <w:r>
        <w:rPr>
          <w:lang w:eastAsia="en-GB"/>
        </w:rPr>
        <w:t>.</w:t>
      </w:r>
      <w:r>
        <w:rPr>
          <w:lang w:eastAsia="en-GB"/>
        </w:rPr>
        <w:tab/>
      </w:r>
      <w:r w:rsidR="00730146" w:rsidRPr="00730146">
        <w:rPr>
          <w:lang w:eastAsia="en-GB"/>
        </w:rPr>
        <w:t xml:space="preserve">Strengthening human rights in the digital space is also one of the priority areas in </w:t>
      </w:r>
      <w:r w:rsidR="00B8074B">
        <w:rPr>
          <w:lang w:eastAsia="en-GB"/>
        </w:rPr>
        <w:t>the Secretary-General’s</w:t>
      </w:r>
      <w:r w:rsidR="00B8074B" w:rsidRPr="00730146">
        <w:rPr>
          <w:lang w:eastAsia="en-GB"/>
        </w:rPr>
        <w:t xml:space="preserve"> </w:t>
      </w:r>
      <w:r w:rsidR="00730146" w:rsidRPr="00730146">
        <w:rPr>
          <w:lang w:eastAsia="en-GB"/>
        </w:rPr>
        <w:t>Call to Action for Human Rights</w:t>
      </w:r>
      <w:r w:rsidR="00DA4B07">
        <w:rPr>
          <w:rStyle w:val="FootnoteReference"/>
          <w:lang w:eastAsia="en-GB"/>
        </w:rPr>
        <w:footnoteReference w:id="45"/>
      </w:r>
      <w:r w:rsidR="00730146" w:rsidRPr="00730146">
        <w:rPr>
          <w:lang w:eastAsia="en-GB"/>
        </w:rPr>
        <w:t xml:space="preserve">, </w:t>
      </w:r>
      <w:proofErr w:type="gramStart"/>
      <w:r w:rsidR="00730146" w:rsidRPr="00730146">
        <w:rPr>
          <w:lang w:eastAsia="en-GB"/>
        </w:rPr>
        <w:t xml:space="preserve">which </w:t>
      </w:r>
      <w:r w:rsidR="00B8074B" w:rsidRPr="00730146">
        <w:rPr>
          <w:lang w:eastAsia="en-GB"/>
        </w:rPr>
        <w:t xml:space="preserve"> </w:t>
      </w:r>
      <w:r w:rsidR="00730146" w:rsidRPr="00730146">
        <w:rPr>
          <w:rFonts w:eastAsia="Calibri"/>
          <w:lang w:eastAsia="en-GB"/>
        </w:rPr>
        <w:t>emphasized</w:t>
      </w:r>
      <w:proofErr w:type="gramEnd"/>
      <w:r w:rsidR="00730146" w:rsidRPr="00730146">
        <w:rPr>
          <w:rFonts w:eastAsia="Calibri"/>
          <w:lang w:eastAsia="en-GB"/>
        </w:rPr>
        <w:t xml:space="preserve"> that advances in new technologies must not be used to erode human rights, deepen inequality or exacerbate existing discrimination</w:t>
      </w:r>
      <w:r w:rsidR="00730146" w:rsidRPr="00730146">
        <w:rPr>
          <w:lang w:eastAsia="en-GB"/>
        </w:rPr>
        <w:t xml:space="preserve"> and</w:t>
      </w:r>
      <w:r w:rsidR="00730146" w:rsidRPr="00730146">
        <w:rPr>
          <w:rFonts w:eastAsia="Calibri"/>
          <w:lang w:eastAsia="en-GB"/>
        </w:rPr>
        <w:t xml:space="preserve"> that the governance of AI needs to ensure fairness, </w:t>
      </w:r>
      <w:r w:rsidR="00730146" w:rsidRPr="00730146">
        <w:rPr>
          <w:rFonts w:eastAsia="Calibri"/>
          <w:lang w:val="en-US" w:eastAsia="en-GB"/>
        </w:rPr>
        <w:t xml:space="preserve">non-discrimination, </w:t>
      </w:r>
      <w:r w:rsidR="00730146" w:rsidRPr="00730146">
        <w:rPr>
          <w:rFonts w:eastAsia="Calibri"/>
          <w:lang w:eastAsia="en-GB"/>
        </w:rPr>
        <w:t>accountability, and transparenc</w:t>
      </w:r>
      <w:r w:rsidR="00730146" w:rsidRPr="00730146">
        <w:rPr>
          <w:lang w:eastAsia="en-GB"/>
        </w:rPr>
        <w:t xml:space="preserve">y.    </w:t>
      </w:r>
    </w:p>
    <w:p w14:paraId="22C0E957" w14:textId="5DF30E79" w:rsidR="00730146" w:rsidRPr="00485327" w:rsidRDefault="00485B2C" w:rsidP="00485327">
      <w:pPr>
        <w:pStyle w:val="SingleTxtG"/>
        <w:rPr>
          <w:lang w:eastAsia="en-GB"/>
        </w:rPr>
      </w:pPr>
      <w:r>
        <w:rPr>
          <w:lang w:eastAsia="en-GB"/>
        </w:rPr>
        <w:t>5</w:t>
      </w:r>
      <w:r w:rsidR="00045616">
        <w:rPr>
          <w:lang w:eastAsia="en-GB"/>
        </w:rPr>
        <w:t>4</w:t>
      </w:r>
      <w:r>
        <w:rPr>
          <w:lang w:eastAsia="en-GB"/>
        </w:rPr>
        <w:t>.</w:t>
      </w:r>
      <w:r>
        <w:rPr>
          <w:lang w:eastAsia="en-GB"/>
        </w:rPr>
        <w:tab/>
      </w:r>
      <w:proofErr w:type="gramStart"/>
      <w:r w:rsidR="00730146" w:rsidRPr="00730146">
        <w:rPr>
          <w:lang w:eastAsia="en-GB"/>
        </w:rPr>
        <w:t xml:space="preserve">In </w:t>
      </w:r>
      <w:r w:rsidR="003F7683" w:rsidRPr="00730146">
        <w:rPr>
          <w:lang w:eastAsia="en-GB"/>
        </w:rPr>
        <w:t xml:space="preserve"> </w:t>
      </w:r>
      <w:r w:rsidR="00767FDC">
        <w:rPr>
          <w:lang w:eastAsia="en-GB"/>
        </w:rPr>
        <w:t>the</w:t>
      </w:r>
      <w:proofErr w:type="gramEnd"/>
      <w:r w:rsidR="003F7683" w:rsidRPr="00730146">
        <w:rPr>
          <w:lang w:eastAsia="en-GB"/>
        </w:rPr>
        <w:t xml:space="preserve"> </w:t>
      </w:r>
      <w:r w:rsidR="00730146" w:rsidRPr="00730146">
        <w:rPr>
          <w:lang w:eastAsia="en-GB"/>
        </w:rPr>
        <w:t xml:space="preserve">report </w:t>
      </w:r>
      <w:r w:rsidR="00730146" w:rsidRPr="00730146">
        <w:rPr>
          <w:i/>
          <w:iCs/>
          <w:lang w:eastAsia="en-GB"/>
        </w:rPr>
        <w:t>Our Common Agenda</w:t>
      </w:r>
      <w:r w:rsidR="00477CA9">
        <w:rPr>
          <w:rStyle w:val="FootnoteReference"/>
          <w:i/>
          <w:iCs/>
          <w:lang w:eastAsia="en-GB"/>
        </w:rPr>
        <w:footnoteReference w:id="46"/>
      </w:r>
      <w:r w:rsidR="003F7683">
        <w:rPr>
          <w:lang w:eastAsia="en-GB"/>
        </w:rPr>
        <w:t>,</w:t>
      </w:r>
      <w:r w:rsidR="00730146" w:rsidRPr="00730146">
        <w:rPr>
          <w:lang w:eastAsia="en-GB"/>
        </w:rPr>
        <w:t xml:space="preserve"> </w:t>
      </w:r>
      <w:r w:rsidR="003F7683">
        <w:rPr>
          <w:lang w:eastAsia="en-GB"/>
        </w:rPr>
        <w:t>the Secretary-General</w:t>
      </w:r>
      <w:r w:rsidR="00730146" w:rsidRPr="00730146">
        <w:rPr>
          <w:lang w:eastAsia="en-GB"/>
        </w:rPr>
        <w:t xml:space="preserve"> proposed that the United Nations, </w:t>
      </w:r>
      <w:r w:rsidR="00CD1EE8">
        <w:rPr>
          <w:lang w:eastAsia="en-GB"/>
        </w:rPr>
        <w:t>g</w:t>
      </w:r>
      <w:r w:rsidR="00730146" w:rsidRPr="00730146">
        <w:rPr>
          <w:lang w:eastAsia="en-GB"/>
        </w:rPr>
        <w:t xml:space="preserve">overnments, the private sector, and civil society come together to prepare a Global Digital Compact </w:t>
      </w:r>
      <w:r w:rsidR="00EF55F9" w:rsidRPr="00EF55F9">
        <w:rPr>
          <w:lang w:eastAsia="en-GB"/>
        </w:rPr>
        <w:t xml:space="preserve"> </w:t>
      </w:r>
      <w:r w:rsidR="00730146" w:rsidRPr="00730146">
        <w:rPr>
          <w:lang w:eastAsia="en-GB"/>
        </w:rPr>
        <w:t xml:space="preserve">to be agreed at the Summit of the Future in September 2024. </w:t>
      </w:r>
      <w:r w:rsidR="00DD3E75">
        <w:rPr>
          <w:lang w:eastAsia="en-GB"/>
        </w:rPr>
        <w:t xml:space="preserve">In his </w:t>
      </w:r>
      <w:r w:rsidR="00DD3E75">
        <w:rPr>
          <w:i/>
          <w:iCs/>
          <w:lang w:eastAsia="en-GB"/>
        </w:rPr>
        <w:t xml:space="preserve">Policy Brief </w:t>
      </w:r>
      <w:r w:rsidR="00DD3E75">
        <w:rPr>
          <w:lang w:eastAsia="en-GB"/>
        </w:rPr>
        <w:t xml:space="preserve">on </w:t>
      </w:r>
      <w:r w:rsidR="00A8424F">
        <w:rPr>
          <w:lang w:eastAsia="en-GB"/>
        </w:rPr>
        <w:t>a</w:t>
      </w:r>
      <w:r w:rsidR="00DD3E75">
        <w:rPr>
          <w:lang w:eastAsia="en-GB"/>
        </w:rPr>
        <w:t xml:space="preserve"> Global Digital Compact, the Secretary-General proposes</w:t>
      </w:r>
      <w:r w:rsidR="00DD3E75" w:rsidRPr="00730146">
        <w:rPr>
          <w:lang w:eastAsia="en-GB"/>
        </w:rPr>
        <w:t xml:space="preserve"> shared principles for an open, free, and secure digital future for all</w:t>
      </w:r>
      <w:r w:rsidR="00DD3E75">
        <w:rPr>
          <w:lang w:eastAsia="en-GB"/>
        </w:rPr>
        <w:t xml:space="preserve">. The </w:t>
      </w:r>
      <w:r w:rsidR="00DD3E75" w:rsidRPr="00FA5250">
        <w:rPr>
          <w:i/>
          <w:iCs/>
          <w:lang w:eastAsia="en-GB"/>
        </w:rPr>
        <w:t>Policy Brief</w:t>
      </w:r>
      <w:r w:rsidR="00DD3E75">
        <w:rPr>
          <w:lang w:eastAsia="en-GB"/>
        </w:rPr>
        <w:t xml:space="preserve"> proposes </w:t>
      </w:r>
      <w:r w:rsidR="00DA358A">
        <w:rPr>
          <w:lang w:eastAsia="en-GB"/>
        </w:rPr>
        <w:t xml:space="preserve">that </w:t>
      </w:r>
      <w:r w:rsidR="00DD3E75">
        <w:rPr>
          <w:lang w:eastAsia="en-GB"/>
        </w:rPr>
        <w:t>Member States commit to avoiding blanket internet shutdowns and recognizes the human rights risks o</w:t>
      </w:r>
      <w:r w:rsidR="00DD5DBC">
        <w:rPr>
          <w:lang w:eastAsia="en-GB"/>
        </w:rPr>
        <w:t>f</w:t>
      </w:r>
      <w:r w:rsidR="00DD3E75">
        <w:rPr>
          <w:lang w:eastAsia="en-GB"/>
        </w:rPr>
        <w:t xml:space="preserve"> “data-fuelled State surveillance and predatory business models”. </w:t>
      </w:r>
      <w:r w:rsidR="00DD3E75" w:rsidRPr="00730146">
        <w:rPr>
          <w:lang w:eastAsia="en-GB"/>
        </w:rPr>
        <w:t xml:space="preserve"> </w:t>
      </w:r>
      <w:r w:rsidR="00DD3E75">
        <w:rPr>
          <w:lang w:eastAsia="en-GB"/>
        </w:rPr>
        <w:t>It also calls all stakeholders to cooperate to close the existing governance gap in artificial intelligence, including Member States’ actions to prohibit the use of technology applications “whose potential or actual impacts cannot be justified under international human rights law”.</w:t>
      </w:r>
      <w:r w:rsidR="00DB174E">
        <w:rPr>
          <w:rStyle w:val="FootnoteReference"/>
          <w:lang w:eastAsia="en-GB"/>
        </w:rPr>
        <w:footnoteReference w:id="47"/>
      </w:r>
      <w:r w:rsidR="00DD3E75" w:rsidRPr="00730146" w:rsidDel="00DD3E75">
        <w:rPr>
          <w:lang w:eastAsia="en-GB"/>
        </w:rPr>
        <w:t xml:space="preserve"> </w:t>
      </w:r>
      <w:r w:rsidR="00171FDF">
        <w:rPr>
          <w:lang w:eastAsia="en-GB"/>
        </w:rPr>
        <w:t>T</w:t>
      </w:r>
      <w:r w:rsidR="006C750E">
        <w:rPr>
          <w:lang w:eastAsia="en-GB"/>
        </w:rPr>
        <w:t xml:space="preserve">he Secretary-General has </w:t>
      </w:r>
      <w:r w:rsidR="00A8424F">
        <w:rPr>
          <w:lang w:eastAsia="en-GB"/>
        </w:rPr>
        <w:t xml:space="preserve">also </w:t>
      </w:r>
      <w:r w:rsidR="00CE565A">
        <w:rPr>
          <w:lang w:eastAsia="en-GB"/>
        </w:rPr>
        <w:t xml:space="preserve">issued </w:t>
      </w:r>
      <w:r w:rsidR="00CD37BB">
        <w:rPr>
          <w:lang w:eastAsia="en-GB"/>
        </w:rPr>
        <w:t>a</w:t>
      </w:r>
      <w:r w:rsidR="00CE565A">
        <w:rPr>
          <w:lang w:eastAsia="en-GB"/>
        </w:rPr>
        <w:t xml:space="preserve"> </w:t>
      </w:r>
      <w:r w:rsidR="00A84794">
        <w:rPr>
          <w:lang w:eastAsia="en-GB"/>
        </w:rPr>
        <w:t xml:space="preserve">policy brief </w:t>
      </w:r>
      <w:proofErr w:type="gramStart"/>
      <w:r w:rsidR="00A84794">
        <w:rPr>
          <w:lang w:eastAsia="en-GB"/>
        </w:rPr>
        <w:t xml:space="preserve">on </w:t>
      </w:r>
      <w:r w:rsidR="00D54853">
        <w:rPr>
          <w:lang w:eastAsia="en-GB"/>
        </w:rPr>
        <w:t xml:space="preserve"> </w:t>
      </w:r>
      <w:r w:rsidR="00E8706C">
        <w:rPr>
          <w:lang w:eastAsia="en-GB"/>
        </w:rPr>
        <w:t>“</w:t>
      </w:r>
      <w:proofErr w:type="gramEnd"/>
      <w:r w:rsidR="00E8706C">
        <w:rPr>
          <w:lang w:eastAsia="en-GB"/>
        </w:rPr>
        <w:t>Information Inte</w:t>
      </w:r>
      <w:r w:rsidR="00495CFB">
        <w:rPr>
          <w:lang w:eastAsia="en-GB"/>
        </w:rPr>
        <w:t>grity on Digital Platforms”</w:t>
      </w:r>
      <w:r w:rsidR="003C11E6">
        <w:rPr>
          <w:lang w:eastAsia="en-GB"/>
        </w:rPr>
        <w:t>.</w:t>
      </w:r>
      <w:r w:rsidR="00646E8E">
        <w:rPr>
          <w:rStyle w:val="FootnoteReference"/>
          <w:lang w:eastAsia="en-GB"/>
        </w:rPr>
        <w:footnoteReference w:id="48"/>
      </w:r>
      <w:r w:rsidR="00495CFB">
        <w:rPr>
          <w:lang w:eastAsia="en-GB"/>
        </w:rPr>
        <w:t xml:space="preserve"> </w:t>
      </w:r>
      <w:r w:rsidR="00D54853">
        <w:rPr>
          <w:lang w:eastAsia="en-GB"/>
        </w:rPr>
        <w:t xml:space="preserve"> </w:t>
      </w:r>
      <w:r w:rsidR="00730146" w:rsidRPr="00730146">
        <w:rPr>
          <w:lang w:eastAsia="en-GB"/>
        </w:rPr>
        <w:t xml:space="preserve"> </w:t>
      </w:r>
    </w:p>
    <w:p w14:paraId="5709B6B7" w14:textId="65069ACA" w:rsidR="00730146" w:rsidRPr="00730146" w:rsidRDefault="00485B2C" w:rsidP="004D2F6D">
      <w:pPr>
        <w:pStyle w:val="SingleTxtG"/>
        <w:rPr>
          <w:rFonts w:eastAsia="Calibri"/>
          <w:lang w:eastAsia="en-GB"/>
        </w:rPr>
      </w:pPr>
      <w:r>
        <w:rPr>
          <w:lang w:eastAsia="en-GB"/>
        </w:rPr>
        <w:t>5</w:t>
      </w:r>
      <w:r w:rsidR="00045616">
        <w:rPr>
          <w:lang w:eastAsia="en-GB"/>
        </w:rPr>
        <w:t>5</w:t>
      </w:r>
      <w:r>
        <w:rPr>
          <w:lang w:eastAsia="en-GB"/>
        </w:rPr>
        <w:t>.</w:t>
      </w:r>
      <w:r>
        <w:rPr>
          <w:lang w:eastAsia="en-GB"/>
        </w:rPr>
        <w:tab/>
      </w:r>
      <w:r w:rsidR="00730146" w:rsidRPr="00730146">
        <w:rPr>
          <w:lang w:eastAsia="en-GB"/>
        </w:rPr>
        <w:t>The Human Rights Council can play an essential role in ensuring that new technologies contribute to the prevention of genocide. In 2012, it adopted resolution 20/8 in which it affirmed that the same rights apply online as offline.</w:t>
      </w:r>
      <w:r w:rsidR="001E2482">
        <w:rPr>
          <w:rStyle w:val="FootnoteReference"/>
          <w:lang w:eastAsia="en-GB"/>
        </w:rPr>
        <w:footnoteReference w:id="49"/>
      </w:r>
      <w:r w:rsidR="00730146" w:rsidRPr="00730146">
        <w:rPr>
          <w:lang w:eastAsia="en-GB"/>
        </w:rPr>
        <w:t xml:space="preserve"> In the last</w:t>
      </w:r>
      <w:r w:rsidR="00702781">
        <w:rPr>
          <w:lang w:eastAsia="en-GB"/>
        </w:rPr>
        <w:t xml:space="preserve"> few</w:t>
      </w:r>
      <w:r w:rsidR="00730146" w:rsidRPr="00730146">
        <w:rPr>
          <w:lang w:eastAsia="en-GB"/>
        </w:rPr>
        <w:t xml:space="preserve"> years, it </w:t>
      </w:r>
      <w:r w:rsidR="00442780">
        <w:rPr>
          <w:lang w:eastAsia="en-GB"/>
        </w:rPr>
        <w:t>has been</w:t>
      </w:r>
      <w:r w:rsidR="00730146" w:rsidRPr="00730146">
        <w:rPr>
          <w:lang w:eastAsia="en-GB"/>
        </w:rPr>
        <w:t xml:space="preserve"> paying increased attention to the human rights impact of new and emerging digital technologies, adopting several resolutions mandating panels, studies, and expert consultations on various aspects of the impacts, opportunities, and challenges of these technologies for human rights.</w:t>
      </w:r>
      <w:r w:rsidR="00D62EEF">
        <w:rPr>
          <w:rStyle w:val="FootnoteReference"/>
          <w:lang w:eastAsia="en-GB"/>
        </w:rPr>
        <w:footnoteReference w:id="50"/>
      </w:r>
      <w:r w:rsidR="00730146" w:rsidRPr="00730146">
        <w:rPr>
          <w:lang w:eastAsia="en-GB"/>
        </w:rPr>
        <w:t xml:space="preserve"> </w:t>
      </w:r>
      <w:r w:rsidR="00A940B7">
        <w:rPr>
          <w:lang w:eastAsia="en-GB"/>
        </w:rPr>
        <w:t>S</w:t>
      </w:r>
      <w:r w:rsidR="00730146" w:rsidRPr="00730146">
        <w:rPr>
          <w:lang w:eastAsia="en-GB"/>
        </w:rPr>
        <w:t xml:space="preserve">pecial </w:t>
      </w:r>
      <w:r w:rsidR="00F0130B">
        <w:rPr>
          <w:lang w:eastAsia="en-GB"/>
        </w:rPr>
        <w:t>P</w:t>
      </w:r>
      <w:r w:rsidR="00730146" w:rsidRPr="00730146">
        <w:rPr>
          <w:lang w:eastAsia="en-GB"/>
        </w:rPr>
        <w:t xml:space="preserve">rocedures </w:t>
      </w:r>
      <w:r w:rsidR="00A940B7">
        <w:rPr>
          <w:lang w:eastAsia="en-GB"/>
        </w:rPr>
        <w:t>mandate holders</w:t>
      </w:r>
      <w:r w:rsidR="00730146" w:rsidRPr="00730146">
        <w:rPr>
          <w:lang w:eastAsia="en-GB"/>
        </w:rPr>
        <w:t xml:space="preserve"> have also made valuable contributions by examining impacts of digital technologies on specific rights and issuing recommendations contributing to the prevention of genocide.  </w:t>
      </w:r>
    </w:p>
    <w:p w14:paraId="40FC79DD" w14:textId="496D2860" w:rsidR="00730146" w:rsidRPr="00BF2F4F" w:rsidRDefault="00045616" w:rsidP="00BF2F4F">
      <w:pPr>
        <w:pStyle w:val="SingleTxtG"/>
        <w:rPr>
          <w:lang w:eastAsia="en-GB"/>
        </w:rPr>
      </w:pPr>
      <w:r>
        <w:rPr>
          <w:lang w:eastAsia="en-GB"/>
        </w:rPr>
        <w:t>56</w:t>
      </w:r>
      <w:r w:rsidR="00485B2C">
        <w:rPr>
          <w:lang w:eastAsia="en-GB"/>
        </w:rPr>
        <w:t>.</w:t>
      </w:r>
      <w:r w:rsidR="00485B2C">
        <w:rPr>
          <w:lang w:eastAsia="en-GB"/>
        </w:rPr>
        <w:tab/>
      </w:r>
      <w:r w:rsidR="00730146" w:rsidRPr="00730146">
        <w:rPr>
          <w:lang w:eastAsia="en-GB"/>
        </w:rPr>
        <w:t>The Guiding Principles on Business and Human Rights</w:t>
      </w:r>
      <w:r w:rsidR="00193B05">
        <w:rPr>
          <w:rStyle w:val="FootnoteReference"/>
          <w:lang w:eastAsia="en-GB"/>
        </w:rPr>
        <w:footnoteReference w:id="51"/>
      </w:r>
      <w:r w:rsidR="00730146" w:rsidRPr="00730146">
        <w:rPr>
          <w:lang w:eastAsia="en-GB"/>
        </w:rPr>
        <w:t xml:space="preserve"> are a powerful tool for governments, the private sector and civil society to ensure that innovation is </w:t>
      </w:r>
      <w:r w:rsidR="00730146" w:rsidRPr="00730146">
        <w:rPr>
          <w:lang w:val="en-US" w:eastAsia="en-GB"/>
        </w:rPr>
        <w:t xml:space="preserve">managed </w:t>
      </w:r>
      <w:r w:rsidR="00730146" w:rsidRPr="00730146">
        <w:rPr>
          <w:lang w:eastAsia="en-GB"/>
        </w:rPr>
        <w:lastRenderedPageBreak/>
        <w:t xml:space="preserve">responsibly and with respect for human rights. Their use can effectively help prevent or mitigate human rights risks of new technologies and hold companies developing these new technologies accountable.  </w:t>
      </w:r>
    </w:p>
    <w:p w14:paraId="006C9311" w14:textId="716A587B" w:rsidR="00730146" w:rsidRPr="00BF2F4F" w:rsidRDefault="00BF2F4F" w:rsidP="00BF2F4F">
      <w:pPr>
        <w:pStyle w:val="HChG"/>
        <w:rPr>
          <w:rFonts w:eastAsia="Calibri"/>
        </w:rPr>
      </w:pPr>
      <w:bookmarkStart w:id="2" w:name="_Hlk133873284"/>
      <w:r>
        <w:rPr>
          <w:rFonts w:eastAsia="Calibri"/>
        </w:rPr>
        <w:tab/>
        <w:t>IV.</w:t>
      </w:r>
      <w:r>
        <w:rPr>
          <w:rFonts w:eastAsia="Calibri"/>
        </w:rPr>
        <w:tab/>
      </w:r>
      <w:r w:rsidR="00730146" w:rsidRPr="00730146">
        <w:rPr>
          <w:rFonts w:eastAsia="Calibri"/>
        </w:rPr>
        <w:t>Conclusions and recommendations</w:t>
      </w:r>
    </w:p>
    <w:p w14:paraId="5F8DB24B" w14:textId="518056C2" w:rsidR="00730146" w:rsidRPr="00BF2F4F" w:rsidRDefault="00BF2F4F" w:rsidP="00BF2F4F">
      <w:pPr>
        <w:pStyle w:val="H1G"/>
        <w:rPr>
          <w:rFonts w:eastAsia="Calibri"/>
          <w:lang w:val="en-US"/>
        </w:rPr>
      </w:pPr>
      <w:r>
        <w:rPr>
          <w:rFonts w:eastAsia="Calibri"/>
          <w:lang w:val="en-US"/>
        </w:rPr>
        <w:tab/>
      </w:r>
      <w:r>
        <w:rPr>
          <w:rFonts w:eastAsia="Calibri"/>
          <w:lang w:val="en-US"/>
        </w:rPr>
        <w:tab/>
      </w:r>
      <w:r w:rsidR="00730146" w:rsidRPr="00730146">
        <w:rPr>
          <w:rFonts w:eastAsia="Calibri"/>
          <w:lang w:val="en-US"/>
        </w:rPr>
        <w:t xml:space="preserve">Strengthening Capacities for the Prevention of Genocide </w:t>
      </w:r>
      <w:bookmarkStart w:id="3" w:name="_Hlk133873064"/>
      <w:bookmarkEnd w:id="2"/>
    </w:p>
    <w:p w14:paraId="7A8E5080" w14:textId="13B2F7D8" w:rsidR="00730146" w:rsidRPr="004E5017" w:rsidRDefault="00045616" w:rsidP="00BF2F4F">
      <w:pPr>
        <w:pStyle w:val="SingleTxtG"/>
        <w:rPr>
          <w:rFonts w:eastAsia="Calibri"/>
          <w:b/>
        </w:rPr>
      </w:pPr>
      <w:r>
        <w:rPr>
          <w:rFonts w:eastAsia="Calibri"/>
        </w:rPr>
        <w:t>57</w:t>
      </w:r>
      <w:r w:rsidR="00485B2C">
        <w:rPr>
          <w:rFonts w:eastAsia="Calibri"/>
        </w:rPr>
        <w:t>.</w:t>
      </w:r>
      <w:r w:rsidR="00485B2C">
        <w:rPr>
          <w:rFonts w:eastAsia="Calibri"/>
        </w:rPr>
        <w:tab/>
      </w:r>
      <w:r w:rsidR="00730146" w:rsidRPr="004E5017">
        <w:rPr>
          <w:rFonts w:eastAsia="Calibri"/>
          <w:b/>
        </w:rPr>
        <w:t xml:space="preserve">Prevention of genocide requires our constant vigilance and action. We </w:t>
      </w:r>
      <w:proofErr w:type="gramStart"/>
      <w:r w:rsidR="00730146" w:rsidRPr="004E5017">
        <w:rPr>
          <w:rFonts w:eastAsia="Calibri"/>
          <w:b/>
        </w:rPr>
        <w:t>have to</w:t>
      </w:r>
      <w:proofErr w:type="gramEnd"/>
      <w:r w:rsidR="00730146" w:rsidRPr="004E5017">
        <w:rPr>
          <w:rFonts w:eastAsia="Calibri"/>
          <w:b/>
        </w:rPr>
        <w:t xml:space="preserve"> invest in prevention early to address risk factors before they escalate into more serious concern</w:t>
      </w:r>
      <w:r w:rsidR="003A7BEE">
        <w:rPr>
          <w:rFonts w:eastAsia="Calibri"/>
          <w:b/>
        </w:rPr>
        <w:t>s</w:t>
      </w:r>
      <w:r w:rsidR="00730146" w:rsidRPr="004E5017">
        <w:rPr>
          <w:rFonts w:eastAsia="Calibri"/>
          <w:b/>
        </w:rPr>
        <w:t>. A prevention of genocide approach needs to be integrated in the broader prevention agenda of the UN system. I urge States to prioritize prevention of genocide at the national, regional, and international level by implementing the following measures:</w:t>
      </w:r>
    </w:p>
    <w:p w14:paraId="374B5335" w14:textId="01C69E58" w:rsidR="00730146" w:rsidRPr="00BF2F4F" w:rsidRDefault="00BF2F4F" w:rsidP="00BF2F4F">
      <w:pPr>
        <w:pStyle w:val="H1G"/>
        <w:rPr>
          <w:rFonts w:eastAsia="Calibri"/>
        </w:rPr>
      </w:pPr>
      <w:r>
        <w:rPr>
          <w:rFonts w:eastAsia="Calibri"/>
        </w:rPr>
        <w:tab/>
      </w:r>
      <w:r>
        <w:rPr>
          <w:rFonts w:eastAsia="Calibri"/>
        </w:rPr>
        <w:tab/>
      </w:r>
      <w:r w:rsidR="00730146" w:rsidRPr="00730146">
        <w:rPr>
          <w:rFonts w:eastAsia="Calibri"/>
        </w:rPr>
        <w:t xml:space="preserve">For Member States </w:t>
      </w:r>
    </w:p>
    <w:p w14:paraId="5FC3EDD2" w14:textId="6243E4DE" w:rsidR="00730146" w:rsidRPr="004E5017" w:rsidRDefault="00045616" w:rsidP="00485B2C">
      <w:pPr>
        <w:pStyle w:val="SingleTxtG"/>
        <w:rPr>
          <w:rFonts w:eastAsia="Calibri"/>
          <w:b/>
        </w:rPr>
      </w:pPr>
      <w:r>
        <w:rPr>
          <w:rFonts w:eastAsia="Calibri"/>
        </w:rPr>
        <w:t>58</w:t>
      </w:r>
      <w:r w:rsidR="00485B2C">
        <w:rPr>
          <w:rFonts w:eastAsia="Calibri"/>
        </w:rPr>
        <w:t>.</w:t>
      </w:r>
      <w:r w:rsidR="00485B2C">
        <w:rPr>
          <w:rFonts w:eastAsia="Calibri"/>
        </w:rPr>
        <w:tab/>
      </w:r>
      <w:r w:rsidR="00730146" w:rsidRPr="004E5017">
        <w:rPr>
          <w:rFonts w:eastAsia="Calibri"/>
          <w:b/>
        </w:rPr>
        <w:t xml:space="preserve">Build capacity to prevent genocide </w:t>
      </w:r>
      <w:r w:rsidR="004F5D9B" w:rsidRPr="004F5D9B">
        <w:rPr>
          <w:rFonts w:eastAsia="Calibri"/>
          <w:b/>
          <w:bCs/>
        </w:rPr>
        <w:t>and establish or strengthen national mechanisms for prevention</w:t>
      </w:r>
      <w:r w:rsidR="00730146" w:rsidRPr="004E5017">
        <w:rPr>
          <w:rFonts w:eastAsia="Calibri"/>
          <w:b/>
        </w:rPr>
        <w:t xml:space="preserve">. </w:t>
      </w:r>
    </w:p>
    <w:p w14:paraId="7A877BC2" w14:textId="37CDE1E0" w:rsidR="00730146" w:rsidRPr="004E5017" w:rsidRDefault="00045616" w:rsidP="00485B2C">
      <w:pPr>
        <w:pStyle w:val="SingleTxtG"/>
        <w:rPr>
          <w:b/>
          <w:lang w:eastAsia="en-GB"/>
        </w:rPr>
      </w:pPr>
      <w:r>
        <w:rPr>
          <w:shd w:val="clear" w:color="auto" w:fill="FFFFFF"/>
          <w:lang w:eastAsia="en-GB"/>
        </w:rPr>
        <w:t>59</w:t>
      </w:r>
      <w:r w:rsidR="00485B2C">
        <w:rPr>
          <w:shd w:val="clear" w:color="auto" w:fill="FFFFFF"/>
          <w:lang w:eastAsia="en-GB"/>
        </w:rPr>
        <w:t>.</w:t>
      </w:r>
      <w:r w:rsidR="00485B2C">
        <w:rPr>
          <w:shd w:val="clear" w:color="auto" w:fill="FFFFFF"/>
          <w:lang w:eastAsia="en-GB"/>
        </w:rPr>
        <w:tab/>
      </w:r>
      <w:r w:rsidR="00730146" w:rsidRPr="004E5017">
        <w:rPr>
          <w:b/>
          <w:shd w:val="clear" w:color="auto" w:fill="FFFFFF"/>
          <w:lang w:eastAsia="en-GB"/>
        </w:rPr>
        <w:t>C</w:t>
      </w:r>
      <w:r w:rsidR="00730146" w:rsidRPr="004E5017">
        <w:rPr>
          <w:b/>
          <w:lang w:eastAsia="en-GB"/>
        </w:rPr>
        <w:t xml:space="preserve">onsider the appointment of focal points on the prevention of genocide, who could cooperate and exchange information and best practices among themselves and with </w:t>
      </w:r>
      <w:r w:rsidR="00730146" w:rsidRPr="004E5017" w:rsidDel="00E3656A">
        <w:rPr>
          <w:b/>
          <w:lang w:eastAsia="en-GB"/>
        </w:rPr>
        <w:t xml:space="preserve">the </w:t>
      </w:r>
      <w:r w:rsidR="00730146" w:rsidRPr="004E5017">
        <w:rPr>
          <w:b/>
          <w:lang w:eastAsia="en-GB"/>
        </w:rPr>
        <w:t xml:space="preserve">Special Adviser on the Prevention of Genocide, relevant United Nations bodies and with regional and subregional mechanisms. </w:t>
      </w:r>
    </w:p>
    <w:p w14:paraId="3AA3C5F3" w14:textId="09F9014D" w:rsidR="00730146" w:rsidRPr="004E5017" w:rsidRDefault="00485B2C" w:rsidP="00485B2C">
      <w:pPr>
        <w:pStyle w:val="SingleTxtG"/>
        <w:rPr>
          <w:rFonts w:eastAsia="Calibri"/>
          <w:b/>
        </w:rPr>
      </w:pPr>
      <w:r>
        <w:rPr>
          <w:rFonts w:eastAsia="Calibri"/>
        </w:rPr>
        <w:t>6</w:t>
      </w:r>
      <w:r w:rsidR="00045616">
        <w:rPr>
          <w:rFonts w:eastAsia="Calibri"/>
        </w:rPr>
        <w:t>0</w:t>
      </w:r>
      <w:r>
        <w:rPr>
          <w:rFonts w:eastAsia="Calibri"/>
        </w:rPr>
        <w:t>.</w:t>
      </w:r>
      <w:r>
        <w:rPr>
          <w:rFonts w:eastAsia="Calibri"/>
        </w:rPr>
        <w:tab/>
      </w:r>
      <w:r w:rsidR="000C0AA6" w:rsidRPr="000C0AA6">
        <w:rPr>
          <w:rFonts w:eastAsia="Calibri"/>
          <w:b/>
        </w:rPr>
        <w:t>For States which have not yet done so</w:t>
      </w:r>
      <w:r w:rsidR="000C0AA6">
        <w:rPr>
          <w:rFonts w:eastAsia="Calibri"/>
          <w:b/>
        </w:rPr>
        <w:t>,</w:t>
      </w:r>
      <w:r w:rsidR="000C0AA6" w:rsidRPr="000C0AA6">
        <w:rPr>
          <w:rFonts w:eastAsia="Calibri"/>
        </w:rPr>
        <w:t xml:space="preserve"> </w:t>
      </w:r>
      <w:r w:rsidR="000C0AA6">
        <w:rPr>
          <w:rFonts w:eastAsia="Calibri"/>
          <w:b/>
        </w:rPr>
        <w:t>b</w:t>
      </w:r>
      <w:r w:rsidR="00730146" w:rsidRPr="004E5017">
        <w:rPr>
          <w:rFonts w:eastAsia="Calibri"/>
          <w:b/>
        </w:rPr>
        <w:t xml:space="preserve">ecome party to the Genocide Convention </w:t>
      </w:r>
      <w:r w:rsidR="00702F8E">
        <w:rPr>
          <w:rFonts w:eastAsia="Calibri"/>
          <w:b/>
        </w:rPr>
        <w:t>a</w:t>
      </w:r>
      <w:r w:rsidR="00730146" w:rsidRPr="004E5017">
        <w:rPr>
          <w:rFonts w:eastAsia="Calibri"/>
          <w:b/>
        </w:rPr>
        <w:t>nd criminalize genocide in national legislation.</w:t>
      </w:r>
    </w:p>
    <w:p w14:paraId="37EDDA83" w14:textId="30B38A44" w:rsidR="00730146" w:rsidRPr="004E5017" w:rsidRDefault="00485B2C" w:rsidP="00485B2C">
      <w:pPr>
        <w:pStyle w:val="SingleTxtG"/>
        <w:rPr>
          <w:rFonts w:eastAsia="Calibri"/>
          <w:b/>
        </w:rPr>
      </w:pPr>
      <w:r>
        <w:rPr>
          <w:rFonts w:eastAsia="Calibri"/>
        </w:rPr>
        <w:t>6</w:t>
      </w:r>
      <w:r w:rsidR="00045616">
        <w:rPr>
          <w:rFonts w:eastAsia="Calibri"/>
        </w:rPr>
        <w:t>1</w:t>
      </w:r>
      <w:r>
        <w:rPr>
          <w:rFonts w:eastAsia="Calibri"/>
        </w:rPr>
        <w:t>.</w:t>
      </w:r>
      <w:r>
        <w:rPr>
          <w:rFonts w:eastAsia="Calibri"/>
        </w:rPr>
        <w:tab/>
      </w:r>
      <w:r w:rsidR="00730146" w:rsidRPr="004E5017">
        <w:rPr>
          <w:rFonts w:eastAsia="Calibri"/>
          <w:b/>
        </w:rPr>
        <w:t xml:space="preserve">Develop inclusive national genocide prevention policies, fulfil collective responsibilities to protect populations from atrocity crimes and establish or strengthen national mechanisms for genocide prevention. </w:t>
      </w:r>
    </w:p>
    <w:p w14:paraId="3AE4A842" w14:textId="5E46D3C0" w:rsidR="00730146" w:rsidRPr="004E5017" w:rsidRDefault="00485B2C" w:rsidP="00485B2C">
      <w:pPr>
        <w:pStyle w:val="SingleTxtG"/>
        <w:rPr>
          <w:rFonts w:eastAsia="Calibri"/>
          <w:b/>
        </w:rPr>
      </w:pPr>
      <w:r>
        <w:rPr>
          <w:rFonts w:eastAsia="Calibri"/>
        </w:rPr>
        <w:t>6</w:t>
      </w:r>
      <w:r w:rsidR="00045616">
        <w:rPr>
          <w:rFonts w:eastAsia="Calibri"/>
        </w:rPr>
        <w:t>2</w:t>
      </w:r>
      <w:r>
        <w:rPr>
          <w:rFonts w:eastAsia="Calibri"/>
        </w:rPr>
        <w:t>.</w:t>
      </w:r>
      <w:r>
        <w:rPr>
          <w:rFonts w:eastAsia="Calibri"/>
        </w:rPr>
        <w:tab/>
      </w:r>
      <w:r w:rsidR="00730146" w:rsidRPr="004E5017">
        <w:rPr>
          <w:rFonts w:eastAsia="Calibri"/>
          <w:b/>
        </w:rPr>
        <w:t xml:space="preserve">Conduct </w:t>
      </w:r>
      <w:r w:rsidR="00762243">
        <w:rPr>
          <w:rFonts w:eastAsia="Calibri"/>
          <w:b/>
        </w:rPr>
        <w:t xml:space="preserve">a </w:t>
      </w:r>
      <w:r w:rsidR="00730146" w:rsidRPr="004E5017">
        <w:rPr>
          <w:rFonts w:eastAsia="Calibri"/>
          <w:b/>
        </w:rPr>
        <w:t xml:space="preserve">regular national assessment of existing risks, </w:t>
      </w:r>
      <w:proofErr w:type="gramStart"/>
      <w:r w:rsidR="00D13DBF">
        <w:rPr>
          <w:rFonts w:eastAsia="Calibri"/>
          <w:b/>
        </w:rPr>
        <w:t xml:space="preserve">which </w:t>
      </w:r>
      <w:r w:rsidR="00730146" w:rsidRPr="004E5017">
        <w:rPr>
          <w:rFonts w:eastAsia="Calibri"/>
          <w:b/>
        </w:rPr>
        <w:t xml:space="preserve"> should</w:t>
      </w:r>
      <w:proofErr w:type="gramEnd"/>
      <w:r w:rsidR="00730146" w:rsidRPr="004E5017">
        <w:rPr>
          <w:rFonts w:eastAsia="Calibri"/>
          <w:b/>
        </w:rPr>
        <w:t xml:space="preserve"> be system-wide, include the identification of vulnerable populations and ensure their participation in the formulation of recommendations that address identified risks. </w:t>
      </w:r>
    </w:p>
    <w:p w14:paraId="398263C9" w14:textId="414F3A72" w:rsidR="00730146" w:rsidRPr="004E5017" w:rsidRDefault="00485B2C" w:rsidP="003530FE">
      <w:pPr>
        <w:pStyle w:val="SingleTxtG"/>
        <w:rPr>
          <w:rFonts w:eastAsia="Calibri"/>
          <w:b/>
        </w:rPr>
      </w:pPr>
      <w:r>
        <w:rPr>
          <w:rFonts w:eastAsia="Calibri"/>
        </w:rPr>
        <w:t>6</w:t>
      </w:r>
      <w:r w:rsidR="00045616">
        <w:rPr>
          <w:rFonts w:eastAsia="Calibri"/>
        </w:rPr>
        <w:t>3</w:t>
      </w:r>
      <w:r>
        <w:rPr>
          <w:rFonts w:eastAsia="Calibri"/>
        </w:rPr>
        <w:t>.</w:t>
      </w:r>
      <w:r>
        <w:rPr>
          <w:rFonts w:eastAsia="Calibri"/>
        </w:rPr>
        <w:tab/>
      </w:r>
      <w:r w:rsidR="00730146" w:rsidRPr="004E5017">
        <w:rPr>
          <w:rFonts w:eastAsia="Calibri"/>
          <w:b/>
        </w:rPr>
        <w:t xml:space="preserve">Work closely with and support the engagement of civil society in risk assessment and in addressing identified risks. </w:t>
      </w:r>
    </w:p>
    <w:p w14:paraId="5A3AF0C2" w14:textId="5350CBC7" w:rsidR="00730146" w:rsidRPr="004E5017" w:rsidRDefault="00485B2C" w:rsidP="00485B2C">
      <w:pPr>
        <w:pStyle w:val="SingleTxtG"/>
        <w:rPr>
          <w:rFonts w:eastAsia="Calibri"/>
          <w:b/>
        </w:rPr>
      </w:pPr>
      <w:r>
        <w:rPr>
          <w:rFonts w:eastAsia="Calibri"/>
        </w:rPr>
        <w:t>6</w:t>
      </w:r>
      <w:r w:rsidR="00045616">
        <w:rPr>
          <w:rFonts w:eastAsia="Calibri"/>
        </w:rPr>
        <w:t>4</w:t>
      </w:r>
      <w:r>
        <w:rPr>
          <w:rFonts w:eastAsia="Calibri"/>
        </w:rPr>
        <w:t>.</w:t>
      </w:r>
      <w:r>
        <w:rPr>
          <w:rFonts w:eastAsia="Calibri"/>
        </w:rPr>
        <w:tab/>
      </w:r>
      <w:r w:rsidR="00730146" w:rsidRPr="004E5017">
        <w:rPr>
          <w:rFonts w:eastAsia="Calibri"/>
          <w:b/>
        </w:rPr>
        <w:t xml:space="preserve">Join existing or create relevant regional or sub-regional initiatives on prevention of genocide. States that are already part of early warning mechanisms or networks at the regional or sub-regional level </w:t>
      </w:r>
      <w:r w:rsidR="008C29E4">
        <w:rPr>
          <w:rFonts w:eastAsia="Calibri"/>
          <w:b/>
        </w:rPr>
        <w:t>should</w:t>
      </w:r>
      <w:r w:rsidR="00730146" w:rsidRPr="004E5017">
        <w:rPr>
          <w:rFonts w:eastAsia="Calibri"/>
          <w:b/>
        </w:rPr>
        <w:t xml:space="preserve"> work towards including an atrocity prevention lens into these mechanisms. </w:t>
      </w:r>
    </w:p>
    <w:p w14:paraId="22331B0B" w14:textId="5332FEC8" w:rsidR="00730146" w:rsidRPr="00730146" w:rsidRDefault="00045616" w:rsidP="00485B2C">
      <w:pPr>
        <w:pStyle w:val="SingleTxtG"/>
        <w:rPr>
          <w:rFonts w:eastAsia="Calibri"/>
        </w:rPr>
      </w:pPr>
      <w:r>
        <w:rPr>
          <w:rFonts w:eastAsia="Calibri"/>
        </w:rPr>
        <w:t>65</w:t>
      </w:r>
      <w:r w:rsidR="00485B2C">
        <w:rPr>
          <w:rFonts w:eastAsia="Calibri"/>
        </w:rPr>
        <w:t>.</w:t>
      </w:r>
      <w:r w:rsidR="00485B2C">
        <w:rPr>
          <w:rFonts w:eastAsia="Calibri"/>
        </w:rPr>
        <w:tab/>
      </w:r>
      <w:r w:rsidR="00730146" w:rsidRPr="004E5017">
        <w:rPr>
          <w:rFonts w:eastAsia="Calibri"/>
          <w:b/>
        </w:rPr>
        <w:t xml:space="preserve">Continue cooperation with </w:t>
      </w:r>
      <w:r w:rsidR="00C14ECE">
        <w:rPr>
          <w:rFonts w:eastAsia="Calibri"/>
          <w:b/>
        </w:rPr>
        <w:t>the</w:t>
      </w:r>
      <w:r w:rsidR="00730146" w:rsidRPr="004E5017">
        <w:rPr>
          <w:rFonts w:eastAsia="Calibri"/>
          <w:b/>
        </w:rPr>
        <w:t xml:space="preserve"> Special Adviser on the Prevention of Genocide</w:t>
      </w:r>
      <w:r w:rsidR="00182BA9">
        <w:rPr>
          <w:rFonts w:eastAsia="Calibri"/>
          <w:b/>
        </w:rPr>
        <w:t>,</w:t>
      </w:r>
      <w:r w:rsidR="00730146" w:rsidRPr="004E5017">
        <w:rPr>
          <w:rFonts w:eastAsia="Calibri"/>
          <w:b/>
        </w:rPr>
        <w:t xml:space="preserve"> including by invitations to support country level risk assessment and response</w:t>
      </w:r>
      <w:r w:rsidR="00BF1409">
        <w:rPr>
          <w:rFonts w:eastAsia="Calibri"/>
          <w:b/>
        </w:rPr>
        <w:t>s</w:t>
      </w:r>
      <w:r w:rsidR="00730146" w:rsidRPr="004E5017">
        <w:rPr>
          <w:rFonts w:eastAsia="Calibri"/>
          <w:b/>
        </w:rPr>
        <w:t xml:space="preserve"> based on technical assistance and capacity building support; to brief relevant bodies, including the Security Council and the Human Rights Council, on situations of concern where elements of the risk of genocide are present. Take follow-up </w:t>
      </w:r>
      <w:proofErr w:type="gramStart"/>
      <w:r w:rsidR="00730146" w:rsidRPr="004E5017">
        <w:rPr>
          <w:rFonts w:eastAsia="Calibri"/>
          <w:b/>
        </w:rPr>
        <w:t>action</w:t>
      </w:r>
      <w:proofErr w:type="gramEnd"/>
      <w:r w:rsidR="00730146" w:rsidRPr="004E5017">
        <w:rPr>
          <w:rFonts w:eastAsia="Calibri"/>
          <w:b/>
        </w:rPr>
        <w:t xml:space="preserve"> accordingly, utilizing all the tools available to prevent genocide and to strengthen international accountability for such crimes</w:t>
      </w:r>
      <w:r w:rsidR="00730146" w:rsidRPr="00730146">
        <w:rPr>
          <w:rFonts w:eastAsia="Calibri"/>
        </w:rPr>
        <w:t xml:space="preserve">. </w:t>
      </w:r>
    </w:p>
    <w:p w14:paraId="1DA1434C" w14:textId="51DF157C" w:rsidR="00730146" w:rsidRPr="004E5017" w:rsidRDefault="00045616" w:rsidP="00485B2C">
      <w:pPr>
        <w:pStyle w:val="SingleTxtG"/>
        <w:rPr>
          <w:rFonts w:eastAsia="Calibri"/>
          <w:b/>
        </w:rPr>
      </w:pPr>
      <w:r>
        <w:rPr>
          <w:rFonts w:eastAsia="Calibri"/>
        </w:rPr>
        <w:t>66</w:t>
      </w:r>
      <w:r w:rsidR="004E5017">
        <w:rPr>
          <w:rFonts w:eastAsia="Calibri"/>
        </w:rPr>
        <w:t>.</w:t>
      </w:r>
      <w:r w:rsidR="004E5017">
        <w:rPr>
          <w:rFonts w:eastAsia="Calibri"/>
        </w:rPr>
        <w:tab/>
      </w:r>
      <w:r w:rsidR="001D225F">
        <w:rPr>
          <w:rFonts w:eastAsia="Calibri"/>
          <w:b/>
        </w:rPr>
        <w:t>Where relevant</w:t>
      </w:r>
      <w:r w:rsidR="00730146" w:rsidRPr="004E5017">
        <w:rPr>
          <w:rFonts w:eastAsia="Calibri"/>
          <w:b/>
        </w:rPr>
        <w:t xml:space="preserve">, consider setting up national prevention mechanisms.  </w:t>
      </w:r>
    </w:p>
    <w:p w14:paraId="4E9F8D54" w14:textId="764821A4" w:rsidR="00730146" w:rsidRPr="004E5017" w:rsidRDefault="00045616" w:rsidP="00485B2C">
      <w:pPr>
        <w:pStyle w:val="SingleTxtG"/>
        <w:rPr>
          <w:rFonts w:eastAsia="Calibri"/>
          <w:b/>
        </w:rPr>
      </w:pPr>
      <w:r>
        <w:rPr>
          <w:rFonts w:eastAsia="Calibri"/>
        </w:rPr>
        <w:t>67</w:t>
      </w:r>
      <w:r w:rsidR="004E5017">
        <w:rPr>
          <w:rFonts w:eastAsia="Calibri"/>
        </w:rPr>
        <w:t>.</w:t>
      </w:r>
      <w:r w:rsidR="004E5017">
        <w:rPr>
          <w:rFonts w:eastAsia="Calibri"/>
        </w:rPr>
        <w:tab/>
      </w:r>
      <w:r w:rsidR="00730146" w:rsidRPr="004E5017">
        <w:rPr>
          <w:rFonts w:eastAsia="Calibri"/>
          <w:b/>
        </w:rPr>
        <w:t>Continue to promote the prevention role of the Human Rights Council by acting on warning signs of potential genocide or other atrocity</w:t>
      </w:r>
      <w:r w:rsidR="000F6FE8">
        <w:rPr>
          <w:rFonts w:eastAsia="Calibri"/>
          <w:b/>
        </w:rPr>
        <w:t xml:space="preserve"> crimes</w:t>
      </w:r>
      <w:r w:rsidR="00730146" w:rsidRPr="004E5017">
        <w:rPr>
          <w:rFonts w:eastAsia="Calibri"/>
          <w:b/>
        </w:rPr>
        <w:t xml:space="preserve">. </w:t>
      </w:r>
    </w:p>
    <w:p w14:paraId="59FDBDBC" w14:textId="48B0A544" w:rsidR="00730146" w:rsidRPr="004E5017" w:rsidRDefault="00045616" w:rsidP="00485B2C">
      <w:pPr>
        <w:pStyle w:val="SingleTxtG"/>
        <w:rPr>
          <w:rFonts w:eastAsia="Calibri"/>
          <w:b/>
        </w:rPr>
      </w:pPr>
      <w:r>
        <w:rPr>
          <w:rFonts w:eastAsia="Calibri"/>
        </w:rPr>
        <w:t>68</w:t>
      </w:r>
      <w:r w:rsidR="004E5017">
        <w:rPr>
          <w:rFonts w:eastAsia="Calibri"/>
        </w:rPr>
        <w:t>.</w:t>
      </w:r>
      <w:r w:rsidR="004E5017">
        <w:rPr>
          <w:rFonts w:eastAsia="Calibri"/>
        </w:rPr>
        <w:tab/>
      </w:r>
      <w:r w:rsidR="00730146" w:rsidRPr="004E5017">
        <w:rPr>
          <w:rFonts w:eastAsia="Calibri"/>
          <w:b/>
        </w:rPr>
        <w:t>Continue to utilize tools such as fact-finding missions, commissions of inquiry and Special Rapporteur mandate holders to support prevention and accountability for atrocity crimes.</w:t>
      </w:r>
    </w:p>
    <w:p w14:paraId="10BC3696" w14:textId="3BC102F6" w:rsidR="00730146" w:rsidRPr="00BF2F4F" w:rsidRDefault="00045616" w:rsidP="00BF2F4F">
      <w:pPr>
        <w:pStyle w:val="SingleTxtG"/>
        <w:rPr>
          <w:rFonts w:eastAsia="Calibri"/>
          <w:b/>
        </w:rPr>
      </w:pPr>
      <w:r>
        <w:rPr>
          <w:rFonts w:eastAsia="Calibri"/>
        </w:rPr>
        <w:lastRenderedPageBreak/>
        <w:t>69</w:t>
      </w:r>
      <w:r w:rsidR="004E5017">
        <w:rPr>
          <w:rFonts w:eastAsia="Calibri"/>
        </w:rPr>
        <w:t>.</w:t>
      </w:r>
      <w:r w:rsidR="004E5017">
        <w:rPr>
          <w:rFonts w:eastAsia="Calibri"/>
        </w:rPr>
        <w:tab/>
      </w:r>
      <w:r w:rsidR="00730146" w:rsidRPr="004E5017">
        <w:rPr>
          <w:rFonts w:eastAsia="Calibri"/>
          <w:b/>
        </w:rPr>
        <w:t>Explore further enhancing in national reports and outcome documents of the Universal Periodic Review an assessment of measures being taken to prevent the commission of genocide and specific recommendations to address risks.</w:t>
      </w:r>
    </w:p>
    <w:p w14:paraId="1356E33B" w14:textId="45BC76B3" w:rsidR="00730146" w:rsidRPr="00730146" w:rsidRDefault="00BF2F4F" w:rsidP="00BF2F4F">
      <w:pPr>
        <w:pStyle w:val="H1G"/>
        <w:rPr>
          <w:rFonts w:eastAsia="Calibri"/>
        </w:rPr>
      </w:pPr>
      <w:r>
        <w:rPr>
          <w:rFonts w:eastAsia="Calibri"/>
        </w:rPr>
        <w:tab/>
      </w:r>
      <w:r>
        <w:rPr>
          <w:rFonts w:eastAsia="Calibri"/>
        </w:rPr>
        <w:tab/>
      </w:r>
      <w:r w:rsidR="00730146" w:rsidRPr="00730146">
        <w:rPr>
          <w:rFonts w:eastAsia="Calibri"/>
        </w:rPr>
        <w:t>For Regional Organizations</w:t>
      </w:r>
    </w:p>
    <w:p w14:paraId="075812B2" w14:textId="769B685D" w:rsidR="00730146" w:rsidRPr="004E5017" w:rsidRDefault="004E5017" w:rsidP="004E5017">
      <w:pPr>
        <w:pStyle w:val="SingleTxtG"/>
        <w:rPr>
          <w:rFonts w:eastAsia="Calibri"/>
          <w:b/>
        </w:rPr>
      </w:pPr>
      <w:r>
        <w:rPr>
          <w:rFonts w:eastAsia="Calibri"/>
        </w:rPr>
        <w:t>7</w:t>
      </w:r>
      <w:r w:rsidR="00045616">
        <w:rPr>
          <w:rFonts w:eastAsia="Calibri"/>
        </w:rPr>
        <w:t>0</w:t>
      </w:r>
      <w:r>
        <w:rPr>
          <w:rFonts w:eastAsia="Calibri"/>
        </w:rPr>
        <w:t>.</w:t>
      </w:r>
      <w:r>
        <w:rPr>
          <w:rFonts w:eastAsia="Calibri"/>
        </w:rPr>
        <w:tab/>
      </w:r>
      <w:r w:rsidR="00730146" w:rsidRPr="004E5017">
        <w:rPr>
          <w:rFonts w:eastAsia="Calibri"/>
          <w:b/>
        </w:rPr>
        <w:t xml:space="preserve">Establish or integrate into existing early warning mechanisms risk factors of genocide and support action to address risks identified. </w:t>
      </w:r>
    </w:p>
    <w:p w14:paraId="0ACAB954" w14:textId="42FF9F30" w:rsidR="00730146" w:rsidRPr="00BF2F4F" w:rsidRDefault="004E5017" w:rsidP="00BF2F4F">
      <w:pPr>
        <w:pStyle w:val="SingleTxtG"/>
        <w:rPr>
          <w:rFonts w:eastAsia="Calibri"/>
          <w:b/>
        </w:rPr>
      </w:pPr>
      <w:r>
        <w:rPr>
          <w:rFonts w:eastAsia="Calibri"/>
        </w:rPr>
        <w:t>7</w:t>
      </w:r>
      <w:r w:rsidR="00045616">
        <w:rPr>
          <w:rFonts w:eastAsia="Calibri"/>
        </w:rPr>
        <w:t>1</w:t>
      </w:r>
      <w:r>
        <w:rPr>
          <w:rFonts w:eastAsia="Calibri"/>
        </w:rPr>
        <w:t>.</w:t>
      </w:r>
      <w:r>
        <w:rPr>
          <w:rFonts w:eastAsia="Calibri"/>
        </w:rPr>
        <w:tab/>
      </w:r>
      <w:r w:rsidR="00730146" w:rsidRPr="004E5017">
        <w:rPr>
          <w:rFonts w:eastAsia="Calibri"/>
          <w:b/>
        </w:rPr>
        <w:t xml:space="preserve">Promote exchange and sharing of good practices on preventing genocide at regional levels. </w:t>
      </w:r>
    </w:p>
    <w:p w14:paraId="5E4F0F93" w14:textId="02B8E3DD" w:rsidR="00730146" w:rsidRPr="00BF2F4F" w:rsidRDefault="00BF2F4F" w:rsidP="00BF2F4F">
      <w:pPr>
        <w:pStyle w:val="H1G"/>
        <w:rPr>
          <w:rFonts w:eastAsia="Calibri"/>
        </w:rPr>
      </w:pPr>
      <w:r>
        <w:rPr>
          <w:rFonts w:eastAsia="Calibri"/>
        </w:rPr>
        <w:tab/>
      </w:r>
      <w:r>
        <w:rPr>
          <w:rFonts w:eastAsia="Calibri"/>
        </w:rPr>
        <w:tab/>
      </w:r>
      <w:r w:rsidR="00730146" w:rsidRPr="00730146">
        <w:rPr>
          <w:rFonts w:eastAsia="Calibri"/>
        </w:rPr>
        <w:t>For civil society</w:t>
      </w:r>
    </w:p>
    <w:p w14:paraId="1A1560C2" w14:textId="638AC163" w:rsidR="00730146" w:rsidRPr="004E5017" w:rsidRDefault="004E5017" w:rsidP="004E5017">
      <w:pPr>
        <w:pStyle w:val="SingleTxtG"/>
        <w:rPr>
          <w:rFonts w:eastAsia="Calibri"/>
          <w:b/>
        </w:rPr>
      </w:pPr>
      <w:r>
        <w:rPr>
          <w:rFonts w:eastAsia="Calibri"/>
        </w:rPr>
        <w:t>7</w:t>
      </w:r>
      <w:r w:rsidR="00045616">
        <w:rPr>
          <w:rFonts w:eastAsia="Calibri"/>
        </w:rPr>
        <w:t>2</w:t>
      </w:r>
      <w:r>
        <w:rPr>
          <w:rFonts w:eastAsia="Calibri"/>
        </w:rPr>
        <w:t>.</w:t>
      </w:r>
      <w:r>
        <w:rPr>
          <w:rFonts w:eastAsia="Calibri"/>
        </w:rPr>
        <w:tab/>
      </w:r>
      <w:r w:rsidR="00730146" w:rsidRPr="004E5017">
        <w:rPr>
          <w:rFonts w:eastAsia="Calibri"/>
          <w:b/>
        </w:rPr>
        <w:t xml:space="preserve">Continue to monitor and raise alarm of risk factors of genocide and bring to the attention of States, the UN </w:t>
      </w:r>
      <w:proofErr w:type="gramStart"/>
      <w:r w:rsidR="00730146" w:rsidRPr="004E5017">
        <w:rPr>
          <w:rFonts w:eastAsia="Calibri"/>
          <w:b/>
        </w:rPr>
        <w:t>system</w:t>
      </w:r>
      <w:proofErr w:type="gramEnd"/>
      <w:r w:rsidR="00730146" w:rsidRPr="004E5017">
        <w:rPr>
          <w:rFonts w:eastAsia="Calibri"/>
          <w:b/>
        </w:rPr>
        <w:t xml:space="preserve"> and other relevant actors, including through the Human Rights Council.</w:t>
      </w:r>
    </w:p>
    <w:p w14:paraId="412DAA99" w14:textId="5D29E1B5" w:rsidR="00730146" w:rsidRPr="004E5017" w:rsidRDefault="004E5017" w:rsidP="004E5017">
      <w:pPr>
        <w:pStyle w:val="SingleTxtG"/>
        <w:rPr>
          <w:rFonts w:eastAsia="Calibri"/>
          <w:b/>
        </w:rPr>
      </w:pPr>
      <w:r>
        <w:rPr>
          <w:rFonts w:eastAsia="Calibri"/>
        </w:rPr>
        <w:t>7</w:t>
      </w:r>
      <w:r w:rsidR="00045616">
        <w:rPr>
          <w:rFonts w:eastAsia="Calibri"/>
        </w:rPr>
        <w:t>3</w:t>
      </w:r>
      <w:r>
        <w:rPr>
          <w:rFonts w:eastAsia="Calibri"/>
        </w:rPr>
        <w:t>.</w:t>
      </w:r>
      <w:r>
        <w:rPr>
          <w:rFonts w:eastAsia="Calibri"/>
        </w:rPr>
        <w:tab/>
      </w:r>
      <w:r w:rsidR="00730146" w:rsidRPr="004E5017">
        <w:rPr>
          <w:rFonts w:eastAsia="Calibri"/>
          <w:b/>
        </w:rPr>
        <w:t xml:space="preserve">Support awareness raising on </w:t>
      </w:r>
      <w:r w:rsidR="0086344A">
        <w:rPr>
          <w:rFonts w:eastAsia="Calibri"/>
          <w:b/>
        </w:rPr>
        <w:t xml:space="preserve">the </w:t>
      </w:r>
      <w:r w:rsidR="00730146" w:rsidRPr="004E5017">
        <w:rPr>
          <w:rFonts w:eastAsia="Calibri"/>
          <w:b/>
        </w:rPr>
        <w:t xml:space="preserve">importance of prevention and teaching on past genocides through education, including specific indicators of risk such as hate speech and Holocaust and genocide denial. </w:t>
      </w:r>
    </w:p>
    <w:p w14:paraId="004AA2AD" w14:textId="5A49D81C" w:rsidR="00730146" w:rsidRPr="00BF2F4F" w:rsidRDefault="004E5017" w:rsidP="00BF2F4F">
      <w:pPr>
        <w:pStyle w:val="SingleTxtG"/>
        <w:rPr>
          <w:rFonts w:eastAsia="Calibri"/>
          <w:b/>
          <w:bCs/>
        </w:rPr>
      </w:pPr>
      <w:r>
        <w:rPr>
          <w:rFonts w:eastAsia="Calibri"/>
        </w:rPr>
        <w:t>7</w:t>
      </w:r>
      <w:r w:rsidR="00045616">
        <w:rPr>
          <w:rFonts w:eastAsia="Calibri"/>
        </w:rPr>
        <w:t>4</w:t>
      </w:r>
      <w:r>
        <w:rPr>
          <w:rFonts w:eastAsia="Calibri"/>
        </w:rPr>
        <w:t>.</w:t>
      </w:r>
      <w:r>
        <w:rPr>
          <w:rFonts w:eastAsia="Calibri"/>
        </w:rPr>
        <w:tab/>
      </w:r>
      <w:r w:rsidR="00730146" w:rsidRPr="393F8FC5">
        <w:rPr>
          <w:rFonts w:eastAsia="Calibri"/>
          <w:b/>
          <w:bCs/>
        </w:rPr>
        <w:t xml:space="preserve">Support initiatives to work with new or underutilized actors </w:t>
      </w:r>
      <w:r w:rsidR="57E82165" w:rsidRPr="393F8FC5">
        <w:rPr>
          <w:rFonts w:eastAsia="Calibri"/>
          <w:b/>
          <w:bCs/>
        </w:rPr>
        <w:t xml:space="preserve">such as the media and religious and traditional leaders </w:t>
      </w:r>
      <w:r w:rsidR="00730146" w:rsidRPr="393F8FC5">
        <w:rPr>
          <w:rFonts w:eastAsia="Calibri"/>
          <w:b/>
          <w:bCs/>
        </w:rPr>
        <w:t xml:space="preserve">to promote prevention of genocides addressing hate </w:t>
      </w:r>
      <w:proofErr w:type="gramStart"/>
      <w:r w:rsidR="00730146" w:rsidRPr="393F8FC5">
        <w:rPr>
          <w:rFonts w:eastAsia="Calibri"/>
          <w:b/>
          <w:bCs/>
        </w:rPr>
        <w:t>speech .</w:t>
      </w:r>
      <w:proofErr w:type="gramEnd"/>
      <w:r w:rsidR="00730146" w:rsidRPr="393F8FC5">
        <w:rPr>
          <w:rFonts w:eastAsia="Calibri"/>
          <w:b/>
          <w:bCs/>
        </w:rPr>
        <w:t xml:space="preserve">  </w:t>
      </w:r>
    </w:p>
    <w:p w14:paraId="67D21FC7" w14:textId="768E3DA4" w:rsidR="00730146" w:rsidRPr="00BF2F4F" w:rsidRDefault="00BF2F4F" w:rsidP="00BF2F4F">
      <w:pPr>
        <w:pStyle w:val="H1G"/>
        <w:rPr>
          <w:rFonts w:eastAsia="Calibri"/>
          <w:lang w:val="en-US"/>
        </w:rPr>
      </w:pPr>
      <w:r>
        <w:rPr>
          <w:rFonts w:eastAsia="Calibri"/>
          <w:lang w:val="en-US"/>
        </w:rPr>
        <w:tab/>
      </w:r>
      <w:r>
        <w:rPr>
          <w:rFonts w:eastAsia="Calibri"/>
          <w:lang w:val="en-US"/>
        </w:rPr>
        <w:tab/>
      </w:r>
      <w:r w:rsidR="00730146" w:rsidRPr="00730146">
        <w:rPr>
          <w:rFonts w:eastAsia="Calibri"/>
          <w:lang w:val="en-US"/>
        </w:rPr>
        <w:t xml:space="preserve">Technological Advances:  Risks and Opportunities for the Prevention of Genocide </w:t>
      </w:r>
    </w:p>
    <w:p w14:paraId="0D55E848" w14:textId="744FC8D0" w:rsidR="00730146" w:rsidRPr="004E5017" w:rsidRDefault="00DD170A" w:rsidP="00C175C2">
      <w:pPr>
        <w:pStyle w:val="SingleTxtG"/>
        <w:rPr>
          <w:b/>
          <w:lang w:eastAsia="en-GB"/>
        </w:rPr>
      </w:pPr>
      <w:r>
        <w:rPr>
          <w:lang w:eastAsia="en-GB"/>
        </w:rPr>
        <w:t>75</w:t>
      </w:r>
      <w:r w:rsidR="004E5017">
        <w:rPr>
          <w:lang w:eastAsia="en-GB"/>
        </w:rPr>
        <w:t>.</w:t>
      </w:r>
      <w:r w:rsidR="004E5017">
        <w:rPr>
          <w:lang w:eastAsia="en-GB"/>
        </w:rPr>
        <w:tab/>
      </w:r>
      <w:r w:rsidR="00730146" w:rsidRPr="004E5017">
        <w:rPr>
          <w:b/>
          <w:lang w:eastAsia="en-GB"/>
        </w:rPr>
        <w:t>As the primary duty-bearer, the State holds the ultimate responsibility to ensure the prevention of genocide, and that international human rights norms and standards are applied in the digital sphere, and to all aspects of the development and use of digital technologies.</w:t>
      </w:r>
    </w:p>
    <w:p w14:paraId="6B55B0C3" w14:textId="5B03569B" w:rsidR="00730146" w:rsidRPr="004D2F6D" w:rsidRDefault="00045616" w:rsidP="004D2F6D">
      <w:pPr>
        <w:pStyle w:val="SingleTxtG"/>
        <w:rPr>
          <w:b/>
          <w:lang w:eastAsia="en-GB"/>
        </w:rPr>
      </w:pPr>
      <w:r>
        <w:rPr>
          <w:lang w:eastAsia="en-GB"/>
        </w:rPr>
        <w:t>76</w:t>
      </w:r>
      <w:r w:rsidR="004E5017">
        <w:rPr>
          <w:lang w:eastAsia="en-GB"/>
        </w:rPr>
        <w:t>.</w:t>
      </w:r>
      <w:r w:rsidR="004E5017">
        <w:rPr>
          <w:lang w:eastAsia="en-GB"/>
        </w:rPr>
        <w:tab/>
      </w:r>
      <w:r w:rsidR="00730146" w:rsidRPr="004E5017">
        <w:rPr>
          <w:b/>
          <w:lang w:eastAsia="en-GB"/>
        </w:rPr>
        <w:t xml:space="preserve">Multi-stakeholder cooperation is crucial in addressing the challenges arising from new technologies, including the implications for vulnerable and </w:t>
      </w:r>
      <w:r w:rsidR="008A497B" w:rsidRPr="004E5017">
        <w:rPr>
          <w:b/>
          <w:lang w:eastAsia="en-GB"/>
        </w:rPr>
        <w:t>marginali</w:t>
      </w:r>
      <w:r w:rsidR="008A497B">
        <w:rPr>
          <w:b/>
          <w:lang w:eastAsia="en-GB"/>
        </w:rPr>
        <w:t>z</w:t>
      </w:r>
      <w:r w:rsidR="008A497B" w:rsidRPr="004E5017">
        <w:rPr>
          <w:b/>
          <w:lang w:eastAsia="en-GB"/>
        </w:rPr>
        <w:t xml:space="preserve">ed </w:t>
      </w:r>
      <w:r w:rsidR="00730146" w:rsidRPr="004E5017">
        <w:rPr>
          <w:b/>
          <w:lang w:eastAsia="en-GB"/>
        </w:rPr>
        <w:t xml:space="preserve">communities, and in contributing to strengthening prevention efforts. Technology companies have a key role in the creation of a rights-based, inclusive digital space. </w:t>
      </w:r>
    </w:p>
    <w:p w14:paraId="17181C7D" w14:textId="2A1E70A5" w:rsidR="00730146" w:rsidRPr="00BF2F4F" w:rsidRDefault="00045616" w:rsidP="00BF2F4F">
      <w:pPr>
        <w:pStyle w:val="SingleTxtG"/>
        <w:rPr>
          <w:b/>
          <w:lang w:eastAsia="en-GB"/>
        </w:rPr>
      </w:pPr>
      <w:r>
        <w:rPr>
          <w:lang w:eastAsia="en-GB"/>
        </w:rPr>
        <w:t>77</w:t>
      </w:r>
      <w:r w:rsidR="004E5017">
        <w:rPr>
          <w:lang w:eastAsia="en-GB"/>
        </w:rPr>
        <w:t>.</w:t>
      </w:r>
      <w:r w:rsidR="004E5017">
        <w:rPr>
          <w:lang w:eastAsia="en-GB"/>
        </w:rPr>
        <w:tab/>
      </w:r>
      <w:r w:rsidR="00730146" w:rsidRPr="004E5017">
        <w:rPr>
          <w:b/>
          <w:lang w:eastAsia="en-GB"/>
        </w:rPr>
        <w:t xml:space="preserve">A genocide prevention lens must be a central element of broader prevention efforts to protect populations from the most egregious atrocity crimes. I urge Member States and the private sector to implement the following measures: </w:t>
      </w:r>
      <w:bookmarkEnd w:id="3"/>
    </w:p>
    <w:p w14:paraId="7245AB1C" w14:textId="56AD9F5C" w:rsidR="00730146" w:rsidRPr="00BF2F4F" w:rsidRDefault="00BF2F4F" w:rsidP="00BF2F4F">
      <w:pPr>
        <w:pStyle w:val="H1G"/>
        <w:rPr>
          <w:rFonts w:eastAsia="Calibri"/>
        </w:rPr>
      </w:pPr>
      <w:r>
        <w:rPr>
          <w:rFonts w:eastAsia="Calibri"/>
        </w:rPr>
        <w:tab/>
      </w:r>
      <w:r>
        <w:rPr>
          <w:rFonts w:eastAsia="Calibri"/>
        </w:rPr>
        <w:tab/>
      </w:r>
      <w:r w:rsidR="000B3417">
        <w:rPr>
          <w:rFonts w:eastAsia="Calibri"/>
        </w:rPr>
        <w:t>For Member States</w:t>
      </w:r>
    </w:p>
    <w:p w14:paraId="0D62C552" w14:textId="610C982E" w:rsidR="00147D63" w:rsidRPr="004D2F6D" w:rsidRDefault="00045616" w:rsidP="00147D63">
      <w:pPr>
        <w:pStyle w:val="SingleTxtG"/>
        <w:rPr>
          <w:rFonts w:eastAsia="Calibri"/>
          <w:b/>
          <w:bCs/>
        </w:rPr>
      </w:pPr>
      <w:r>
        <w:rPr>
          <w:rFonts w:eastAsia="Calibri"/>
        </w:rPr>
        <w:t>78</w:t>
      </w:r>
      <w:r w:rsidR="004E5017">
        <w:rPr>
          <w:rFonts w:eastAsia="Calibri"/>
        </w:rPr>
        <w:t>.</w:t>
      </w:r>
      <w:r w:rsidR="004E5017">
        <w:rPr>
          <w:rFonts w:eastAsia="Calibri"/>
        </w:rPr>
        <w:tab/>
      </w:r>
      <w:r w:rsidR="00730146" w:rsidRPr="5FC02DB4">
        <w:rPr>
          <w:rFonts w:eastAsia="Calibri"/>
          <w:b/>
          <w:bCs/>
        </w:rPr>
        <w:t>Define in law what constitutes prohibited content</w:t>
      </w:r>
      <w:r w:rsidR="007E105A" w:rsidRPr="5FC02DB4">
        <w:rPr>
          <w:rFonts w:eastAsia="Calibri"/>
          <w:b/>
          <w:bCs/>
        </w:rPr>
        <w:t>,</w:t>
      </w:r>
      <w:r w:rsidR="00730146" w:rsidRPr="5FC02DB4">
        <w:rPr>
          <w:rFonts w:eastAsia="Calibri"/>
          <w:b/>
          <w:bCs/>
        </w:rPr>
        <w:t xml:space="preserve"> in </w:t>
      </w:r>
      <w:r w:rsidR="009F4E87" w:rsidRPr="5FC02DB4">
        <w:rPr>
          <w:rFonts w:eastAsia="Calibri"/>
          <w:b/>
          <w:bCs/>
        </w:rPr>
        <w:t xml:space="preserve">accordance with </w:t>
      </w:r>
      <w:r w:rsidR="00CE3F4E" w:rsidRPr="5FC02DB4">
        <w:rPr>
          <w:rFonts w:eastAsia="Calibri"/>
          <w:b/>
          <w:bCs/>
        </w:rPr>
        <w:t>Member States</w:t>
      </w:r>
      <w:r w:rsidR="00A20E8E">
        <w:rPr>
          <w:rFonts w:eastAsia="Calibri"/>
          <w:b/>
          <w:bCs/>
        </w:rPr>
        <w:t>’</w:t>
      </w:r>
      <w:r w:rsidR="00CE3F4E" w:rsidRPr="5FC02DB4">
        <w:rPr>
          <w:rFonts w:eastAsia="Calibri"/>
          <w:b/>
          <w:bCs/>
        </w:rPr>
        <w:t xml:space="preserve"> obligations under </w:t>
      </w:r>
      <w:r w:rsidR="009F4E87" w:rsidRPr="5FC02DB4">
        <w:rPr>
          <w:rFonts w:eastAsia="Calibri"/>
          <w:b/>
          <w:bCs/>
        </w:rPr>
        <w:t xml:space="preserve">international human rights </w:t>
      </w:r>
      <w:r w:rsidR="00032180" w:rsidRPr="5FC02DB4">
        <w:rPr>
          <w:rFonts w:eastAsia="Calibri"/>
          <w:b/>
          <w:bCs/>
        </w:rPr>
        <w:t>law</w:t>
      </w:r>
      <w:r w:rsidR="0031338B" w:rsidRPr="5FC02DB4">
        <w:rPr>
          <w:rFonts w:eastAsia="Calibri"/>
          <w:b/>
          <w:bCs/>
        </w:rPr>
        <w:t xml:space="preserve">, including </w:t>
      </w:r>
      <w:r w:rsidR="00730146" w:rsidRPr="5FC02DB4">
        <w:rPr>
          <w:rFonts w:eastAsia="Calibri"/>
          <w:b/>
          <w:bCs/>
        </w:rPr>
        <w:t xml:space="preserve">article 20 (2) of the International Covenant on Civil and Political Rights, and article 3 </w:t>
      </w:r>
      <w:r w:rsidR="008D7517" w:rsidRPr="5FC02DB4">
        <w:rPr>
          <w:rFonts w:eastAsia="Calibri"/>
          <w:b/>
          <w:bCs/>
        </w:rPr>
        <w:t xml:space="preserve">(c) </w:t>
      </w:r>
      <w:r w:rsidR="00730146" w:rsidRPr="5FC02DB4">
        <w:rPr>
          <w:rFonts w:eastAsia="Calibri"/>
          <w:b/>
          <w:bCs/>
        </w:rPr>
        <w:t xml:space="preserve">of the Genocide </w:t>
      </w:r>
      <w:proofErr w:type="gramStart"/>
      <w:r w:rsidR="00730146" w:rsidRPr="5FC02DB4">
        <w:rPr>
          <w:rFonts w:eastAsia="Calibri"/>
          <w:b/>
          <w:bCs/>
        </w:rPr>
        <w:t>Convention;</w:t>
      </w:r>
      <w:proofErr w:type="gramEnd"/>
      <w:r w:rsidR="00730146" w:rsidRPr="5FC02DB4">
        <w:rPr>
          <w:rFonts w:eastAsia="Calibri"/>
          <w:b/>
          <w:bCs/>
        </w:rPr>
        <w:t xml:space="preserve">  </w:t>
      </w:r>
      <w:r w:rsidR="00147D63" w:rsidRPr="5FC02DB4">
        <w:rPr>
          <w:rFonts w:eastAsia="Calibri"/>
          <w:b/>
          <w:bCs/>
        </w:rPr>
        <w:t xml:space="preserve"> </w:t>
      </w:r>
    </w:p>
    <w:p w14:paraId="4FA8BDF6" w14:textId="3B371007" w:rsidR="00730146" w:rsidRPr="00730146" w:rsidRDefault="00045616" w:rsidP="004D2F6D">
      <w:pPr>
        <w:pStyle w:val="SingleTxtG"/>
        <w:rPr>
          <w:rFonts w:eastAsia="Calibri"/>
        </w:rPr>
      </w:pPr>
      <w:r>
        <w:rPr>
          <w:rFonts w:eastAsia="Calibri"/>
        </w:rPr>
        <w:t>79</w:t>
      </w:r>
      <w:r w:rsidR="004E5017">
        <w:rPr>
          <w:rFonts w:eastAsia="Calibri"/>
        </w:rPr>
        <w:t>.</w:t>
      </w:r>
      <w:r w:rsidR="004E5017">
        <w:rPr>
          <w:rFonts w:eastAsia="Calibri"/>
        </w:rPr>
        <w:tab/>
      </w:r>
      <w:r w:rsidR="00730146" w:rsidRPr="004E5017">
        <w:rPr>
          <w:rFonts w:eastAsia="Calibri"/>
          <w:b/>
        </w:rPr>
        <w:t>Review existing laws on hate speech to meet the requirements contained in article 19</w:t>
      </w:r>
      <w:r w:rsidR="001F13AE">
        <w:rPr>
          <w:rFonts w:eastAsia="Calibri"/>
          <w:b/>
        </w:rPr>
        <w:t xml:space="preserve"> </w:t>
      </w:r>
      <w:r w:rsidR="00730146" w:rsidRPr="004E5017">
        <w:rPr>
          <w:rFonts w:eastAsia="Calibri"/>
          <w:b/>
        </w:rPr>
        <w:t xml:space="preserve">(3) of the </w:t>
      </w:r>
      <w:r w:rsidR="00730146" w:rsidRPr="004E5017">
        <w:rPr>
          <w:rFonts w:eastAsia="Calibri"/>
          <w:b/>
          <w:lang w:val="en-US"/>
        </w:rPr>
        <w:t xml:space="preserve">International </w:t>
      </w:r>
      <w:r w:rsidR="00730146" w:rsidRPr="004E5017">
        <w:rPr>
          <w:rFonts w:eastAsia="Calibri"/>
          <w:b/>
        </w:rPr>
        <w:t xml:space="preserve">Covenant </w:t>
      </w:r>
      <w:r w:rsidR="00730146" w:rsidRPr="004E5017">
        <w:rPr>
          <w:rFonts w:eastAsia="Calibri"/>
          <w:b/>
          <w:lang w:val="en-US"/>
        </w:rPr>
        <w:t xml:space="preserve">on Civil and Political Rights </w:t>
      </w:r>
      <w:r w:rsidR="00730146" w:rsidRPr="004E5017">
        <w:rPr>
          <w:rFonts w:eastAsia="Calibri"/>
          <w:b/>
        </w:rPr>
        <w:t>and ensure that new laws are in line with these requirements.</w:t>
      </w:r>
      <w:r w:rsidR="00730146" w:rsidRPr="00730146">
        <w:rPr>
          <w:rFonts w:eastAsia="Calibri"/>
        </w:rPr>
        <w:t xml:space="preserve"> </w:t>
      </w:r>
    </w:p>
    <w:p w14:paraId="7F2B64BC" w14:textId="226FB94C" w:rsidR="00730146" w:rsidRPr="004D2F6D" w:rsidRDefault="004E5017" w:rsidP="004D2F6D">
      <w:pPr>
        <w:pStyle w:val="SingleTxtG"/>
        <w:rPr>
          <w:rFonts w:eastAsia="Calibri"/>
          <w:b/>
        </w:rPr>
      </w:pPr>
      <w:r>
        <w:rPr>
          <w:rFonts w:eastAsia="Calibri"/>
        </w:rPr>
        <w:t>8</w:t>
      </w:r>
      <w:r w:rsidR="00045616">
        <w:rPr>
          <w:rFonts w:eastAsia="Calibri"/>
        </w:rPr>
        <w:t>0</w:t>
      </w:r>
      <w:r>
        <w:rPr>
          <w:rFonts w:eastAsia="Calibri"/>
        </w:rPr>
        <w:t>.</w:t>
      </w:r>
      <w:r>
        <w:rPr>
          <w:rFonts w:eastAsia="Calibri"/>
        </w:rPr>
        <w:tab/>
      </w:r>
      <w:r w:rsidR="00730146" w:rsidRPr="004E5017">
        <w:rPr>
          <w:rFonts w:eastAsia="Calibri"/>
          <w:b/>
        </w:rPr>
        <w:t xml:space="preserve">Engage in regional, </w:t>
      </w:r>
      <w:proofErr w:type="gramStart"/>
      <w:r w:rsidR="00730146" w:rsidRPr="004E5017">
        <w:rPr>
          <w:rFonts w:eastAsia="Calibri"/>
          <w:b/>
        </w:rPr>
        <w:t>international</w:t>
      </w:r>
      <w:proofErr w:type="gramEnd"/>
      <w:r w:rsidR="00730146" w:rsidRPr="004E5017">
        <w:rPr>
          <w:rFonts w:eastAsia="Calibri"/>
          <w:b/>
        </w:rPr>
        <w:t xml:space="preserve"> and </w:t>
      </w:r>
      <w:r w:rsidR="009C37DB" w:rsidRPr="004E5017">
        <w:rPr>
          <w:rFonts w:eastAsia="Calibri"/>
          <w:b/>
        </w:rPr>
        <w:t>UN</w:t>
      </w:r>
      <w:r w:rsidR="009C37DB">
        <w:rPr>
          <w:rFonts w:eastAsia="Calibri"/>
          <w:b/>
        </w:rPr>
        <w:t>-</w:t>
      </w:r>
      <w:r w:rsidR="00730146" w:rsidRPr="004E5017">
        <w:rPr>
          <w:rFonts w:eastAsia="Calibri"/>
          <w:b/>
        </w:rPr>
        <w:t xml:space="preserve">led initiatives to counter hate speech online and </w:t>
      </w:r>
      <w:r w:rsidR="00702F8E" w:rsidRPr="004E5017">
        <w:rPr>
          <w:rFonts w:eastAsia="Calibri"/>
          <w:b/>
        </w:rPr>
        <w:t>offline and</w:t>
      </w:r>
      <w:r w:rsidR="00730146" w:rsidRPr="004E5017">
        <w:rPr>
          <w:rFonts w:eastAsia="Calibri"/>
          <w:b/>
        </w:rPr>
        <w:t xml:space="preserve"> develop and implement measures within the framework of the UN Strategy and Plan of Action on Hate Speech, including national action </w:t>
      </w:r>
      <w:r w:rsidR="00702F8E">
        <w:rPr>
          <w:rFonts w:eastAsia="Calibri"/>
          <w:b/>
        </w:rPr>
        <w:t xml:space="preserve">plans </w:t>
      </w:r>
      <w:r w:rsidR="00730146" w:rsidRPr="004E5017">
        <w:rPr>
          <w:rFonts w:eastAsia="Calibri"/>
          <w:b/>
        </w:rPr>
        <w:t xml:space="preserve">in partnership with </w:t>
      </w:r>
      <w:r w:rsidR="002430C9">
        <w:rPr>
          <w:rFonts w:eastAsia="Calibri"/>
          <w:b/>
        </w:rPr>
        <w:t>the</w:t>
      </w:r>
      <w:r w:rsidR="00730146" w:rsidRPr="004E5017">
        <w:rPr>
          <w:rFonts w:eastAsia="Calibri"/>
          <w:b/>
        </w:rPr>
        <w:t xml:space="preserve"> Special Adviser on the Prevention of Genocide as the designated focal point. </w:t>
      </w:r>
    </w:p>
    <w:p w14:paraId="109721E0" w14:textId="33245C45" w:rsidR="00730146" w:rsidRPr="00730146" w:rsidRDefault="004E5017" w:rsidP="004D2F6D">
      <w:pPr>
        <w:pStyle w:val="SingleTxtG"/>
        <w:rPr>
          <w:rFonts w:eastAsia="Calibri"/>
        </w:rPr>
      </w:pPr>
      <w:r>
        <w:rPr>
          <w:rFonts w:eastAsia="Calibri"/>
        </w:rPr>
        <w:lastRenderedPageBreak/>
        <w:t>8</w:t>
      </w:r>
      <w:r w:rsidR="00045616">
        <w:rPr>
          <w:rFonts w:eastAsia="Calibri"/>
        </w:rPr>
        <w:t>1</w:t>
      </w:r>
      <w:r>
        <w:rPr>
          <w:rFonts w:eastAsia="Calibri"/>
        </w:rPr>
        <w:t>.</w:t>
      </w:r>
      <w:r>
        <w:rPr>
          <w:rFonts w:eastAsia="Calibri"/>
        </w:rPr>
        <w:tab/>
      </w:r>
      <w:r w:rsidR="00730146" w:rsidRPr="004E5017">
        <w:rPr>
          <w:rFonts w:eastAsia="Calibri"/>
          <w:b/>
        </w:rPr>
        <w:t>Ensure equal respect for and enforcement of all human rights online and offline, and place prevention at the centre of regulatory frameworks and legislation on the development and use of digital technologies, ensuring compliance with international standards</w:t>
      </w:r>
      <w:r w:rsidR="00730146" w:rsidRPr="00730146">
        <w:rPr>
          <w:rFonts w:eastAsia="Calibri"/>
        </w:rPr>
        <w:t>.</w:t>
      </w:r>
    </w:p>
    <w:p w14:paraId="12ACB346" w14:textId="14F49DBC" w:rsidR="00730146" w:rsidRPr="004D2F6D" w:rsidRDefault="004E5017" w:rsidP="004D2F6D">
      <w:pPr>
        <w:pStyle w:val="SingleTxtG"/>
        <w:rPr>
          <w:rFonts w:eastAsia="Calibri"/>
          <w:b/>
        </w:rPr>
      </w:pPr>
      <w:r>
        <w:rPr>
          <w:rFonts w:eastAsia="Calibri"/>
        </w:rPr>
        <w:t>8</w:t>
      </w:r>
      <w:r w:rsidR="00045616">
        <w:rPr>
          <w:rFonts w:eastAsia="Calibri"/>
        </w:rPr>
        <w:t>2</w:t>
      </w:r>
      <w:r>
        <w:rPr>
          <w:rFonts w:eastAsia="Calibri"/>
        </w:rPr>
        <w:t>.</w:t>
      </w:r>
      <w:r>
        <w:rPr>
          <w:rFonts w:eastAsia="Calibri"/>
        </w:rPr>
        <w:tab/>
      </w:r>
      <w:r w:rsidR="00730146" w:rsidRPr="004E5017">
        <w:rPr>
          <w:rFonts w:eastAsia="Calibri"/>
          <w:b/>
        </w:rPr>
        <w:t xml:space="preserve">Incorporate safeguarding systems to uphold international due diligence standards, as defined by the Guiding Principles on Business and Human Rights, including due diligence throughout the lifecycle of technological tools and digital </w:t>
      </w:r>
      <w:proofErr w:type="gramStart"/>
      <w:r w:rsidR="00730146" w:rsidRPr="004E5017">
        <w:rPr>
          <w:rFonts w:eastAsia="Calibri"/>
          <w:b/>
        </w:rPr>
        <w:t>infrastructure</w:t>
      </w:r>
      <w:proofErr w:type="gramEnd"/>
      <w:r w:rsidR="00B02B2C">
        <w:rPr>
          <w:rFonts w:eastAsia="Calibri"/>
          <w:b/>
        </w:rPr>
        <w:t xml:space="preserve"> and i</w:t>
      </w:r>
      <w:r w:rsidR="00730146" w:rsidRPr="004E5017">
        <w:rPr>
          <w:rFonts w:eastAsia="Calibri"/>
          <w:b/>
        </w:rPr>
        <w:t>ntegrat</w:t>
      </w:r>
      <w:r w:rsidR="00B02B2C">
        <w:rPr>
          <w:rFonts w:eastAsia="Calibri"/>
          <w:b/>
        </w:rPr>
        <w:t>ing</w:t>
      </w:r>
      <w:r w:rsidR="00730146" w:rsidRPr="004E5017">
        <w:rPr>
          <w:rFonts w:eastAsia="Calibri"/>
          <w:b/>
        </w:rPr>
        <w:t xml:space="preserve"> specific risk factors related to atrocity crimes. </w:t>
      </w:r>
    </w:p>
    <w:p w14:paraId="1D69CF34" w14:textId="0753E089" w:rsidR="00730146" w:rsidRPr="004D2F6D" w:rsidRDefault="004E5017" w:rsidP="004D2F6D">
      <w:pPr>
        <w:pStyle w:val="SingleTxtG"/>
        <w:rPr>
          <w:rFonts w:eastAsia="Calibri"/>
          <w:b/>
        </w:rPr>
      </w:pPr>
      <w:r>
        <w:rPr>
          <w:rFonts w:eastAsia="Calibri"/>
        </w:rPr>
        <w:t>8</w:t>
      </w:r>
      <w:r w:rsidR="00045616">
        <w:rPr>
          <w:rFonts w:eastAsia="Calibri"/>
        </w:rPr>
        <w:t>3</w:t>
      </w:r>
      <w:r>
        <w:rPr>
          <w:rFonts w:eastAsia="Calibri"/>
        </w:rPr>
        <w:t>.</w:t>
      </w:r>
      <w:r>
        <w:rPr>
          <w:rFonts w:eastAsia="Calibri"/>
        </w:rPr>
        <w:tab/>
      </w:r>
      <w:r w:rsidR="00730146" w:rsidRPr="004E5017">
        <w:rPr>
          <w:rFonts w:eastAsia="Calibri"/>
          <w:b/>
        </w:rPr>
        <w:t xml:space="preserve">Develop a gender-based approach to </w:t>
      </w:r>
      <w:r w:rsidR="00B02B2C">
        <w:rPr>
          <w:rFonts w:eastAsia="Calibri"/>
          <w:b/>
        </w:rPr>
        <w:t xml:space="preserve">tackling </w:t>
      </w:r>
      <w:r w:rsidR="00730146" w:rsidRPr="004E5017">
        <w:rPr>
          <w:rFonts w:eastAsia="Calibri"/>
          <w:b/>
        </w:rPr>
        <w:t xml:space="preserve">online hate speech and violence against women and provide for trainings on gender-based hate speech for schools, </w:t>
      </w:r>
      <w:proofErr w:type="gramStart"/>
      <w:r w:rsidR="00730146" w:rsidRPr="004E5017">
        <w:rPr>
          <w:rFonts w:eastAsia="Calibri"/>
          <w:b/>
        </w:rPr>
        <w:t>communities</w:t>
      </w:r>
      <w:proofErr w:type="gramEnd"/>
      <w:r w:rsidR="00730146" w:rsidRPr="004E5017">
        <w:rPr>
          <w:rFonts w:eastAsia="Calibri"/>
          <w:b/>
        </w:rPr>
        <w:t xml:space="preserve"> and private companies. </w:t>
      </w:r>
    </w:p>
    <w:p w14:paraId="22DF580E" w14:textId="37D993D4" w:rsidR="00730146" w:rsidRPr="004D2F6D" w:rsidRDefault="00045616" w:rsidP="004D2F6D">
      <w:pPr>
        <w:pStyle w:val="SingleTxtG"/>
        <w:rPr>
          <w:rFonts w:eastAsia="Calibri"/>
          <w:b/>
        </w:rPr>
      </w:pPr>
      <w:r>
        <w:rPr>
          <w:rFonts w:eastAsia="Calibri"/>
        </w:rPr>
        <w:t>84</w:t>
      </w:r>
      <w:r w:rsidR="004E5017">
        <w:rPr>
          <w:rFonts w:eastAsia="Calibri"/>
        </w:rPr>
        <w:t>.</w:t>
      </w:r>
      <w:r w:rsidR="004E5017">
        <w:rPr>
          <w:rFonts w:eastAsia="Calibri"/>
        </w:rPr>
        <w:tab/>
      </w:r>
      <w:r w:rsidR="00730146" w:rsidRPr="004E5017">
        <w:rPr>
          <w:rFonts w:eastAsia="Calibri"/>
          <w:b/>
        </w:rPr>
        <w:t xml:space="preserve">Ensure that the use, development, and governance of AI </w:t>
      </w:r>
      <w:proofErr w:type="gramStart"/>
      <w:r w:rsidR="00730146" w:rsidRPr="004E5017">
        <w:rPr>
          <w:rFonts w:eastAsia="Calibri"/>
          <w:b/>
        </w:rPr>
        <w:t>is in compliance with</w:t>
      </w:r>
      <w:proofErr w:type="gramEnd"/>
      <w:r w:rsidR="00730146" w:rsidRPr="004E5017">
        <w:rPr>
          <w:rFonts w:eastAsia="Calibri"/>
          <w:b/>
        </w:rPr>
        <w:t xml:space="preserve"> international human rights norms and standards. </w:t>
      </w:r>
    </w:p>
    <w:p w14:paraId="13012D3E" w14:textId="3108FE5D" w:rsidR="00730146" w:rsidRPr="00BF2F4F" w:rsidRDefault="00045616" w:rsidP="00BF2F4F">
      <w:pPr>
        <w:pStyle w:val="SingleTxtG"/>
        <w:rPr>
          <w:rFonts w:eastAsia="Calibri"/>
          <w:b/>
        </w:rPr>
      </w:pPr>
      <w:r>
        <w:rPr>
          <w:rFonts w:eastAsia="Calibri"/>
        </w:rPr>
        <w:t>85</w:t>
      </w:r>
      <w:r w:rsidR="004E5017">
        <w:rPr>
          <w:rFonts w:eastAsia="Calibri"/>
        </w:rPr>
        <w:t>.</w:t>
      </w:r>
      <w:r w:rsidR="004E5017">
        <w:rPr>
          <w:rFonts w:eastAsia="Calibri"/>
        </w:rPr>
        <w:tab/>
      </w:r>
      <w:r w:rsidR="00730146" w:rsidRPr="004E5017">
        <w:rPr>
          <w:rFonts w:eastAsia="Calibri"/>
          <w:b/>
        </w:rPr>
        <w:t>Consider the imposition of strict regulations on the sale and</w:t>
      </w:r>
      <w:r w:rsidR="00730146" w:rsidRPr="004E5017">
        <w:rPr>
          <w:rFonts w:eastAsia="Calibri"/>
          <w:b/>
          <w:lang w:val="en-US"/>
        </w:rPr>
        <w:t xml:space="preserve"> /or</w:t>
      </w:r>
      <w:r w:rsidR="00730146" w:rsidRPr="004E5017">
        <w:rPr>
          <w:rFonts w:eastAsia="Calibri"/>
          <w:b/>
        </w:rPr>
        <w:t xml:space="preserve"> use of AI systems that pose human rights risks, including the use of remote facial recognition in public spaces, unless and until adequate safeguards to protect human rights and prevent genocide are in place and its discriminatory impacts are removed. </w:t>
      </w:r>
    </w:p>
    <w:p w14:paraId="2F31501B" w14:textId="112077C3" w:rsidR="00730146" w:rsidRPr="004E5017" w:rsidRDefault="00045616" w:rsidP="004E5017">
      <w:pPr>
        <w:pStyle w:val="SingleTxtG"/>
        <w:rPr>
          <w:rFonts w:eastAsia="Calibri"/>
          <w:b/>
        </w:rPr>
      </w:pPr>
      <w:r>
        <w:rPr>
          <w:rFonts w:eastAsia="Calibri"/>
        </w:rPr>
        <w:t>86</w:t>
      </w:r>
      <w:r w:rsidR="004E5017">
        <w:rPr>
          <w:rFonts w:eastAsia="Calibri"/>
        </w:rPr>
        <w:t>.</w:t>
      </w:r>
      <w:r w:rsidR="004E5017">
        <w:rPr>
          <w:rFonts w:eastAsia="Calibri"/>
        </w:rPr>
        <w:tab/>
      </w:r>
      <w:r w:rsidR="00730146" w:rsidRPr="004E5017">
        <w:rPr>
          <w:rFonts w:eastAsia="Calibri"/>
          <w:b/>
        </w:rPr>
        <w:t xml:space="preserve">As part of the prevention of genocide, support domestic and international efforts on using digital technologies to strengthen monitoring, </w:t>
      </w:r>
      <w:r w:rsidR="00730146" w:rsidRPr="004E5017">
        <w:rPr>
          <w:rFonts w:eastAsia="Calibri"/>
          <w:b/>
          <w:lang w:val="en-US"/>
        </w:rPr>
        <w:t xml:space="preserve">data </w:t>
      </w:r>
      <w:r w:rsidR="00730146" w:rsidRPr="004E5017">
        <w:rPr>
          <w:rFonts w:eastAsia="Calibri"/>
          <w:b/>
        </w:rPr>
        <w:t xml:space="preserve">collection, analysis, </w:t>
      </w:r>
      <w:proofErr w:type="gramStart"/>
      <w:r w:rsidR="00730146" w:rsidRPr="004E5017">
        <w:rPr>
          <w:rFonts w:eastAsia="Calibri"/>
          <w:b/>
        </w:rPr>
        <w:t>documentation</w:t>
      </w:r>
      <w:proofErr w:type="gramEnd"/>
      <w:r w:rsidR="00730146" w:rsidRPr="004E5017">
        <w:rPr>
          <w:rFonts w:eastAsia="Calibri"/>
          <w:b/>
        </w:rPr>
        <w:t xml:space="preserve"> and investigation, and ensure participation by civil society</w:t>
      </w:r>
      <w:r w:rsidR="00147D63">
        <w:rPr>
          <w:lang w:eastAsia="en-GB"/>
        </w:rPr>
        <w:t xml:space="preserve">. </w:t>
      </w:r>
      <w:r w:rsidR="00147D63" w:rsidRPr="00BD3F1E">
        <w:rPr>
          <w:rFonts w:eastAsia="Calibri"/>
          <w:b/>
        </w:rPr>
        <w:t>Develop guidance on how standards related to prevention of genocide apply in the digital age, building inter alia on the work of the Special Procedures and treaty bodies.</w:t>
      </w:r>
    </w:p>
    <w:p w14:paraId="53AF1BF2" w14:textId="6C6303B7" w:rsidR="00730146" w:rsidRPr="00BF2F4F" w:rsidRDefault="00BF2F4F" w:rsidP="00BF2F4F">
      <w:pPr>
        <w:pStyle w:val="H1G"/>
        <w:rPr>
          <w:rFonts w:eastAsia="Calibri"/>
        </w:rPr>
      </w:pPr>
      <w:r>
        <w:rPr>
          <w:rFonts w:eastAsia="Calibri"/>
        </w:rPr>
        <w:tab/>
      </w:r>
      <w:r>
        <w:rPr>
          <w:rFonts w:eastAsia="Calibri"/>
        </w:rPr>
        <w:tab/>
      </w:r>
      <w:r w:rsidR="000B3417">
        <w:rPr>
          <w:rFonts w:eastAsia="Calibri"/>
        </w:rPr>
        <w:t>For private companies</w:t>
      </w:r>
    </w:p>
    <w:p w14:paraId="672D749C" w14:textId="30EB121C" w:rsidR="00730146" w:rsidRPr="004D2F6D" w:rsidRDefault="00045616" w:rsidP="004D2F6D">
      <w:pPr>
        <w:pStyle w:val="SingleTxtG"/>
        <w:rPr>
          <w:rFonts w:eastAsia="Calibri"/>
          <w:b/>
        </w:rPr>
      </w:pPr>
      <w:r>
        <w:rPr>
          <w:rFonts w:eastAsia="Calibri"/>
        </w:rPr>
        <w:t>87</w:t>
      </w:r>
      <w:r w:rsidR="004E5017">
        <w:rPr>
          <w:rFonts w:eastAsia="Calibri"/>
        </w:rPr>
        <w:t>.</w:t>
      </w:r>
      <w:r w:rsidR="004E5017">
        <w:rPr>
          <w:rFonts w:eastAsia="Calibri"/>
        </w:rPr>
        <w:tab/>
      </w:r>
      <w:r w:rsidR="00730146" w:rsidRPr="004E5017">
        <w:rPr>
          <w:rFonts w:eastAsia="Calibri"/>
          <w:b/>
        </w:rPr>
        <w:t>Review business models in line with the Guiding Principles on Business and Human Rights and ensure that business operations, data collection and data processing practices are compliant with international human rights norms and standards and data protection principles.</w:t>
      </w:r>
    </w:p>
    <w:p w14:paraId="7938EB38" w14:textId="45227B30" w:rsidR="00730146" w:rsidRPr="004D2F6D" w:rsidRDefault="00045616" w:rsidP="004D2F6D">
      <w:pPr>
        <w:pStyle w:val="SingleTxtG"/>
        <w:rPr>
          <w:rFonts w:eastAsia="Calibri"/>
          <w:b/>
        </w:rPr>
      </w:pPr>
      <w:r>
        <w:rPr>
          <w:rFonts w:eastAsia="Calibri"/>
        </w:rPr>
        <w:t>88</w:t>
      </w:r>
      <w:r w:rsidR="004E5017">
        <w:rPr>
          <w:rFonts w:eastAsia="Calibri"/>
        </w:rPr>
        <w:t>.</w:t>
      </w:r>
      <w:r w:rsidR="004E5017">
        <w:rPr>
          <w:rFonts w:eastAsia="Calibri"/>
        </w:rPr>
        <w:tab/>
      </w:r>
      <w:r w:rsidR="00730146" w:rsidRPr="004E5017">
        <w:rPr>
          <w:rFonts w:eastAsia="Calibri"/>
          <w:b/>
        </w:rPr>
        <w:t xml:space="preserve">Conduct in-depth human rights assessments for products, policies, and operations, particularly of the role of algorithms and, for social media platforms, the role of ranking systems in amplifying content. </w:t>
      </w:r>
    </w:p>
    <w:p w14:paraId="2578F46C" w14:textId="56DCB10F" w:rsidR="00730146" w:rsidRPr="004D2F6D" w:rsidRDefault="00045616" w:rsidP="004D2F6D">
      <w:pPr>
        <w:pStyle w:val="SingleTxtG"/>
        <w:rPr>
          <w:rFonts w:eastAsia="Calibri"/>
          <w:b/>
        </w:rPr>
      </w:pPr>
      <w:r>
        <w:rPr>
          <w:rFonts w:eastAsia="Calibri"/>
        </w:rPr>
        <w:t>89</w:t>
      </w:r>
      <w:r w:rsidR="004E5017">
        <w:rPr>
          <w:rFonts w:eastAsia="Calibri"/>
        </w:rPr>
        <w:t>.</w:t>
      </w:r>
      <w:r w:rsidR="004E5017">
        <w:rPr>
          <w:rFonts w:eastAsia="Calibri"/>
        </w:rPr>
        <w:tab/>
      </w:r>
      <w:r w:rsidR="00730146" w:rsidRPr="004E5017">
        <w:rPr>
          <w:rFonts w:eastAsia="Calibri"/>
          <w:b/>
        </w:rPr>
        <w:t xml:space="preserve">Social media platforms </w:t>
      </w:r>
      <w:r w:rsidR="00191470">
        <w:rPr>
          <w:rFonts w:eastAsia="Calibri"/>
          <w:b/>
        </w:rPr>
        <w:t xml:space="preserve">should </w:t>
      </w:r>
      <w:r w:rsidR="00730146" w:rsidRPr="004E5017">
        <w:rPr>
          <w:rFonts w:eastAsia="Calibri"/>
          <w:b/>
        </w:rPr>
        <w:t xml:space="preserve">invest the necessary resources to develop their understanding of local contexts that drive hate speech and their knowledge, languages, policies, and services in relation to minorities and vulnerable groups. They should also conduct human rights impact assessments that include indicators of </w:t>
      </w:r>
      <w:r w:rsidR="008427B9">
        <w:rPr>
          <w:rFonts w:eastAsia="Calibri"/>
          <w:b/>
        </w:rPr>
        <w:t xml:space="preserve">the </w:t>
      </w:r>
      <w:r w:rsidR="00730146" w:rsidRPr="004E5017">
        <w:rPr>
          <w:rFonts w:eastAsia="Calibri"/>
          <w:b/>
        </w:rPr>
        <w:t>risk of genocide, based on national contexts before entering new markets.</w:t>
      </w:r>
    </w:p>
    <w:p w14:paraId="03141CDF" w14:textId="6B81775F" w:rsidR="00730146" w:rsidRPr="004D2F6D" w:rsidRDefault="004E5017" w:rsidP="004D2F6D">
      <w:pPr>
        <w:pStyle w:val="SingleTxtG"/>
        <w:rPr>
          <w:rFonts w:eastAsia="Calibri"/>
          <w:b/>
        </w:rPr>
      </w:pPr>
      <w:r>
        <w:rPr>
          <w:rFonts w:eastAsia="Calibri"/>
        </w:rPr>
        <w:t>9</w:t>
      </w:r>
      <w:r w:rsidR="00045616">
        <w:rPr>
          <w:rFonts w:eastAsia="Calibri"/>
        </w:rPr>
        <w:t>0</w:t>
      </w:r>
      <w:r>
        <w:rPr>
          <w:rFonts w:eastAsia="Calibri"/>
        </w:rPr>
        <w:t>.</w:t>
      </w:r>
      <w:r>
        <w:rPr>
          <w:rFonts w:eastAsia="Calibri"/>
        </w:rPr>
        <w:tab/>
      </w:r>
      <w:r w:rsidR="00730146" w:rsidRPr="004E5017">
        <w:rPr>
          <w:rFonts w:eastAsia="Calibri"/>
          <w:b/>
        </w:rPr>
        <w:t xml:space="preserve">Ensure that comprehensive human rights due diligence is conducted when artificial intelligence systems are acquired, developed, </w:t>
      </w:r>
      <w:proofErr w:type="gramStart"/>
      <w:r w:rsidR="00730146" w:rsidRPr="004E5017">
        <w:rPr>
          <w:rFonts w:eastAsia="Calibri"/>
          <w:b/>
        </w:rPr>
        <w:t>deployed</w:t>
      </w:r>
      <w:proofErr w:type="gramEnd"/>
      <w:r w:rsidR="00730146" w:rsidRPr="004E5017">
        <w:rPr>
          <w:rFonts w:eastAsia="Calibri"/>
          <w:b/>
        </w:rPr>
        <w:t xml:space="preserve"> and operated, as well as before data about individuals are held, shared or used. Such assessment should include specific indicators related to </w:t>
      </w:r>
      <w:r w:rsidR="00AD6321">
        <w:rPr>
          <w:rFonts w:eastAsia="Calibri"/>
          <w:b/>
        </w:rPr>
        <w:t xml:space="preserve">the </w:t>
      </w:r>
      <w:r w:rsidR="00730146" w:rsidRPr="004E5017">
        <w:rPr>
          <w:rFonts w:eastAsia="Calibri"/>
          <w:b/>
        </w:rPr>
        <w:t>risk of genocide.</w:t>
      </w:r>
    </w:p>
    <w:p w14:paraId="76CD6672" w14:textId="42BDDCE6" w:rsidR="00334AE4" w:rsidRDefault="004E5017" w:rsidP="00F36E8F">
      <w:pPr>
        <w:pStyle w:val="SingleTxtG"/>
        <w:spacing w:before="240" w:after="0"/>
        <w:rPr>
          <w:rFonts w:eastAsia="Calibri"/>
          <w:b/>
          <w:u w:val="single"/>
        </w:rPr>
      </w:pPr>
      <w:r>
        <w:rPr>
          <w:rFonts w:eastAsia="Calibri"/>
        </w:rPr>
        <w:t>9</w:t>
      </w:r>
      <w:r w:rsidR="00045616">
        <w:rPr>
          <w:rFonts w:eastAsia="Calibri"/>
        </w:rPr>
        <w:t>1</w:t>
      </w:r>
      <w:r>
        <w:rPr>
          <w:rFonts w:eastAsia="Calibri"/>
        </w:rPr>
        <w:t>.</w:t>
      </w:r>
      <w:r>
        <w:rPr>
          <w:rFonts w:eastAsia="Calibri"/>
        </w:rPr>
        <w:tab/>
      </w:r>
      <w:r w:rsidR="00730146" w:rsidRPr="004E5017">
        <w:rPr>
          <w:rFonts w:eastAsia="Calibri"/>
          <w:b/>
        </w:rPr>
        <w:t xml:space="preserve">Work with civil society, </w:t>
      </w:r>
      <w:proofErr w:type="gramStart"/>
      <w:r w:rsidR="00730146" w:rsidRPr="004E5017">
        <w:rPr>
          <w:rFonts w:eastAsia="Calibri"/>
          <w:b/>
        </w:rPr>
        <w:t>States</w:t>
      </w:r>
      <w:proofErr w:type="gramEnd"/>
      <w:r w:rsidR="00730146" w:rsidRPr="004E5017">
        <w:rPr>
          <w:rFonts w:eastAsia="Calibri"/>
          <w:b/>
        </w:rPr>
        <w:t xml:space="preserve"> and the Special Adviser on the Prevention of Genocide to uphold responsibilities to prevent genocide and other atrocity crimes</w:t>
      </w:r>
      <w:r w:rsidR="0064017F">
        <w:rPr>
          <w:rFonts w:eastAsia="Calibri"/>
          <w:b/>
        </w:rPr>
        <w:t>.</w:t>
      </w:r>
      <w:r w:rsidR="00730146" w:rsidRPr="004E5017">
        <w:rPr>
          <w:rFonts w:eastAsia="Calibri"/>
          <w:b/>
        </w:rPr>
        <w:t xml:space="preserve"> </w:t>
      </w:r>
      <w:r w:rsidR="0064017F">
        <w:rPr>
          <w:rFonts w:eastAsia="Calibri"/>
          <w:b/>
        </w:rPr>
        <w:t>O</w:t>
      </w:r>
      <w:r w:rsidR="00730146" w:rsidRPr="004E5017">
        <w:rPr>
          <w:rFonts w:eastAsia="Calibri"/>
          <w:b/>
        </w:rPr>
        <w:t xml:space="preserve">nline platforms should assist by signalling patterns of hate serving as early warning signs of genocide, </w:t>
      </w:r>
      <w:proofErr w:type="gramStart"/>
      <w:r w:rsidR="00730146" w:rsidRPr="004E5017">
        <w:rPr>
          <w:rFonts w:eastAsia="Calibri"/>
          <w:b/>
        </w:rPr>
        <w:t>taking action</w:t>
      </w:r>
      <w:proofErr w:type="gramEnd"/>
      <w:r w:rsidR="00730146" w:rsidRPr="004E5017">
        <w:rPr>
          <w:rFonts w:eastAsia="Calibri"/>
          <w:b/>
        </w:rPr>
        <w:t xml:space="preserve"> so that online platforms are not utilized for incitement or planning of atrocity crimes, and preserving potential evidence of crim</w:t>
      </w:r>
      <w:r w:rsidR="004D2F6D">
        <w:rPr>
          <w:rFonts w:eastAsia="Calibri"/>
          <w:b/>
        </w:rPr>
        <w:t>es, including materials removed</w:t>
      </w:r>
      <w:r w:rsidR="004C4BA0">
        <w:rPr>
          <w:rFonts w:eastAsia="Calibri"/>
          <w:b/>
        </w:rPr>
        <w:t>.</w:t>
      </w:r>
    </w:p>
    <w:p w14:paraId="005E7512" w14:textId="7DCE5D27" w:rsidR="00F36E8F" w:rsidRPr="00F36E8F" w:rsidRDefault="00F36E8F" w:rsidP="00F36E8F">
      <w:pPr>
        <w:pStyle w:val="SingleTxtG"/>
        <w:spacing w:before="240" w:after="0"/>
        <w:jc w:val="center"/>
        <w:rPr>
          <w:rFonts w:eastAsia="Calibri"/>
          <w:bCs/>
          <w:u w:val="single"/>
        </w:rPr>
      </w:pPr>
      <w:r>
        <w:rPr>
          <w:rFonts w:eastAsia="Calibri"/>
          <w:b/>
        </w:rPr>
        <w:tab/>
      </w:r>
      <w:r w:rsidRPr="00F36E8F">
        <w:rPr>
          <w:rFonts w:eastAsia="Calibri"/>
          <w:bCs/>
          <w:u w:val="single"/>
        </w:rPr>
        <w:tab/>
      </w:r>
      <w:r w:rsidRPr="00F36E8F">
        <w:rPr>
          <w:rFonts w:eastAsia="Calibri"/>
          <w:bCs/>
          <w:u w:val="single"/>
        </w:rPr>
        <w:tab/>
      </w:r>
      <w:r w:rsidRPr="00F36E8F">
        <w:rPr>
          <w:rFonts w:eastAsia="Calibri"/>
          <w:bCs/>
          <w:u w:val="single"/>
        </w:rPr>
        <w:tab/>
      </w:r>
    </w:p>
    <w:sectPr w:rsidR="00F36E8F" w:rsidRPr="00F36E8F" w:rsidSect="00755F4A">
      <w:headerReference w:type="even" r:id="rId13"/>
      <w:headerReference w:type="default" r:id="rId14"/>
      <w:footerReference w:type="even" r:id="rId15"/>
      <w:footerReference w:type="default" r:id="rId16"/>
      <w:headerReference w:type="first" r:id="rId17"/>
      <w:footerReference w:type="first" r:id="rId18"/>
      <w:endnotePr>
        <w:numFmt w:val="decimal"/>
      </w:endnotePr>
      <w:pgSz w:w="11907" w:h="16840" w:code="9"/>
      <w:pgMar w:top="1417" w:right="1134" w:bottom="1134" w:left="1134" w:header="850" w:footer="56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43D049" w14:textId="77777777" w:rsidR="00FF4BA0" w:rsidRDefault="00FF4BA0"/>
  </w:endnote>
  <w:endnote w:type="continuationSeparator" w:id="0">
    <w:p w14:paraId="52F6DF33" w14:textId="77777777" w:rsidR="00FF4BA0" w:rsidRDefault="00FF4BA0"/>
  </w:endnote>
  <w:endnote w:type="continuationNotice" w:id="1">
    <w:p w14:paraId="43E6C2C0" w14:textId="77777777" w:rsidR="00FF4BA0" w:rsidRDefault="00FF4BA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B57844" w14:textId="5A0AA2CF" w:rsidR="005D730C" w:rsidRPr="00334AE4" w:rsidRDefault="005D730C" w:rsidP="00334AE4">
    <w:pPr>
      <w:pStyle w:val="Footer"/>
      <w:tabs>
        <w:tab w:val="right" w:pos="9638"/>
      </w:tabs>
      <w:rPr>
        <w:sz w:val="18"/>
      </w:rPr>
    </w:pPr>
    <w:r w:rsidRPr="00334AE4">
      <w:rPr>
        <w:b/>
        <w:sz w:val="18"/>
      </w:rPr>
      <w:fldChar w:fldCharType="begin"/>
    </w:r>
    <w:r w:rsidRPr="00334AE4">
      <w:rPr>
        <w:b/>
        <w:sz w:val="18"/>
      </w:rPr>
      <w:instrText xml:space="preserve"> PAGE  \* MERGEFORMAT </w:instrText>
    </w:r>
    <w:r w:rsidRPr="00334AE4">
      <w:rPr>
        <w:b/>
        <w:sz w:val="18"/>
      </w:rPr>
      <w:fldChar w:fldCharType="separate"/>
    </w:r>
    <w:r w:rsidR="000B3417">
      <w:rPr>
        <w:b/>
        <w:noProof/>
        <w:sz w:val="18"/>
      </w:rPr>
      <w:t>14</w:t>
    </w:r>
    <w:r w:rsidRPr="00334AE4">
      <w:rPr>
        <w:b/>
        <w:sz w:val="18"/>
      </w:rPr>
      <w:fldChar w:fldCharType="end"/>
    </w:r>
    <w:r>
      <w:rPr>
        <w:sz w:val="18"/>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6539C2" w14:textId="6AD15AD9" w:rsidR="005D730C" w:rsidRPr="00334AE4" w:rsidRDefault="005D730C" w:rsidP="00334AE4">
    <w:pPr>
      <w:pStyle w:val="Footer"/>
      <w:tabs>
        <w:tab w:val="right" w:pos="9638"/>
      </w:tabs>
      <w:rPr>
        <w:b/>
        <w:sz w:val="18"/>
      </w:rPr>
    </w:pPr>
    <w:r>
      <w:tab/>
    </w:r>
    <w:r w:rsidRPr="00334AE4">
      <w:rPr>
        <w:b/>
        <w:sz w:val="18"/>
      </w:rPr>
      <w:fldChar w:fldCharType="begin"/>
    </w:r>
    <w:r w:rsidRPr="00334AE4">
      <w:rPr>
        <w:b/>
        <w:sz w:val="18"/>
      </w:rPr>
      <w:instrText xml:space="preserve"> PAGE  \* MERGEFORMAT </w:instrText>
    </w:r>
    <w:r w:rsidRPr="00334AE4">
      <w:rPr>
        <w:b/>
        <w:sz w:val="18"/>
      </w:rPr>
      <w:fldChar w:fldCharType="separate"/>
    </w:r>
    <w:r w:rsidR="000B3417">
      <w:rPr>
        <w:b/>
        <w:noProof/>
        <w:sz w:val="18"/>
      </w:rPr>
      <w:t>15</w:t>
    </w:r>
    <w:r w:rsidRPr="00334AE4">
      <w:rPr>
        <w:b/>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450C00" w14:textId="77777777" w:rsidR="00126C08" w:rsidRDefault="00126C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C274B7" w14:textId="77777777" w:rsidR="00FF4BA0" w:rsidRPr="000B175B" w:rsidRDefault="00FF4BA0" w:rsidP="000B175B">
      <w:pPr>
        <w:tabs>
          <w:tab w:val="right" w:pos="2155"/>
        </w:tabs>
        <w:spacing w:after="80"/>
        <w:ind w:left="680"/>
        <w:rPr>
          <w:u w:val="single"/>
        </w:rPr>
      </w:pPr>
      <w:r>
        <w:rPr>
          <w:u w:val="single"/>
        </w:rPr>
        <w:tab/>
      </w:r>
    </w:p>
  </w:footnote>
  <w:footnote w:type="continuationSeparator" w:id="0">
    <w:p w14:paraId="56310E58" w14:textId="77777777" w:rsidR="00FF4BA0" w:rsidRPr="00FC68B7" w:rsidRDefault="00FF4BA0" w:rsidP="00FC68B7">
      <w:pPr>
        <w:tabs>
          <w:tab w:val="left" w:pos="2155"/>
        </w:tabs>
        <w:spacing w:after="80"/>
        <w:ind w:left="680"/>
        <w:rPr>
          <w:u w:val="single"/>
        </w:rPr>
      </w:pPr>
      <w:r>
        <w:rPr>
          <w:u w:val="single"/>
        </w:rPr>
        <w:tab/>
      </w:r>
    </w:p>
  </w:footnote>
  <w:footnote w:type="continuationNotice" w:id="1">
    <w:p w14:paraId="2A3AF28F" w14:textId="77777777" w:rsidR="00FF4BA0" w:rsidRDefault="00FF4BA0"/>
  </w:footnote>
  <w:footnote w:id="2">
    <w:p w14:paraId="0032BCCD" w14:textId="03E0EFC3" w:rsidR="00755F4A" w:rsidRPr="00936E90" w:rsidRDefault="00755F4A" w:rsidP="00705F62">
      <w:pPr>
        <w:pStyle w:val="FootnoteText"/>
        <w:ind w:left="1080" w:hanging="180"/>
        <w:rPr>
          <w:color w:val="000000" w:themeColor="text1"/>
        </w:rPr>
      </w:pPr>
      <w:r w:rsidRPr="00936E90">
        <w:rPr>
          <w:rStyle w:val="FootnoteReference"/>
          <w:color w:val="000000" w:themeColor="text1"/>
        </w:rPr>
        <w:tab/>
      </w:r>
      <w:r w:rsidRPr="00936E90">
        <w:rPr>
          <w:rStyle w:val="FootnoteReference"/>
          <w:color w:val="000000" w:themeColor="text1"/>
          <w:sz w:val="20"/>
          <w:vertAlign w:val="baseline"/>
        </w:rPr>
        <w:t>*</w:t>
      </w:r>
      <w:r w:rsidRPr="00936E90">
        <w:rPr>
          <w:rStyle w:val="FootnoteReference"/>
          <w:color w:val="000000" w:themeColor="text1"/>
          <w:sz w:val="20"/>
          <w:vertAlign w:val="baseline"/>
        </w:rPr>
        <w:tab/>
      </w:r>
      <w:r w:rsidRPr="00F36E8F">
        <w:rPr>
          <w:rFonts w:eastAsia="Calibri"/>
          <w:color w:val="000000" w:themeColor="text1"/>
          <w:szCs w:val="18"/>
          <w:lang w:eastAsia="en-GB"/>
        </w:rPr>
        <w:t xml:space="preserve">The present </w:t>
      </w:r>
      <w:r w:rsidRPr="00F36E8F">
        <w:rPr>
          <w:rFonts w:eastAsia="Calibri"/>
          <w:color w:val="000000" w:themeColor="text1"/>
          <w:szCs w:val="18"/>
        </w:rPr>
        <w:t>report</w:t>
      </w:r>
      <w:r w:rsidRPr="00F36E8F">
        <w:rPr>
          <w:rFonts w:eastAsia="Calibri"/>
          <w:color w:val="000000" w:themeColor="text1"/>
          <w:szCs w:val="18"/>
          <w:lang w:eastAsia="en-GB"/>
        </w:rPr>
        <w:t xml:space="preserve"> was submitted late</w:t>
      </w:r>
      <w:r w:rsidR="00134906" w:rsidRPr="00F36E8F">
        <w:rPr>
          <w:rFonts w:eastAsia="Calibri"/>
          <w:color w:val="000000" w:themeColor="text1"/>
          <w:szCs w:val="18"/>
          <w:lang w:eastAsia="en-GB"/>
        </w:rPr>
        <w:t xml:space="preserve"> </w:t>
      </w:r>
      <w:proofErr w:type="gramStart"/>
      <w:r w:rsidR="0052066C" w:rsidRPr="00F36E8F">
        <w:rPr>
          <w:rFonts w:eastAsia="Calibri"/>
          <w:color w:val="000000" w:themeColor="text1"/>
          <w:szCs w:val="18"/>
          <w:lang w:eastAsia="en-GB"/>
        </w:rPr>
        <w:t>as a result of</w:t>
      </w:r>
      <w:proofErr w:type="gramEnd"/>
      <w:r w:rsidR="0052066C" w:rsidRPr="00F36E8F">
        <w:rPr>
          <w:rFonts w:eastAsia="Calibri"/>
          <w:color w:val="000000" w:themeColor="text1"/>
          <w:szCs w:val="18"/>
          <w:lang w:eastAsia="en-GB"/>
        </w:rPr>
        <w:t xml:space="preserve"> </w:t>
      </w:r>
      <w:r w:rsidR="00134906" w:rsidRPr="00F36E8F">
        <w:rPr>
          <w:rFonts w:eastAsia="Calibri"/>
          <w:color w:val="000000" w:themeColor="text1"/>
          <w:szCs w:val="18"/>
          <w:lang w:eastAsia="en-GB"/>
        </w:rPr>
        <w:t xml:space="preserve">administrative </w:t>
      </w:r>
      <w:r w:rsidR="00C126C0" w:rsidRPr="00F36E8F">
        <w:rPr>
          <w:rFonts w:eastAsia="Calibri"/>
          <w:color w:val="000000" w:themeColor="text1"/>
          <w:szCs w:val="18"/>
          <w:lang w:eastAsia="en-GB"/>
        </w:rPr>
        <w:t>constraints</w:t>
      </w:r>
      <w:r w:rsidRPr="00F36E8F">
        <w:rPr>
          <w:rFonts w:eastAsia="Calibri"/>
          <w:color w:val="000000" w:themeColor="text1"/>
          <w:szCs w:val="18"/>
          <w:lang w:eastAsia="en-GB"/>
        </w:rPr>
        <w:t>.</w:t>
      </w:r>
    </w:p>
  </w:footnote>
  <w:footnote w:id="3">
    <w:p w14:paraId="785AAB25" w14:textId="27F0EE63" w:rsidR="00730146" w:rsidRPr="00936E90" w:rsidRDefault="00F36E8F" w:rsidP="00F36E8F">
      <w:pPr>
        <w:pStyle w:val="FootnoteText"/>
        <w:rPr>
          <w:color w:val="000000" w:themeColor="text1"/>
        </w:rPr>
      </w:pPr>
      <w:r>
        <w:rPr>
          <w:color w:val="000000" w:themeColor="text1"/>
        </w:rPr>
        <w:tab/>
      </w:r>
      <w:r w:rsidR="00730146" w:rsidRPr="00936E90">
        <w:rPr>
          <w:rStyle w:val="FootnoteReference"/>
          <w:color w:val="000000" w:themeColor="text1"/>
        </w:rPr>
        <w:footnoteRef/>
      </w:r>
      <w:r w:rsidR="00D42D9D" w:rsidRPr="00936E90">
        <w:rPr>
          <w:color w:val="000000" w:themeColor="text1"/>
        </w:rPr>
        <w:tab/>
      </w:r>
      <w:hyperlink r:id="rId1" w:history="1">
        <w:r w:rsidR="00730146" w:rsidRPr="00936E90">
          <w:rPr>
            <w:rStyle w:val="Hyperlink"/>
          </w:rPr>
          <w:t>A/HRC/41/24</w:t>
        </w:r>
      </w:hyperlink>
      <w:r w:rsidR="00730146" w:rsidRPr="00936E90">
        <w:rPr>
          <w:color w:val="000000" w:themeColor="text1"/>
        </w:rPr>
        <w:t>.</w:t>
      </w:r>
    </w:p>
  </w:footnote>
  <w:footnote w:id="4">
    <w:p w14:paraId="4964A6BF" w14:textId="26911C21" w:rsidR="00730146" w:rsidRPr="00936E90" w:rsidRDefault="00F36E8F" w:rsidP="00F36E8F">
      <w:pPr>
        <w:pStyle w:val="FootnoteText"/>
        <w:rPr>
          <w:color w:val="000000" w:themeColor="text1"/>
          <w:lang w:val="en-US"/>
        </w:rPr>
      </w:pPr>
      <w:r>
        <w:rPr>
          <w:color w:val="000000" w:themeColor="text1"/>
        </w:rPr>
        <w:tab/>
      </w:r>
      <w:r w:rsidR="00730146" w:rsidRPr="00936E90">
        <w:rPr>
          <w:rStyle w:val="FootnoteReference"/>
          <w:color w:val="000000" w:themeColor="text1"/>
        </w:rPr>
        <w:footnoteRef/>
      </w:r>
      <w:r>
        <w:rPr>
          <w:color w:val="000000" w:themeColor="text1"/>
        </w:rPr>
        <w:tab/>
      </w:r>
      <w:r w:rsidR="00D42D9D" w:rsidRPr="00936E90">
        <w:rPr>
          <w:color w:val="000000" w:themeColor="text1"/>
        </w:rPr>
        <w:tab/>
      </w:r>
      <w:hyperlink r:id="rId2" w:history="1">
        <w:r w:rsidR="00730146" w:rsidRPr="00936E90">
          <w:rPr>
            <w:rStyle w:val="Hyperlink"/>
          </w:rPr>
          <w:t>A/HRC/41/24</w:t>
        </w:r>
      </w:hyperlink>
      <w:r w:rsidR="00EF6A03" w:rsidRPr="00936E90">
        <w:rPr>
          <w:color w:val="000000" w:themeColor="text1"/>
        </w:rPr>
        <w:t>.</w:t>
      </w:r>
    </w:p>
  </w:footnote>
  <w:footnote w:id="5">
    <w:p w14:paraId="3D572CB9" w14:textId="60F621FB" w:rsidR="005644DD" w:rsidRPr="005644DD" w:rsidRDefault="0048735D" w:rsidP="0048735D">
      <w:pPr>
        <w:pStyle w:val="FootnoteText"/>
      </w:pPr>
      <w:r>
        <w:tab/>
      </w:r>
      <w:r w:rsidR="005644DD">
        <w:rPr>
          <w:rStyle w:val="FootnoteReference"/>
        </w:rPr>
        <w:footnoteRef/>
      </w:r>
      <w:r>
        <w:tab/>
      </w:r>
      <w:hyperlink r:id="rId3" w:history="1">
        <w:r w:rsidR="005644DD" w:rsidRPr="00BE2ED0">
          <w:rPr>
            <w:rStyle w:val="Hyperlink"/>
          </w:rPr>
          <w:t>A/HRC/41/24</w:t>
        </w:r>
      </w:hyperlink>
      <w:r w:rsidR="00F36E8F">
        <w:rPr>
          <w:rStyle w:val="Hyperlink"/>
        </w:rPr>
        <w:t>.</w:t>
      </w:r>
    </w:p>
  </w:footnote>
  <w:footnote w:id="6">
    <w:p w14:paraId="068880CE" w14:textId="40C2E454" w:rsidR="00C21B42" w:rsidRPr="005644DD" w:rsidRDefault="004F7454" w:rsidP="006E5C08">
      <w:pPr>
        <w:pStyle w:val="FootnoteText"/>
      </w:pPr>
      <w:r>
        <w:tab/>
      </w:r>
      <w:r w:rsidR="00C21B42">
        <w:rPr>
          <w:rStyle w:val="FootnoteReference"/>
        </w:rPr>
        <w:footnoteRef/>
      </w:r>
      <w:r>
        <w:tab/>
      </w:r>
      <w:hyperlink r:id="rId4" w:anchor="record-files-collapse-header" w:history="1">
        <w:r w:rsidR="00C21B42" w:rsidRPr="0081350D">
          <w:rPr>
            <w:rStyle w:val="Hyperlink"/>
          </w:rPr>
          <w:t>A/70/741-S/2016/71, annex</w:t>
        </w:r>
      </w:hyperlink>
      <w:r w:rsidR="00C21B42">
        <w:t xml:space="preserve"> (2016). </w:t>
      </w:r>
    </w:p>
  </w:footnote>
  <w:footnote w:id="7">
    <w:p w14:paraId="3DE62A43" w14:textId="5D82881A" w:rsidR="00C21B42" w:rsidRPr="00EB04B9" w:rsidRDefault="006E5C08" w:rsidP="006E5C08">
      <w:pPr>
        <w:pStyle w:val="FootnoteText"/>
        <w:rPr>
          <w:lang w:val="en-US"/>
        </w:rPr>
      </w:pPr>
      <w:r>
        <w:tab/>
      </w:r>
      <w:r w:rsidR="00C21B42">
        <w:rPr>
          <w:rStyle w:val="FootnoteReference"/>
        </w:rPr>
        <w:footnoteRef/>
      </w:r>
      <w:r>
        <w:tab/>
      </w:r>
      <w:hyperlink r:id="rId5" w:history="1">
        <w:r w:rsidR="00C21B42" w:rsidRPr="00C56A9D">
          <w:rPr>
            <w:rStyle w:val="Hyperlink"/>
            <w:lang w:val="en-US"/>
          </w:rPr>
          <w:t>United Nations Strategy and Plan of Action on Hate Speech, 2019</w:t>
        </w:r>
      </w:hyperlink>
      <w:r w:rsidR="00F36E8F">
        <w:rPr>
          <w:rStyle w:val="Hyperlink"/>
          <w:lang w:val="en-US"/>
        </w:rPr>
        <w:t>.</w:t>
      </w:r>
    </w:p>
  </w:footnote>
  <w:footnote w:id="8">
    <w:p w14:paraId="7856D6F1" w14:textId="19AD306B" w:rsidR="00220D75" w:rsidRDefault="006E5C08" w:rsidP="006E5C08">
      <w:pPr>
        <w:pStyle w:val="FootnoteText"/>
      </w:pPr>
      <w:r>
        <w:tab/>
      </w:r>
      <w:r w:rsidR="00220D75">
        <w:rPr>
          <w:rStyle w:val="FootnoteReference"/>
        </w:rPr>
        <w:footnoteRef/>
      </w:r>
      <w:r>
        <w:tab/>
      </w:r>
      <w:r w:rsidR="001B4361" w:rsidRPr="00836D0B">
        <w:t>A/RES/75/309</w:t>
      </w:r>
      <w:r w:rsidR="00220D75">
        <w:t>.</w:t>
      </w:r>
    </w:p>
  </w:footnote>
  <w:footnote w:id="9">
    <w:p w14:paraId="6FE33BDC" w14:textId="5FC6C0FA" w:rsidR="00730146" w:rsidRPr="00836D0B" w:rsidRDefault="00F36E8F" w:rsidP="00F36E8F">
      <w:pPr>
        <w:pStyle w:val="FootnoteText"/>
        <w:rPr>
          <w:color w:val="000000" w:themeColor="text1"/>
          <w:lang w:val="pt-BR"/>
        </w:rPr>
      </w:pPr>
      <w:r>
        <w:rPr>
          <w:color w:val="000000" w:themeColor="text1"/>
          <w:lang w:val="pt-BR"/>
        </w:rPr>
        <w:tab/>
      </w:r>
      <w:r w:rsidR="00730146" w:rsidRPr="00836D0B">
        <w:rPr>
          <w:rStyle w:val="FootnoteReference"/>
          <w:color w:val="000000" w:themeColor="text1"/>
        </w:rPr>
        <w:footnoteRef/>
      </w:r>
      <w:r w:rsidR="0024066D" w:rsidRPr="00836D0B">
        <w:rPr>
          <w:color w:val="000000" w:themeColor="text1"/>
          <w:lang w:val="pt-BR"/>
        </w:rPr>
        <w:tab/>
      </w:r>
      <w:hyperlink r:id="rId6" w:history="1">
        <w:r w:rsidR="00730146" w:rsidRPr="00836D0B">
          <w:rPr>
            <w:rStyle w:val="Hyperlink"/>
          </w:rPr>
          <w:t>A/70/621–S/2015/978</w:t>
        </w:r>
      </w:hyperlink>
      <w:r w:rsidR="00730146" w:rsidRPr="00836D0B">
        <w:rPr>
          <w:color w:val="000000" w:themeColor="text1"/>
          <w:lang w:val="pt-BR"/>
        </w:rPr>
        <w:t>.</w:t>
      </w:r>
    </w:p>
  </w:footnote>
  <w:footnote w:id="10">
    <w:p w14:paraId="33E7AB8D" w14:textId="259E5C8A" w:rsidR="00171746" w:rsidRPr="00836D0B" w:rsidRDefault="006E5C08" w:rsidP="006E5C08">
      <w:pPr>
        <w:pStyle w:val="FootnoteText"/>
        <w:rPr>
          <w:color w:val="000000" w:themeColor="text1"/>
        </w:rPr>
      </w:pPr>
      <w:r>
        <w:rPr>
          <w:color w:val="000000" w:themeColor="text1"/>
          <w:lang w:val="pt-BR"/>
        </w:rPr>
        <w:tab/>
      </w:r>
      <w:r w:rsidR="00171746" w:rsidRPr="00836D0B">
        <w:rPr>
          <w:rStyle w:val="FootnoteReference"/>
          <w:color w:val="000000" w:themeColor="text1"/>
        </w:rPr>
        <w:footnoteRef/>
      </w:r>
      <w:r>
        <w:rPr>
          <w:color w:val="000000" w:themeColor="text1"/>
          <w:lang w:val="pt-BR"/>
        </w:rPr>
        <w:tab/>
      </w:r>
      <w:hyperlink r:id="rId7" w:history="1">
        <w:r w:rsidR="00EC1C0D" w:rsidRPr="00BD3F1E">
          <w:rPr>
            <w:rStyle w:val="Hyperlink"/>
            <w:i/>
            <w:iCs/>
            <w:color w:val="000000" w:themeColor="text1"/>
          </w:rPr>
          <w:t>Political statement on the suspension of the veto in case of mass atrocities</w:t>
        </w:r>
      </w:hyperlink>
      <w:r w:rsidR="00EC1C0D" w:rsidRPr="00836D0B">
        <w:rPr>
          <w:color w:val="000000" w:themeColor="text1"/>
          <w:u w:val="single"/>
        </w:rPr>
        <w:t>,</w:t>
      </w:r>
      <w:r w:rsidR="00EC1C0D" w:rsidRPr="00836D0B">
        <w:rPr>
          <w:color w:val="000000" w:themeColor="text1"/>
        </w:rPr>
        <w:t xml:space="preserve"> </w:t>
      </w:r>
      <w:r>
        <w:rPr>
          <w:color w:val="000000" w:themeColor="text1"/>
        </w:rPr>
        <w:br/>
      </w:r>
      <w:r w:rsidR="00EC1C0D" w:rsidRPr="00836D0B">
        <w:rPr>
          <w:color w:val="000000" w:themeColor="text1"/>
        </w:rPr>
        <w:t>70th General Assembly of the United Nations (presented by France and Mexic</w:t>
      </w:r>
      <w:r w:rsidR="00EC1C0D">
        <w:rPr>
          <w:color w:val="000000" w:themeColor="text1"/>
        </w:rPr>
        <w:t>o</w:t>
      </w:r>
      <w:r w:rsidR="00371B17">
        <w:rPr>
          <w:color w:val="000000" w:themeColor="text1"/>
        </w:rPr>
        <w:t>).</w:t>
      </w:r>
    </w:p>
  </w:footnote>
  <w:footnote w:id="11">
    <w:p w14:paraId="6D48EAD4" w14:textId="77777777" w:rsidR="004777DF" w:rsidRPr="004C18D7" w:rsidRDefault="004777DF" w:rsidP="00F36E8F">
      <w:pPr>
        <w:pStyle w:val="FootnoteText"/>
        <w:rPr>
          <w:lang w:val="pt-BR"/>
        </w:rPr>
      </w:pPr>
      <w:r w:rsidRPr="00EB04B9">
        <w:rPr>
          <w:lang w:val="pt-BR"/>
        </w:rPr>
        <w:tab/>
      </w:r>
      <w:r w:rsidRPr="00EB04B9">
        <w:rPr>
          <w:rStyle w:val="FootnoteReference"/>
          <w:color w:val="000000" w:themeColor="text1"/>
        </w:rPr>
        <w:footnoteRef/>
      </w:r>
      <w:r w:rsidRPr="00EB04B9">
        <w:rPr>
          <w:lang w:val="pt-BR"/>
        </w:rPr>
        <w:tab/>
      </w:r>
      <w:r w:rsidRPr="00EB04B9">
        <w:rPr>
          <w:lang w:val="pt-BR"/>
        </w:rPr>
        <w:t>A/</w:t>
      </w:r>
      <w:r w:rsidRPr="004C18D7">
        <w:rPr>
          <w:lang w:val="pt-BR"/>
        </w:rPr>
        <w:t xml:space="preserve">RES/71/248. </w:t>
      </w:r>
    </w:p>
  </w:footnote>
  <w:footnote w:id="12">
    <w:p w14:paraId="2165BB62" w14:textId="77777777" w:rsidR="004777DF" w:rsidRPr="004C18D7" w:rsidRDefault="004777DF" w:rsidP="00F36E8F">
      <w:pPr>
        <w:pStyle w:val="FootnoteText"/>
        <w:rPr>
          <w:lang w:val="pt-BR"/>
        </w:rPr>
      </w:pPr>
      <w:r w:rsidRPr="004C18D7">
        <w:rPr>
          <w:lang w:val="pt-BR"/>
        </w:rPr>
        <w:tab/>
      </w:r>
      <w:r w:rsidRPr="004C18D7">
        <w:rPr>
          <w:rStyle w:val="FootnoteReference"/>
          <w:color w:val="000000" w:themeColor="text1"/>
        </w:rPr>
        <w:footnoteRef/>
      </w:r>
      <w:r w:rsidRPr="004C18D7">
        <w:rPr>
          <w:lang w:val="pt-BR"/>
        </w:rPr>
        <w:tab/>
      </w:r>
      <w:r w:rsidRPr="004C18D7">
        <w:rPr>
          <w:lang w:val="pt-BR"/>
        </w:rPr>
        <w:t xml:space="preserve">S/RES/2379.  </w:t>
      </w:r>
    </w:p>
  </w:footnote>
  <w:footnote w:id="13">
    <w:p w14:paraId="56D25586" w14:textId="77777777" w:rsidR="004777DF" w:rsidRPr="00EB04B9" w:rsidRDefault="004777DF" w:rsidP="00F36E8F">
      <w:pPr>
        <w:pStyle w:val="FootnoteText"/>
        <w:rPr>
          <w:lang w:val="pt-BR"/>
        </w:rPr>
      </w:pPr>
      <w:r w:rsidRPr="004C18D7">
        <w:rPr>
          <w:lang w:val="pt-BR"/>
        </w:rPr>
        <w:tab/>
      </w:r>
      <w:r w:rsidRPr="004C18D7">
        <w:rPr>
          <w:rStyle w:val="FootnoteReference"/>
          <w:color w:val="000000" w:themeColor="text1"/>
        </w:rPr>
        <w:footnoteRef/>
      </w:r>
      <w:r w:rsidRPr="004C18D7">
        <w:rPr>
          <w:lang w:val="pt-BR"/>
        </w:rPr>
        <w:tab/>
      </w:r>
      <w:r w:rsidRPr="004C18D7">
        <w:rPr>
          <w:lang w:val="pt-BR"/>
        </w:rPr>
        <w:t xml:space="preserve">A/HRC/RES/39/2. </w:t>
      </w:r>
    </w:p>
  </w:footnote>
  <w:footnote w:id="14">
    <w:p w14:paraId="2B312AFB" w14:textId="1749D10A" w:rsidR="006F1447" w:rsidRPr="00836D0B" w:rsidRDefault="00F36E8F" w:rsidP="00F36E8F">
      <w:pPr>
        <w:pStyle w:val="FootnoteText"/>
        <w:rPr>
          <w:lang w:val="es-ES"/>
        </w:rPr>
      </w:pPr>
      <w:r>
        <w:rPr>
          <w:lang w:val="es-ES"/>
        </w:rPr>
        <w:tab/>
      </w:r>
      <w:r w:rsidR="006F1447">
        <w:rPr>
          <w:rStyle w:val="FootnoteReference"/>
        </w:rPr>
        <w:footnoteRef/>
      </w:r>
      <w:r>
        <w:rPr>
          <w:lang w:val="es-ES"/>
        </w:rPr>
        <w:tab/>
      </w:r>
      <w:r w:rsidR="006F1447" w:rsidRPr="00836D0B">
        <w:rPr>
          <w:lang w:val="es-ES"/>
        </w:rPr>
        <w:t xml:space="preserve"> </w:t>
      </w:r>
      <w:hyperlink r:id="rId8" w:history="1">
        <w:r w:rsidR="00B002AC" w:rsidRPr="00836D0B">
          <w:rPr>
            <w:rStyle w:val="Hyperlink"/>
            <w:lang w:val="es-ES"/>
          </w:rPr>
          <w:t>A/HRC/41/24</w:t>
        </w:r>
      </w:hyperlink>
      <w:r w:rsidR="00B002AC" w:rsidRPr="00836D0B">
        <w:rPr>
          <w:lang w:val="es-ES"/>
        </w:rPr>
        <w:t>, para 36-38</w:t>
      </w:r>
      <w:r w:rsidR="00284C7B">
        <w:rPr>
          <w:lang w:val="es-ES"/>
        </w:rPr>
        <w:t>.</w:t>
      </w:r>
    </w:p>
  </w:footnote>
  <w:footnote w:id="15">
    <w:p w14:paraId="049BAC70" w14:textId="41B1A7FB" w:rsidR="006E5C08" w:rsidRPr="005C2B01" w:rsidRDefault="00F36E8F" w:rsidP="00F36E8F">
      <w:pPr>
        <w:pStyle w:val="FootnoteText"/>
        <w:rPr>
          <w:lang w:val="pt-BR" w:eastAsia="en-GB"/>
        </w:rPr>
      </w:pPr>
      <w:r>
        <w:rPr>
          <w:lang w:val="es-ES"/>
        </w:rPr>
        <w:tab/>
      </w:r>
      <w:r w:rsidR="00B002AC">
        <w:rPr>
          <w:rStyle w:val="FootnoteReference"/>
        </w:rPr>
        <w:footnoteRef/>
      </w:r>
      <w:r>
        <w:rPr>
          <w:lang w:val="es-ES"/>
        </w:rPr>
        <w:tab/>
      </w:r>
      <w:r w:rsidR="00B002AC" w:rsidRPr="00E26B6F">
        <w:rPr>
          <w:lang w:val="es-ES"/>
        </w:rPr>
        <w:t xml:space="preserve"> </w:t>
      </w:r>
      <w:r w:rsidR="00B002AC" w:rsidRPr="00730146">
        <w:rPr>
          <w:lang w:val="pt-BR" w:eastAsia="en-GB"/>
        </w:rPr>
        <w:t>Ghana (</w:t>
      </w:r>
      <w:r w:rsidR="00126C08">
        <w:fldChar w:fldCharType="begin"/>
      </w:r>
      <w:r w:rsidR="00126C08">
        <w:instrText xml:space="preserve"> HYPERLINK "https://documents-dds-ny.un.org/doc/UNDOC/GEN/G22/576/36/PDF/G2257636.pdf?OpenElement" </w:instrText>
      </w:r>
      <w:r w:rsidR="00126C08">
        <w:fldChar w:fldCharType="separate"/>
      </w:r>
      <w:r w:rsidR="00B002AC" w:rsidRPr="00D051BA">
        <w:rPr>
          <w:rStyle w:val="Hyperlink"/>
          <w:lang w:val="pt-BR" w:eastAsia="en-GB"/>
        </w:rPr>
        <w:t>A/HRC/WG.6/42/GHA/1</w:t>
      </w:r>
      <w:r w:rsidR="00126C08">
        <w:rPr>
          <w:rStyle w:val="Hyperlink"/>
          <w:lang w:val="pt-BR" w:eastAsia="en-GB"/>
        </w:rPr>
        <w:fldChar w:fldCharType="end"/>
      </w:r>
      <w:r w:rsidR="00B002AC" w:rsidRPr="00730146">
        <w:rPr>
          <w:lang w:val="pt-BR" w:eastAsia="en-GB"/>
        </w:rPr>
        <w:t>, para. 42) and Nauru (</w:t>
      </w:r>
      <w:r w:rsidR="00126C08">
        <w:fldChar w:fldCharType="begin"/>
      </w:r>
      <w:r w:rsidR="00126C08">
        <w:instrText xml:space="preserve"> HYPERLINK "https://undocs.org/Home/Mobile?FinalSymbol=A%2FHRC%2FWG.6%2F37%2FNRU%2F1&amp;Language=E&amp;DeviceType=Deskt</w:instrText>
      </w:r>
      <w:r w:rsidR="00126C08">
        <w:instrText xml:space="preserve">op&amp;LangRequested=False" </w:instrText>
      </w:r>
      <w:r w:rsidR="00126C08">
        <w:fldChar w:fldCharType="separate"/>
      </w:r>
      <w:r w:rsidR="00B002AC" w:rsidRPr="005F4675">
        <w:rPr>
          <w:rStyle w:val="Hyperlink"/>
          <w:lang w:val="pt-BR" w:eastAsia="en-GB"/>
        </w:rPr>
        <w:t>A/HRC/WG.6/37/NRU/1</w:t>
      </w:r>
      <w:r w:rsidR="00126C08">
        <w:rPr>
          <w:rStyle w:val="Hyperlink"/>
          <w:lang w:val="pt-BR" w:eastAsia="en-GB"/>
        </w:rPr>
        <w:fldChar w:fldCharType="end"/>
      </w:r>
      <w:r w:rsidR="00B002AC" w:rsidRPr="00730146">
        <w:rPr>
          <w:lang w:val="pt-BR" w:eastAsia="en-GB"/>
        </w:rPr>
        <w:t xml:space="preserve">, para. </w:t>
      </w:r>
      <w:r w:rsidR="00B002AC" w:rsidRPr="00730146">
        <w:rPr>
          <w:lang w:val="en-US" w:eastAsia="en-GB"/>
        </w:rPr>
        <w:t>133)</w:t>
      </w:r>
      <w:r w:rsidR="00B002AC" w:rsidRPr="00730146">
        <w:rPr>
          <w:lang w:eastAsia="en-GB"/>
        </w:rPr>
        <w:t>, for</w:t>
      </w:r>
      <w:r w:rsidR="0090606F">
        <w:rPr>
          <w:lang w:eastAsia="en-GB"/>
        </w:rPr>
        <w:t xml:space="preserve"> </w:t>
      </w:r>
      <w:r w:rsidR="00B002AC" w:rsidRPr="00730146">
        <w:rPr>
          <w:lang w:eastAsia="en-GB"/>
        </w:rPr>
        <w:t xml:space="preserve">example, informed of criminalizing genocide in their national legislation, while Gabon reported having introduced the non-applicability of statutory limitations to atrocity crimes in its Criminal Code </w:t>
      </w:r>
      <w:r w:rsidR="00B002AC" w:rsidRPr="00730146">
        <w:rPr>
          <w:lang w:val="en-US" w:eastAsia="en-GB"/>
        </w:rPr>
        <w:t>(</w:t>
      </w:r>
      <w:hyperlink r:id="rId9" w:history="1">
        <w:r w:rsidR="00B002AC" w:rsidRPr="002B14BA">
          <w:rPr>
            <w:rStyle w:val="Hyperlink"/>
            <w:lang w:val="en-US" w:eastAsia="en-GB"/>
          </w:rPr>
          <w:t>A/HRC/WG.6/42/GAB/1</w:t>
        </w:r>
      </w:hyperlink>
      <w:r w:rsidR="00B002AC" w:rsidRPr="00730146">
        <w:rPr>
          <w:lang w:val="en-US" w:eastAsia="en-GB"/>
        </w:rPr>
        <w:t>, para.  11)</w:t>
      </w:r>
      <w:r w:rsidR="00B002AC" w:rsidRPr="00730146">
        <w:rPr>
          <w:lang w:eastAsia="en-GB"/>
        </w:rPr>
        <w:t xml:space="preserve">. Other States reported on developments in transitional justice processes dealing with past conflicts, for example, </w:t>
      </w:r>
      <w:r w:rsidR="004719DB" w:rsidRPr="00BD3F1E">
        <w:rPr>
          <w:lang w:val="pt-BR" w:eastAsia="en-GB"/>
        </w:rPr>
        <w:t>Argentina (</w:t>
      </w:r>
      <w:r w:rsidR="00126C08">
        <w:fldChar w:fldCharType="begin"/>
      </w:r>
      <w:r w:rsidR="00126C08">
        <w:instrText xml:space="preserve"> HYPERLINK "https://undocs.org/Home/Mobile?FinalSymbol=A%2FHRC%2FWG.6%2F42%2FARG%2F1&amp;Language=E&amp;DeviceType=Desktop&amp;LangRequested=False" </w:instrText>
      </w:r>
      <w:r w:rsidR="00126C08">
        <w:fldChar w:fldCharType="separate"/>
      </w:r>
      <w:r w:rsidR="004719DB" w:rsidRPr="00BD3F1E">
        <w:rPr>
          <w:rStyle w:val="Hyperlink"/>
          <w:lang w:val="pt-BR" w:eastAsia="en-GB"/>
        </w:rPr>
        <w:t>A/HRC/WG.6/42/ARG/1</w:t>
      </w:r>
      <w:r w:rsidR="00126C08">
        <w:rPr>
          <w:rStyle w:val="Hyperlink"/>
          <w:lang w:val="pt-BR" w:eastAsia="en-GB"/>
        </w:rPr>
        <w:fldChar w:fldCharType="end"/>
      </w:r>
      <w:r w:rsidR="004719DB" w:rsidRPr="00BD3F1E">
        <w:rPr>
          <w:lang w:val="pt-BR" w:eastAsia="en-GB"/>
        </w:rPr>
        <w:t>, paras. 14-30), Nepal (</w:t>
      </w:r>
      <w:r w:rsidR="00126C08">
        <w:fldChar w:fldCharType="begin"/>
      </w:r>
      <w:r w:rsidR="00126C08">
        <w:instrText xml:space="preserve"> HYPERLINK "https://undocs.org/Home/Mobile?FinalSymbol=A%2FHRC%2FWG.6%2F37</w:instrText>
      </w:r>
      <w:r w:rsidR="00126C08">
        <w:instrText xml:space="preserve">%2FNPL%2F1&amp;Language=E&amp;DeviceType=Desktop&amp;LangRequested=False" </w:instrText>
      </w:r>
      <w:r w:rsidR="00126C08">
        <w:fldChar w:fldCharType="separate"/>
      </w:r>
      <w:r w:rsidR="004719DB" w:rsidRPr="00BD3F1E">
        <w:rPr>
          <w:rStyle w:val="Hyperlink"/>
          <w:lang w:val="pt-BR" w:eastAsia="en-GB"/>
        </w:rPr>
        <w:t>A/HRC/WG.6/37/NPL/1</w:t>
      </w:r>
      <w:r w:rsidR="00126C08">
        <w:rPr>
          <w:rStyle w:val="Hyperlink"/>
          <w:lang w:val="pt-BR" w:eastAsia="en-GB"/>
        </w:rPr>
        <w:fldChar w:fldCharType="end"/>
      </w:r>
      <w:r w:rsidR="004719DB" w:rsidRPr="00BD3F1E">
        <w:rPr>
          <w:lang w:val="pt-BR" w:eastAsia="en-GB"/>
        </w:rPr>
        <w:t>, paras. 23-25), Peru (</w:t>
      </w:r>
      <w:r w:rsidR="00126C08">
        <w:fldChar w:fldCharType="begin"/>
      </w:r>
      <w:r w:rsidR="00126C08">
        <w:instrText xml:space="preserve"> HYPERLINK "https://undocs.org/Home/Mobile?FinalSymbol=A%2FHRC%2FWG.6%2F42%2FPER%2F1&amp;Language=E&amp;DeviceType=Desktop&amp;LangRequested=False" </w:instrText>
      </w:r>
      <w:r w:rsidR="00126C08">
        <w:fldChar w:fldCharType="separate"/>
      </w:r>
      <w:r w:rsidR="004719DB" w:rsidRPr="00BD3F1E">
        <w:rPr>
          <w:rStyle w:val="Hyperlink"/>
          <w:lang w:val="pt-BR" w:eastAsia="en-GB"/>
        </w:rPr>
        <w:t>A/HRC/WG.6/42/PER/1</w:t>
      </w:r>
      <w:r w:rsidR="00126C08">
        <w:rPr>
          <w:rStyle w:val="Hyperlink"/>
          <w:lang w:val="pt-BR" w:eastAsia="en-GB"/>
        </w:rPr>
        <w:fldChar w:fldCharType="end"/>
      </w:r>
      <w:r w:rsidR="004719DB" w:rsidRPr="00BD3F1E">
        <w:rPr>
          <w:lang w:val="pt-BR" w:eastAsia="en-GB"/>
        </w:rPr>
        <w:t>, paras. 149-157) and Somalia (</w:t>
      </w:r>
      <w:r w:rsidR="00126C08">
        <w:fldChar w:fldCharType="begin"/>
      </w:r>
      <w:r w:rsidR="00126C08">
        <w:instrText xml:space="preserve"> HYPERLINK "https://undocs.org/Home/Mobile?FinalSymbol=A%2FHRC%2FWG.6%2F38%2FSOM%2F1&amp;Language=E&amp;DeviceType=Desktop&amp;LangRequested=False" </w:instrText>
      </w:r>
      <w:r w:rsidR="00126C08">
        <w:fldChar w:fldCharType="separate"/>
      </w:r>
      <w:r w:rsidR="004719DB" w:rsidRPr="00BD3F1E">
        <w:rPr>
          <w:rStyle w:val="Hyperlink"/>
          <w:lang w:val="pt-BR"/>
        </w:rPr>
        <w:t>A/HRC/WG.6/38/SOM/1</w:t>
      </w:r>
      <w:r w:rsidR="00126C08">
        <w:rPr>
          <w:rStyle w:val="Hyperlink"/>
          <w:lang w:val="pt-BR"/>
        </w:rPr>
        <w:fldChar w:fldCharType="end"/>
      </w:r>
      <w:r w:rsidR="004719DB" w:rsidRPr="00BD3F1E">
        <w:rPr>
          <w:lang w:val="pt-BR" w:eastAsia="en-GB"/>
        </w:rPr>
        <w:t>, para. 21).</w:t>
      </w:r>
      <w:r w:rsidR="00B002AC" w:rsidRPr="005C2B01">
        <w:rPr>
          <w:lang w:val="pt-BR" w:eastAsia="en-GB"/>
        </w:rPr>
        <w:t>).</w:t>
      </w:r>
    </w:p>
  </w:footnote>
  <w:footnote w:id="16">
    <w:p w14:paraId="6E8D085F" w14:textId="4B80B22E" w:rsidR="00730146" w:rsidRPr="00E26B6F" w:rsidRDefault="0024066D" w:rsidP="00F36E8F">
      <w:pPr>
        <w:pStyle w:val="FootnoteText"/>
        <w:rPr>
          <w:color w:val="000000" w:themeColor="text1"/>
          <w:lang w:val="pt-BR"/>
        </w:rPr>
      </w:pPr>
      <w:r w:rsidRPr="005C2B01">
        <w:rPr>
          <w:color w:val="000000" w:themeColor="text1"/>
          <w:lang w:val="pt-BR"/>
        </w:rPr>
        <w:tab/>
      </w:r>
      <w:r w:rsidR="00730146" w:rsidRPr="00E26B6F">
        <w:rPr>
          <w:rStyle w:val="FootnoteReference"/>
          <w:color w:val="000000" w:themeColor="text1"/>
        </w:rPr>
        <w:footnoteRef/>
      </w:r>
      <w:r w:rsidRPr="00BD3F1E">
        <w:rPr>
          <w:color w:val="000000" w:themeColor="text1"/>
          <w:lang w:val="pt-BR"/>
        </w:rPr>
        <w:tab/>
      </w:r>
      <w:r w:rsidR="005470CF" w:rsidRPr="00BD3F1E">
        <w:rPr>
          <w:color w:val="000000" w:themeColor="text1"/>
          <w:lang w:val="pt-BR"/>
        </w:rPr>
        <w:t>A/RES/75/1</w:t>
      </w:r>
      <w:r w:rsidR="00126C08">
        <w:fldChar w:fldCharType="begin"/>
      </w:r>
      <w:r w:rsidR="00126C08">
        <w:instrText xml:space="preserve"> HYPERLINK "https://undocs.org</w:instrText>
      </w:r>
      <w:r w:rsidR="00126C08">
        <w:instrText xml:space="preserve">/A/RES/75/1" </w:instrText>
      </w:r>
      <w:r w:rsidR="00126C08">
        <w:fldChar w:fldCharType="separate"/>
      </w:r>
      <w:r w:rsidR="00126C08">
        <w:fldChar w:fldCharType="end"/>
      </w:r>
      <w:r w:rsidR="00730146" w:rsidRPr="00E26B6F">
        <w:rPr>
          <w:rStyle w:val="Hyperlink"/>
          <w:color w:val="000000" w:themeColor="text1"/>
          <w:lang w:val="pt-BR"/>
        </w:rPr>
        <w:t>, para 13</w:t>
      </w:r>
      <w:r w:rsidR="001A245B">
        <w:rPr>
          <w:rStyle w:val="Hyperlink"/>
          <w:color w:val="000000" w:themeColor="text1"/>
          <w:lang w:val="pt-BR"/>
        </w:rPr>
        <w:t>.</w:t>
      </w:r>
    </w:p>
  </w:footnote>
  <w:footnote w:id="17">
    <w:p w14:paraId="52C46A1D" w14:textId="5756211F" w:rsidR="0028796A" w:rsidRPr="00E26B6F" w:rsidRDefault="0028796A" w:rsidP="00F36E8F">
      <w:pPr>
        <w:pStyle w:val="FootnoteText"/>
        <w:rPr>
          <w:color w:val="000000" w:themeColor="text1"/>
          <w:lang w:val="pt-BR"/>
        </w:rPr>
      </w:pPr>
      <w:r w:rsidRPr="00E26B6F">
        <w:rPr>
          <w:color w:val="000000" w:themeColor="text1"/>
          <w:lang w:val="pt-BR"/>
        </w:rPr>
        <w:tab/>
      </w:r>
      <w:r w:rsidRPr="00E26B6F">
        <w:rPr>
          <w:rStyle w:val="FootnoteReference"/>
          <w:color w:val="000000" w:themeColor="text1"/>
        </w:rPr>
        <w:footnoteRef/>
      </w:r>
      <w:r w:rsidRPr="00E26B6F">
        <w:rPr>
          <w:color w:val="000000" w:themeColor="text1"/>
          <w:lang w:val="pt-BR"/>
        </w:rPr>
        <w:tab/>
      </w:r>
      <w:hyperlink r:id="rId10" w:history="1">
        <w:r w:rsidR="393F8FC5" w:rsidRPr="00BD3F1E">
          <w:rPr>
            <w:rStyle w:val="Hyperlink"/>
            <w:lang w:val="pt-BR"/>
          </w:rPr>
          <w:t>A/HRC/50/55</w:t>
        </w:r>
      </w:hyperlink>
      <w:r w:rsidR="393F8FC5" w:rsidRPr="00E26B6F">
        <w:rPr>
          <w:color w:val="000000" w:themeColor="text1"/>
          <w:lang w:val="pt-BR"/>
        </w:rPr>
        <w:t xml:space="preserve">, paras. 24 et seq. </w:t>
      </w:r>
    </w:p>
  </w:footnote>
  <w:footnote w:id="18">
    <w:p w14:paraId="5DD5890F" w14:textId="4B152B6E" w:rsidR="00730146" w:rsidRPr="0011381B" w:rsidRDefault="00F36E8F" w:rsidP="00F36E8F">
      <w:pPr>
        <w:pStyle w:val="FootnoteText"/>
        <w:rPr>
          <w:color w:val="000000" w:themeColor="text1"/>
          <w:lang w:val="en-US"/>
        </w:rPr>
      </w:pPr>
      <w:r>
        <w:rPr>
          <w:color w:val="000000" w:themeColor="text1"/>
          <w:lang w:val="pt-BR"/>
        </w:rPr>
        <w:tab/>
      </w:r>
      <w:r w:rsidR="00730146" w:rsidRPr="00EC1C0D">
        <w:rPr>
          <w:rStyle w:val="FootnoteReference"/>
          <w:color w:val="000000" w:themeColor="text1"/>
        </w:rPr>
        <w:footnoteRef/>
      </w:r>
      <w:r w:rsidR="0024066D" w:rsidRPr="001D0341">
        <w:rPr>
          <w:color w:val="000000" w:themeColor="text1"/>
          <w:lang w:val="pt-BR"/>
        </w:rPr>
        <w:tab/>
      </w:r>
      <w:hyperlink r:id="rId11" w:history="1">
        <w:r w:rsidR="393F8FC5" w:rsidRPr="00C2477C">
          <w:rPr>
            <w:rStyle w:val="Hyperlink"/>
            <w:lang w:val="es-ES"/>
          </w:rPr>
          <w:t>A/75/165</w:t>
        </w:r>
      </w:hyperlink>
      <w:r w:rsidR="393F8FC5" w:rsidRPr="001D0341">
        <w:rPr>
          <w:color w:val="000000" w:themeColor="text1"/>
          <w:lang w:val="pt-BR"/>
        </w:rPr>
        <w:t xml:space="preserve">, </w:t>
      </w:r>
      <w:r w:rsidR="393F8FC5" w:rsidRPr="001D0341">
        <w:rPr>
          <w:color w:val="000000" w:themeColor="text1"/>
          <w:lang w:val="pt-BR"/>
        </w:rPr>
        <w:t xml:space="preserve">para. </w:t>
      </w:r>
      <w:r w:rsidR="393F8FC5" w:rsidRPr="001D0341">
        <w:rPr>
          <w:color w:val="000000" w:themeColor="text1"/>
          <w:lang w:val="pt-BR"/>
        </w:rPr>
        <w:t xml:space="preserve">34 and </w:t>
      </w:r>
      <w:r w:rsidR="00126C08">
        <w:fldChar w:fldCharType="begin"/>
      </w:r>
      <w:r w:rsidR="00126C08">
        <w:instrText xml:space="preserve"> HYPERLINK "https://daccess-ods.un.org/access.nsf/Get?OpenAgent&amp;DS=A/77/178&amp;Lang=E" </w:instrText>
      </w:r>
      <w:r w:rsidR="00126C08">
        <w:fldChar w:fldCharType="separate"/>
      </w:r>
      <w:r w:rsidR="393F8FC5" w:rsidRPr="005C2B01">
        <w:rPr>
          <w:rStyle w:val="Hyperlink"/>
          <w:lang w:val="en-US"/>
        </w:rPr>
        <w:t>A/77/178</w:t>
      </w:r>
      <w:r w:rsidR="00126C08">
        <w:rPr>
          <w:rStyle w:val="Hyperlink"/>
          <w:lang w:val="en-US"/>
        </w:rPr>
        <w:fldChar w:fldCharType="end"/>
      </w:r>
      <w:r w:rsidR="393F8FC5" w:rsidRPr="001D0341">
        <w:rPr>
          <w:color w:val="000000" w:themeColor="text1"/>
          <w:lang w:val="pt-BR"/>
        </w:rPr>
        <w:t xml:space="preserve">, para. </w:t>
      </w:r>
      <w:r w:rsidR="393F8FC5" w:rsidRPr="0011381B">
        <w:rPr>
          <w:color w:val="000000" w:themeColor="text1"/>
          <w:lang w:val="en-US"/>
        </w:rPr>
        <w:t>46.</w:t>
      </w:r>
    </w:p>
  </w:footnote>
  <w:footnote w:id="19">
    <w:p w14:paraId="161A74B4" w14:textId="4E206024" w:rsidR="00C83127" w:rsidRDefault="00F36E8F" w:rsidP="00F36E8F">
      <w:pPr>
        <w:pStyle w:val="FootnoteText"/>
      </w:pPr>
      <w:r>
        <w:tab/>
      </w:r>
      <w:r w:rsidR="00C83127">
        <w:rPr>
          <w:rStyle w:val="FootnoteReference"/>
        </w:rPr>
        <w:footnoteRef/>
      </w:r>
      <w:r>
        <w:tab/>
      </w:r>
      <w:r w:rsidR="00C83127">
        <w:t>A/HRC/RES/20/8, para 1.</w:t>
      </w:r>
    </w:p>
  </w:footnote>
  <w:footnote w:id="20">
    <w:p w14:paraId="0994BC7A" w14:textId="134E3D38" w:rsidR="00147D63" w:rsidRPr="001C531E" w:rsidRDefault="006E5C08" w:rsidP="006E5C08">
      <w:pPr>
        <w:pStyle w:val="FootnoteText"/>
        <w:ind w:left="0" w:firstLine="0"/>
        <w:rPr>
          <w:lang w:val="en-US"/>
        </w:rPr>
      </w:pPr>
      <w:r>
        <w:tab/>
      </w:r>
      <w:r w:rsidR="00147D63">
        <w:rPr>
          <w:rStyle w:val="FootnoteReference"/>
        </w:rPr>
        <w:footnoteRef/>
      </w:r>
      <w:r>
        <w:tab/>
      </w:r>
      <w:hyperlink r:id="rId12" w:history="1">
        <w:r w:rsidR="005B2640" w:rsidRPr="00C56A9D">
          <w:rPr>
            <w:rStyle w:val="Hyperlink"/>
            <w:lang w:val="en-US"/>
          </w:rPr>
          <w:t>United Nations Strategy and Plan of Action on Hate Speech, 2019</w:t>
        </w:r>
      </w:hyperlink>
    </w:p>
  </w:footnote>
  <w:footnote w:id="21">
    <w:p w14:paraId="74E621E4" w14:textId="5DDDC108" w:rsidR="003F4F55" w:rsidRPr="001C531E" w:rsidRDefault="00F36E8F" w:rsidP="00F36E8F">
      <w:pPr>
        <w:pStyle w:val="FootnoteText"/>
        <w:rPr>
          <w:lang w:val="en-US"/>
        </w:rPr>
      </w:pPr>
      <w:r>
        <w:tab/>
      </w:r>
      <w:r w:rsidR="003F4F55">
        <w:rPr>
          <w:rStyle w:val="FootnoteReference"/>
        </w:rPr>
        <w:footnoteRef/>
      </w:r>
      <w:r>
        <w:tab/>
      </w:r>
      <w:r w:rsidR="003F4F55">
        <w:t xml:space="preserve"> </w:t>
      </w:r>
      <w:hyperlink r:id="rId13" w:history="1">
        <w:r w:rsidR="003F4F55" w:rsidRPr="00147D63">
          <w:rPr>
            <w:rStyle w:val="Hyperlink"/>
          </w:rPr>
          <w:t>Combating Holocaust and Genocide Denial Protecting Survivors, Preserving Memory, and Promoting Prevention</w:t>
        </w:r>
      </w:hyperlink>
      <w:r w:rsidR="003F4F55">
        <w:t xml:space="preserve"> (OSAPG, 2022)</w:t>
      </w:r>
    </w:p>
  </w:footnote>
  <w:footnote w:id="22">
    <w:p w14:paraId="6C15AC11" w14:textId="417D82DD" w:rsidR="003F4F55" w:rsidRDefault="00F36E8F" w:rsidP="00F36E8F">
      <w:pPr>
        <w:pStyle w:val="FootnoteText"/>
      </w:pPr>
      <w:r>
        <w:tab/>
      </w:r>
      <w:r w:rsidR="003F4F55">
        <w:rPr>
          <w:rStyle w:val="FootnoteReference"/>
        </w:rPr>
        <w:footnoteRef/>
      </w:r>
      <w:r>
        <w:tab/>
      </w:r>
      <w:r w:rsidR="003F4F55">
        <w:t xml:space="preserve"> </w:t>
      </w:r>
      <w:hyperlink r:id="rId14" w:history="1">
        <w:r w:rsidR="00A552D9" w:rsidRPr="00A552D9">
          <w:rPr>
            <w:rStyle w:val="Hyperlink"/>
          </w:rPr>
          <w:t>The Role of Sports in Countering Hate Speech: Compilation of statements as delivered at the United Nations event marking 9 December 2022: the International Day of Commemoration and Dignity of the Victims of Genocide and the Prevention of this Crime</w:t>
        </w:r>
      </w:hyperlink>
      <w:r w:rsidR="00E86A25">
        <w:t>, April 2023</w:t>
      </w:r>
    </w:p>
  </w:footnote>
  <w:footnote w:id="23">
    <w:p w14:paraId="3BAF1047" w14:textId="780D3F53" w:rsidR="003F4F55" w:rsidRPr="001C531E" w:rsidRDefault="00F36E8F" w:rsidP="00F36E8F">
      <w:pPr>
        <w:pStyle w:val="FootnoteText"/>
        <w:rPr>
          <w:lang w:val="en-US"/>
        </w:rPr>
      </w:pPr>
      <w:r>
        <w:tab/>
      </w:r>
      <w:r w:rsidR="003F4F55">
        <w:rPr>
          <w:rStyle w:val="FootnoteReference"/>
        </w:rPr>
        <w:footnoteRef/>
      </w:r>
      <w:r>
        <w:tab/>
      </w:r>
      <w:r w:rsidR="003F4F55">
        <w:t xml:space="preserve"> </w:t>
      </w:r>
      <w:hyperlink r:id="rId15" w:history="1">
        <w:r w:rsidR="003F4F55" w:rsidRPr="00147D63">
          <w:rPr>
            <w:rStyle w:val="Hyperlink"/>
          </w:rPr>
          <w:t>Addressing hate speech through education</w:t>
        </w:r>
        <w:r w:rsidR="004B7B31">
          <w:rPr>
            <w:rStyle w:val="Hyperlink"/>
          </w:rPr>
          <w:t>:</w:t>
        </w:r>
        <w:r w:rsidR="003F4F55" w:rsidRPr="00147D63">
          <w:rPr>
            <w:rStyle w:val="Hyperlink"/>
          </w:rPr>
          <w:t xml:space="preserve"> A gui</w:t>
        </w:r>
        <w:r w:rsidR="00A552D9">
          <w:rPr>
            <w:rStyle w:val="Hyperlink"/>
          </w:rPr>
          <w:t>d</w:t>
        </w:r>
        <w:r w:rsidR="003F4F55" w:rsidRPr="00147D63">
          <w:rPr>
            <w:rStyle w:val="Hyperlink"/>
          </w:rPr>
          <w:t xml:space="preserve">e for </w:t>
        </w:r>
        <w:proofErr w:type="gramStart"/>
        <w:r w:rsidR="003F4F55" w:rsidRPr="00147D63">
          <w:rPr>
            <w:rStyle w:val="Hyperlink"/>
          </w:rPr>
          <w:t>policy-makers</w:t>
        </w:r>
        <w:proofErr w:type="gramEnd"/>
        <w:r w:rsidR="003F4F55" w:rsidRPr="00147D63">
          <w:rPr>
            <w:rStyle w:val="Hyperlink"/>
          </w:rPr>
          <w:t xml:space="preserve"> (OSAPG, UNESCO 2023)</w:t>
        </w:r>
      </w:hyperlink>
    </w:p>
  </w:footnote>
  <w:footnote w:id="24">
    <w:p w14:paraId="63F7F9C9" w14:textId="5B502ED6" w:rsidR="00730146" w:rsidRPr="001C531E" w:rsidRDefault="0024066D" w:rsidP="00F36E8F">
      <w:pPr>
        <w:pStyle w:val="FootnoteText"/>
      </w:pPr>
      <w:r w:rsidRPr="001C531E">
        <w:tab/>
      </w:r>
      <w:r w:rsidR="00730146" w:rsidRPr="001C531E">
        <w:rPr>
          <w:rStyle w:val="FootnoteReference"/>
          <w:color w:val="000000" w:themeColor="text1"/>
        </w:rPr>
        <w:footnoteRef/>
      </w:r>
      <w:r w:rsidRPr="005C2B01">
        <w:tab/>
      </w:r>
      <w:r w:rsidR="00730146" w:rsidRPr="005C2B01">
        <w:t>For the purposes of the Strategy, hate speech is defined as ‘any kind of communication in speech, writing</w:t>
      </w:r>
      <w:r w:rsidRPr="005C2B01">
        <w:t xml:space="preserve"> </w:t>
      </w:r>
      <w:r w:rsidR="00730146" w:rsidRPr="005C2B01">
        <w:t xml:space="preserve">or behaviour, that attacks or uses pejorative or discriminatory language with reference to a person or a group on the basis of who they are, in other words, based on their religion, ethnicity, nationality, </w:t>
      </w:r>
      <w:r w:rsidR="00485327" w:rsidRPr="005C2B01">
        <w:t>race, colour</w:t>
      </w:r>
      <w:r w:rsidR="00730146" w:rsidRPr="005C2B01">
        <w:t xml:space="preserve">, descent, gender or other identity factor.’ </w:t>
      </w:r>
      <w:hyperlink r:id="rId16" w:history="1">
        <w:r w:rsidR="007842F4" w:rsidRPr="00C56A9D">
          <w:rPr>
            <w:rStyle w:val="Hyperlink"/>
            <w:lang w:val="en-US"/>
          </w:rPr>
          <w:t>United Nations Strategy and Plan of Action on Hate Speech, 2019</w:t>
        </w:r>
      </w:hyperlink>
      <w:r w:rsidR="007842F4">
        <w:rPr>
          <w:lang w:val="en-US"/>
        </w:rPr>
        <w:t>, p.2.</w:t>
      </w:r>
    </w:p>
  </w:footnote>
  <w:footnote w:id="25">
    <w:p w14:paraId="3B367F18" w14:textId="29957BC5" w:rsidR="00730146" w:rsidRPr="000C48A9" w:rsidRDefault="0024066D" w:rsidP="00F36E8F">
      <w:pPr>
        <w:pStyle w:val="FootnoteText"/>
        <w:rPr>
          <w:color w:val="000000" w:themeColor="text1"/>
          <w:lang w:val="es-ES"/>
        </w:rPr>
      </w:pPr>
      <w:r w:rsidRPr="001C531E">
        <w:rPr>
          <w:color w:val="000000" w:themeColor="text1"/>
        </w:rPr>
        <w:tab/>
      </w:r>
      <w:r w:rsidR="00730146" w:rsidRPr="00FA7183">
        <w:rPr>
          <w:rStyle w:val="FootnoteReference"/>
          <w:color w:val="000000" w:themeColor="text1"/>
        </w:rPr>
        <w:footnoteRef/>
      </w:r>
      <w:r w:rsidRPr="000C48A9">
        <w:rPr>
          <w:color w:val="000000" w:themeColor="text1"/>
          <w:lang w:val="es-ES"/>
        </w:rPr>
        <w:tab/>
      </w:r>
      <w:hyperlink r:id="rId17" w:history="1">
        <w:r w:rsidR="00210D06" w:rsidRPr="000C48A9">
          <w:rPr>
            <w:rStyle w:val="Hyperlink"/>
            <w:lang w:val="es-ES"/>
          </w:rPr>
          <w:t>CCPR/C/GC/34</w:t>
        </w:r>
      </w:hyperlink>
      <w:r w:rsidR="00210D06" w:rsidRPr="000C48A9">
        <w:rPr>
          <w:color w:val="000000" w:themeColor="text1"/>
          <w:lang w:val="es-ES"/>
        </w:rPr>
        <w:t>, para 11.</w:t>
      </w:r>
    </w:p>
  </w:footnote>
  <w:footnote w:id="26">
    <w:p w14:paraId="34B684DA" w14:textId="6B81FCC2" w:rsidR="00730146" w:rsidRPr="005C2B01" w:rsidRDefault="0024066D" w:rsidP="00F36E8F">
      <w:pPr>
        <w:pStyle w:val="FootnoteText"/>
        <w:rPr>
          <w:lang w:val="es-ES"/>
        </w:rPr>
      </w:pPr>
      <w:r w:rsidRPr="000C48A9">
        <w:rPr>
          <w:lang w:val="es-ES"/>
        </w:rPr>
        <w:tab/>
      </w:r>
      <w:r w:rsidR="00730146" w:rsidRPr="00FA7183">
        <w:rPr>
          <w:rStyle w:val="FootnoteReference"/>
          <w:color w:val="000000" w:themeColor="text1"/>
        </w:rPr>
        <w:footnoteRef/>
      </w:r>
      <w:r w:rsidRPr="005C2B01">
        <w:rPr>
          <w:lang w:val="es-ES"/>
        </w:rPr>
        <w:tab/>
      </w:r>
      <w:proofErr w:type="spellStart"/>
      <w:r w:rsidR="00730146" w:rsidRPr="005C2B01">
        <w:rPr>
          <w:lang w:val="es-ES"/>
        </w:rPr>
        <w:t>Ibid</w:t>
      </w:r>
      <w:proofErr w:type="spellEnd"/>
      <w:r w:rsidR="00730146" w:rsidRPr="005C2B01">
        <w:rPr>
          <w:lang w:val="es-ES"/>
        </w:rPr>
        <w:t xml:space="preserve">, </w:t>
      </w:r>
      <w:proofErr w:type="spellStart"/>
      <w:r w:rsidR="00730146" w:rsidRPr="005C2B01">
        <w:rPr>
          <w:lang w:val="es-ES"/>
        </w:rPr>
        <w:t>paragraph</w:t>
      </w:r>
      <w:proofErr w:type="spellEnd"/>
      <w:r w:rsidR="00730146" w:rsidRPr="005C2B01">
        <w:rPr>
          <w:lang w:val="es-ES"/>
        </w:rPr>
        <w:t xml:space="preserve"> 50.</w:t>
      </w:r>
    </w:p>
  </w:footnote>
  <w:footnote w:id="27">
    <w:p w14:paraId="59135D76" w14:textId="089CB66B" w:rsidR="00730146" w:rsidRPr="005C2B01" w:rsidRDefault="0024066D" w:rsidP="00F36E8F">
      <w:pPr>
        <w:pStyle w:val="FootnoteText"/>
        <w:rPr>
          <w:color w:val="000000" w:themeColor="text1"/>
        </w:rPr>
      </w:pPr>
      <w:r w:rsidRPr="005C2B01">
        <w:rPr>
          <w:color w:val="000000" w:themeColor="text1"/>
          <w:lang w:val="es-ES"/>
        </w:rPr>
        <w:tab/>
      </w:r>
      <w:r w:rsidR="00730146" w:rsidRPr="00FA7183">
        <w:rPr>
          <w:rStyle w:val="FootnoteReference"/>
          <w:color w:val="000000" w:themeColor="text1"/>
        </w:rPr>
        <w:footnoteRef/>
      </w:r>
      <w:r w:rsidRPr="00FA7183">
        <w:rPr>
          <w:color w:val="000000" w:themeColor="text1"/>
        </w:rPr>
        <w:tab/>
      </w:r>
      <w:hyperlink r:id="rId18" w:history="1">
        <w:r w:rsidR="00730146" w:rsidRPr="00FA7183">
          <w:rPr>
            <w:rStyle w:val="Hyperlink"/>
          </w:rPr>
          <w:t>A/HRC/22/17/Add.4</w:t>
        </w:r>
      </w:hyperlink>
      <w:r w:rsidR="00872D51">
        <w:rPr>
          <w:color w:val="000000" w:themeColor="text1"/>
        </w:rPr>
        <w:t>, Appendix, para</w:t>
      </w:r>
      <w:r w:rsidR="00730146" w:rsidDel="00872D51">
        <w:rPr>
          <w:color w:val="000000" w:themeColor="text1"/>
        </w:rPr>
        <w:t xml:space="preserve"> </w:t>
      </w:r>
      <w:r w:rsidR="004B1AB4">
        <w:rPr>
          <w:color w:val="000000" w:themeColor="text1"/>
        </w:rPr>
        <w:t>29.</w:t>
      </w:r>
    </w:p>
  </w:footnote>
  <w:footnote w:id="28">
    <w:p w14:paraId="56F54F88" w14:textId="5F5F5C5A" w:rsidR="00730146" w:rsidRPr="005C2B01" w:rsidRDefault="0024066D" w:rsidP="00F36E8F">
      <w:pPr>
        <w:pStyle w:val="FootnoteText"/>
        <w:rPr>
          <w:color w:val="000000" w:themeColor="text1"/>
          <w:szCs w:val="18"/>
        </w:rPr>
      </w:pPr>
      <w:r w:rsidRPr="005C2B01">
        <w:rPr>
          <w:color w:val="000000" w:themeColor="text1"/>
          <w:szCs w:val="18"/>
        </w:rPr>
        <w:tab/>
      </w:r>
      <w:r w:rsidR="00730146" w:rsidRPr="00FA7183">
        <w:rPr>
          <w:rStyle w:val="footnotemark"/>
          <w:rFonts w:ascii="Times New Roman" w:hAnsi="Times New Roman" w:cs="Times New Roman"/>
          <w:color w:val="000000" w:themeColor="text1"/>
          <w:sz w:val="18"/>
          <w:szCs w:val="18"/>
        </w:rPr>
        <w:footnoteRef/>
      </w:r>
      <w:r w:rsidRPr="00FA7183">
        <w:rPr>
          <w:color w:val="000000" w:themeColor="text1"/>
          <w:szCs w:val="18"/>
        </w:rPr>
        <w:tab/>
      </w:r>
      <w:hyperlink r:id="rId19" w:history="1">
        <w:r w:rsidR="00AD1EA2" w:rsidRPr="00BD3F1E">
          <w:rPr>
            <w:rStyle w:val="Hyperlink"/>
            <w:szCs w:val="18"/>
          </w:rPr>
          <w:t>Our Common Agenda Pol</w:t>
        </w:r>
        <w:r w:rsidR="000A55EF" w:rsidRPr="00BD3F1E">
          <w:rPr>
            <w:rStyle w:val="Hyperlink"/>
            <w:szCs w:val="18"/>
          </w:rPr>
          <w:t>i</w:t>
        </w:r>
        <w:r w:rsidR="00AD1EA2" w:rsidRPr="00BD3F1E">
          <w:rPr>
            <w:rStyle w:val="Hyperlink"/>
            <w:szCs w:val="18"/>
          </w:rPr>
          <w:t>cy Brief 8: Information Integrity on Digital Platforms;</w:t>
        </w:r>
      </w:hyperlink>
      <w:r w:rsidR="00AD1EA2">
        <w:rPr>
          <w:color w:val="000000" w:themeColor="text1"/>
          <w:szCs w:val="18"/>
        </w:rPr>
        <w:t xml:space="preserve"> </w:t>
      </w:r>
      <w:r w:rsidR="00730146" w:rsidRPr="008075C7">
        <w:rPr>
          <w:color w:val="000000" w:themeColor="text1"/>
          <w:szCs w:val="18"/>
        </w:rPr>
        <w:t>Sarah Kreps</w:t>
      </w:r>
      <w:hyperlink r:id="rId20">
        <w:r w:rsidR="00730146" w:rsidRPr="008075C7">
          <w:rPr>
            <w:color w:val="000000" w:themeColor="text1"/>
            <w:szCs w:val="18"/>
          </w:rPr>
          <w:t xml:space="preserve">, </w:t>
        </w:r>
      </w:hyperlink>
      <w:hyperlink r:id="rId21" w:history="1">
        <w:r w:rsidR="00D95C2D" w:rsidRPr="00C60BF9">
          <w:rPr>
            <w:rStyle w:val="Hyperlink"/>
            <w:szCs w:val="18"/>
          </w:rPr>
          <w:t>The Role of Technology in Online Misinformation</w:t>
        </w:r>
      </w:hyperlink>
      <w:hyperlink r:id="rId22">
        <w:r w:rsidR="00730146" w:rsidRPr="008075C7">
          <w:rPr>
            <w:color w:val="000000" w:themeColor="text1"/>
            <w:szCs w:val="18"/>
          </w:rPr>
          <w:t xml:space="preserve">, </w:t>
        </w:r>
      </w:hyperlink>
      <w:r w:rsidR="00D95C2D" w:rsidRPr="008075C7">
        <w:rPr>
          <w:color w:val="000000" w:themeColor="text1"/>
          <w:szCs w:val="18"/>
        </w:rPr>
        <w:t>Brookings Institution, June 2020.</w:t>
      </w:r>
      <w:r w:rsidR="00D95C2D" w:rsidRPr="008075C7">
        <w:rPr>
          <w:color w:val="000000" w:themeColor="text1"/>
          <w:szCs w:val="18"/>
          <w:u w:color="000000"/>
        </w:rPr>
        <w:t xml:space="preserve"> </w:t>
      </w:r>
      <w:r w:rsidR="00730146" w:rsidRPr="005C2B01">
        <w:rPr>
          <w:color w:val="000000" w:themeColor="text1"/>
          <w:szCs w:val="18"/>
          <w:u w:color="000000"/>
        </w:rPr>
        <w:t xml:space="preserve"> </w:t>
      </w:r>
    </w:p>
  </w:footnote>
  <w:footnote w:id="29">
    <w:p w14:paraId="1BF9022E" w14:textId="04ABEEC5" w:rsidR="00730146" w:rsidRPr="00FA7183" w:rsidRDefault="0024066D" w:rsidP="00F36E8F">
      <w:pPr>
        <w:pStyle w:val="FootnoteText"/>
        <w:rPr>
          <w:color w:val="000000" w:themeColor="text1"/>
          <w:szCs w:val="18"/>
          <w:lang w:val="pt-BR"/>
        </w:rPr>
      </w:pPr>
      <w:r w:rsidRPr="005C2B01">
        <w:rPr>
          <w:color w:val="000000" w:themeColor="text1"/>
          <w:szCs w:val="18"/>
          <w:lang w:val="pt-BR"/>
        </w:rPr>
        <w:tab/>
      </w:r>
      <w:r w:rsidR="00730146" w:rsidRPr="00FA7183">
        <w:rPr>
          <w:rStyle w:val="FootnoteReference"/>
          <w:color w:val="000000" w:themeColor="text1"/>
          <w:szCs w:val="18"/>
        </w:rPr>
        <w:footnoteRef/>
      </w:r>
      <w:r w:rsidRPr="00FA7183">
        <w:rPr>
          <w:color w:val="000000" w:themeColor="text1"/>
          <w:szCs w:val="18"/>
          <w:lang w:val="pt-BR"/>
        </w:rPr>
        <w:tab/>
      </w:r>
      <w:hyperlink r:id="rId23" w:history="1">
        <w:r w:rsidR="0055322C" w:rsidRPr="00FA7183">
          <w:rPr>
            <w:rStyle w:val="Hyperlink"/>
            <w:lang w:val="es-ES"/>
          </w:rPr>
          <w:t>A/HRC/39/64</w:t>
        </w:r>
      </w:hyperlink>
      <w:r w:rsidR="00730146" w:rsidRPr="00FA7183">
        <w:rPr>
          <w:color w:val="000000" w:themeColor="text1"/>
          <w:szCs w:val="18"/>
          <w:lang w:val="pt-BR"/>
        </w:rPr>
        <w:t>, para 73.</w:t>
      </w:r>
    </w:p>
  </w:footnote>
  <w:footnote w:id="30">
    <w:p w14:paraId="0E8BE30F" w14:textId="457E4D7D" w:rsidR="006E4D99" w:rsidRPr="00FA7183" w:rsidRDefault="00F36E8F" w:rsidP="00F36E8F">
      <w:pPr>
        <w:pStyle w:val="FootnoteText"/>
        <w:rPr>
          <w:color w:val="000000" w:themeColor="text1"/>
          <w:lang w:val="pt-BR"/>
        </w:rPr>
      </w:pPr>
      <w:r>
        <w:rPr>
          <w:color w:val="000000" w:themeColor="text1"/>
          <w:lang w:val="pt-BR"/>
        </w:rPr>
        <w:tab/>
      </w:r>
      <w:r w:rsidR="006E4D99" w:rsidRPr="00FA7183">
        <w:rPr>
          <w:rStyle w:val="FootnoteReference"/>
          <w:color w:val="000000" w:themeColor="text1"/>
        </w:rPr>
        <w:footnoteRef/>
      </w:r>
      <w:r>
        <w:rPr>
          <w:color w:val="000000" w:themeColor="text1"/>
          <w:lang w:val="pt-BR"/>
        </w:rPr>
        <w:tab/>
      </w:r>
      <w:r w:rsidR="006E4D99" w:rsidRPr="00FA7183">
        <w:rPr>
          <w:color w:val="000000" w:themeColor="text1"/>
          <w:lang w:val="pt-BR"/>
        </w:rPr>
        <w:t xml:space="preserve"> </w:t>
      </w:r>
      <w:hyperlink r:id="rId24" w:history="1">
        <w:r w:rsidR="006E4D99" w:rsidRPr="00FA7183">
          <w:rPr>
            <w:rStyle w:val="Hyperlink"/>
            <w:lang w:val="es-ES"/>
          </w:rPr>
          <w:t>A/77/287</w:t>
        </w:r>
      </w:hyperlink>
      <w:r w:rsidR="00987EE3">
        <w:rPr>
          <w:color w:val="000000" w:themeColor="text1"/>
          <w:lang w:val="pt-BR"/>
        </w:rPr>
        <w:t>,</w:t>
      </w:r>
      <w:r w:rsidR="006E4D99" w:rsidRPr="00FA7183">
        <w:rPr>
          <w:color w:val="000000" w:themeColor="text1"/>
          <w:lang w:val="pt-BR"/>
        </w:rPr>
        <w:t xml:space="preserve"> para 2.</w:t>
      </w:r>
    </w:p>
  </w:footnote>
  <w:footnote w:id="31">
    <w:p w14:paraId="25572642" w14:textId="65C3C26F" w:rsidR="00730146" w:rsidRPr="00FA7183" w:rsidRDefault="00DC74BA" w:rsidP="00F36E8F">
      <w:pPr>
        <w:pStyle w:val="FootnoteText"/>
        <w:rPr>
          <w:color w:val="000000" w:themeColor="text1"/>
        </w:rPr>
      </w:pPr>
      <w:r w:rsidRPr="00FA7183">
        <w:rPr>
          <w:color w:val="000000" w:themeColor="text1"/>
          <w:lang w:val="pt-BR"/>
        </w:rPr>
        <w:tab/>
      </w:r>
      <w:r w:rsidR="00730146" w:rsidRPr="00FA7183">
        <w:rPr>
          <w:rStyle w:val="FootnoteReference"/>
          <w:color w:val="000000" w:themeColor="text1"/>
        </w:rPr>
        <w:footnoteRef/>
      </w:r>
      <w:r w:rsidRPr="00FA7183">
        <w:rPr>
          <w:color w:val="000000" w:themeColor="text1"/>
          <w:lang w:val="pt-BR"/>
        </w:rPr>
        <w:tab/>
      </w:r>
      <w:hyperlink r:id="rId25" w:history="1">
        <w:r w:rsidR="00730146" w:rsidRPr="00FA7183">
          <w:rPr>
            <w:rStyle w:val="Hyperlink"/>
          </w:rPr>
          <w:t>A/77/287</w:t>
        </w:r>
      </w:hyperlink>
      <w:r w:rsidR="001834DB">
        <w:rPr>
          <w:color w:val="000000" w:themeColor="text1"/>
          <w:lang w:val="pt-BR"/>
        </w:rPr>
        <w:t>,</w:t>
      </w:r>
      <w:r w:rsidR="00730146" w:rsidRPr="00FA7183">
        <w:rPr>
          <w:color w:val="000000" w:themeColor="text1"/>
          <w:lang w:val="pt-BR"/>
        </w:rPr>
        <w:t xml:space="preserve"> para. </w:t>
      </w:r>
      <w:r w:rsidR="00730146" w:rsidRPr="00FA7183">
        <w:rPr>
          <w:color w:val="000000" w:themeColor="text1"/>
        </w:rPr>
        <w:t>41.</w:t>
      </w:r>
    </w:p>
  </w:footnote>
  <w:footnote w:id="32">
    <w:p w14:paraId="0D71E234" w14:textId="139D45D7" w:rsidR="00A429B8" w:rsidRPr="005C2B01" w:rsidRDefault="006E5C08" w:rsidP="006E5C08">
      <w:pPr>
        <w:pStyle w:val="FootnoteText"/>
        <w:rPr>
          <w:lang w:val="en-US"/>
        </w:rPr>
      </w:pPr>
      <w:r>
        <w:tab/>
      </w:r>
      <w:r w:rsidR="00A429B8" w:rsidRPr="00761CFA">
        <w:rPr>
          <w:rStyle w:val="FootnoteReference"/>
        </w:rPr>
        <w:footnoteRef/>
      </w:r>
      <w:r>
        <w:tab/>
      </w:r>
      <w:hyperlink r:id="rId26" w:history="1">
        <w:r w:rsidR="004D0B5A" w:rsidRPr="005C2B01">
          <w:rPr>
            <w:rStyle w:val="Hyperlink"/>
            <w:szCs w:val="18"/>
          </w:rPr>
          <w:t>Our Common Agenda Pol</w:t>
        </w:r>
        <w:r w:rsidR="001478B6" w:rsidRPr="005C2B01">
          <w:rPr>
            <w:rStyle w:val="Hyperlink"/>
            <w:szCs w:val="18"/>
          </w:rPr>
          <w:t>i</w:t>
        </w:r>
        <w:r w:rsidR="004D0B5A" w:rsidRPr="005C2B01">
          <w:rPr>
            <w:rStyle w:val="Hyperlink"/>
            <w:szCs w:val="18"/>
          </w:rPr>
          <w:t>cy Brief 8: Information Integrity on Digital Platforms</w:t>
        </w:r>
      </w:hyperlink>
      <w:r w:rsidR="00850393">
        <w:rPr>
          <w:color w:val="000000" w:themeColor="text1"/>
          <w:szCs w:val="18"/>
        </w:rPr>
        <w:t>.</w:t>
      </w:r>
    </w:p>
  </w:footnote>
  <w:footnote w:id="33">
    <w:p w14:paraId="1B6370C5" w14:textId="54932F2F" w:rsidR="00730146" w:rsidRPr="001756EF" w:rsidRDefault="00DC74BA" w:rsidP="00F36E8F">
      <w:pPr>
        <w:pStyle w:val="FootnoteText"/>
        <w:rPr>
          <w:color w:val="000000" w:themeColor="text1"/>
          <w:lang w:val="it-IT"/>
        </w:rPr>
      </w:pPr>
      <w:r w:rsidRPr="00FA7183">
        <w:rPr>
          <w:color w:val="000000" w:themeColor="text1"/>
        </w:rPr>
        <w:tab/>
      </w:r>
      <w:r w:rsidR="00730146" w:rsidRPr="001756EF">
        <w:rPr>
          <w:rStyle w:val="FootnoteReference"/>
          <w:color w:val="000000" w:themeColor="text1"/>
        </w:rPr>
        <w:footnoteRef/>
      </w:r>
      <w:r w:rsidRPr="005C2B01">
        <w:rPr>
          <w:color w:val="000000" w:themeColor="text1"/>
        </w:rPr>
        <w:tab/>
      </w:r>
      <w:hyperlink r:id="rId27" w:history="1">
        <w:r w:rsidR="00D726F4" w:rsidRPr="005C2B01">
          <w:rPr>
            <w:rStyle w:val="Hyperlink"/>
          </w:rPr>
          <w:t>A/HRC/44/57</w:t>
        </w:r>
      </w:hyperlink>
      <w:r w:rsidR="00D726F4" w:rsidRPr="005C2B01">
        <w:rPr>
          <w:color w:val="000000" w:themeColor="text1"/>
        </w:rPr>
        <w:t xml:space="preserve">; </w:t>
      </w:r>
      <w:hyperlink r:id="rId28" w:history="1">
        <w:r w:rsidR="00D726F4" w:rsidRPr="005C2B01">
          <w:rPr>
            <w:rStyle w:val="Hyperlink"/>
          </w:rPr>
          <w:t>CERD/C/GC/36</w:t>
        </w:r>
      </w:hyperlink>
      <w:r w:rsidR="00D726F4" w:rsidRPr="00BD3F1E">
        <w:rPr>
          <w:color w:val="000000" w:themeColor="text1"/>
        </w:rPr>
        <w:t>;</w:t>
      </w:r>
      <w:r w:rsidR="00D726F4">
        <w:rPr>
          <w:color w:val="000000" w:themeColor="text1"/>
        </w:rPr>
        <w:t xml:space="preserve"> </w:t>
      </w:r>
      <w:r w:rsidR="00730146" w:rsidRPr="005C2B01">
        <w:rPr>
          <w:color w:val="000000" w:themeColor="text1"/>
        </w:rPr>
        <w:t>Sarah West, Meredith Whittaker and Kate Crawford, “</w:t>
      </w:r>
      <w:hyperlink r:id="rId29" w:history="1">
        <w:r w:rsidR="00730146" w:rsidRPr="001756EF">
          <w:rPr>
            <w:rStyle w:val="Hyperlink"/>
          </w:rPr>
          <w:t>Discriminating systems: gender, race and</w:t>
        </w:r>
        <w:r w:rsidR="007347CC">
          <w:rPr>
            <w:rStyle w:val="Hyperlink"/>
          </w:rPr>
          <w:t xml:space="preserve"> </w:t>
        </w:r>
        <w:r w:rsidR="00730146" w:rsidRPr="001756EF">
          <w:rPr>
            <w:rStyle w:val="Hyperlink"/>
            <w:lang w:val="it-IT"/>
          </w:rPr>
          <w:t>power in AI</w:t>
        </w:r>
      </w:hyperlink>
      <w:r w:rsidR="00730146" w:rsidRPr="001756EF">
        <w:rPr>
          <w:color w:val="000000" w:themeColor="text1"/>
          <w:lang w:val="it-IT"/>
        </w:rPr>
        <w:t>” (AI Now Institute, 2019).</w:t>
      </w:r>
    </w:p>
  </w:footnote>
  <w:footnote w:id="34">
    <w:p w14:paraId="50E9F149" w14:textId="74077C98" w:rsidR="00730146" w:rsidRPr="005C2B01" w:rsidRDefault="00DC74BA" w:rsidP="00F36E8F">
      <w:pPr>
        <w:pStyle w:val="FootnoteText"/>
        <w:rPr>
          <w:color w:val="000000" w:themeColor="text1"/>
          <w:lang w:val="pt-BR"/>
        </w:rPr>
      </w:pPr>
      <w:r w:rsidRPr="001756EF">
        <w:rPr>
          <w:color w:val="000000" w:themeColor="text1"/>
          <w:lang w:val="pt-BR"/>
        </w:rPr>
        <w:tab/>
      </w:r>
      <w:r w:rsidR="00730146" w:rsidRPr="001756EF">
        <w:rPr>
          <w:rStyle w:val="FootnoteReference"/>
          <w:color w:val="000000" w:themeColor="text1"/>
        </w:rPr>
        <w:footnoteRef/>
      </w:r>
      <w:r w:rsidRPr="001756EF">
        <w:rPr>
          <w:color w:val="000000" w:themeColor="text1"/>
          <w:lang w:val="pt-BR"/>
        </w:rPr>
        <w:tab/>
      </w:r>
      <w:hyperlink r:id="rId30" w:history="1">
        <w:r w:rsidR="00730146" w:rsidRPr="001756EF">
          <w:rPr>
            <w:rStyle w:val="Hyperlink"/>
            <w:lang w:val="it-IT"/>
          </w:rPr>
          <w:t>A/74/493</w:t>
        </w:r>
      </w:hyperlink>
      <w:r w:rsidR="00730146" w:rsidRPr="001756EF">
        <w:rPr>
          <w:color w:val="000000" w:themeColor="text1"/>
          <w:lang w:val="pt-BR"/>
        </w:rPr>
        <w:t>, para. 77</w:t>
      </w:r>
      <w:r w:rsidR="00F42DC5">
        <w:rPr>
          <w:color w:val="000000" w:themeColor="text1"/>
          <w:lang w:val="pt-BR"/>
        </w:rPr>
        <w:t xml:space="preserve"> and</w:t>
      </w:r>
      <w:r w:rsidR="00730146" w:rsidRPr="005C2B01">
        <w:rPr>
          <w:color w:val="000000" w:themeColor="text1"/>
          <w:lang w:val="pt-BR"/>
        </w:rPr>
        <w:t xml:space="preserve"> </w:t>
      </w:r>
      <w:hyperlink r:id="rId31" w:history="1">
        <w:r w:rsidR="00730146" w:rsidRPr="001756EF">
          <w:rPr>
            <w:rStyle w:val="Hyperlink"/>
            <w:lang w:val="es-ES"/>
          </w:rPr>
          <w:t>A/HRC/48/31</w:t>
        </w:r>
      </w:hyperlink>
      <w:r w:rsidR="00F42DC5">
        <w:rPr>
          <w:color w:val="000000" w:themeColor="text1"/>
          <w:lang w:val="pt-BR"/>
        </w:rPr>
        <w:t>,</w:t>
      </w:r>
      <w:r w:rsidR="00730146" w:rsidRPr="005C2B01">
        <w:rPr>
          <w:color w:val="000000" w:themeColor="text1"/>
          <w:lang w:val="pt-BR"/>
        </w:rPr>
        <w:t xml:space="preserve"> para. 28.</w:t>
      </w:r>
    </w:p>
  </w:footnote>
  <w:footnote w:id="35">
    <w:p w14:paraId="6128B071" w14:textId="5A239482" w:rsidR="0030370B" w:rsidRPr="001756EF" w:rsidRDefault="00F36E8F" w:rsidP="00F36E8F">
      <w:pPr>
        <w:pStyle w:val="FootnoteText"/>
        <w:rPr>
          <w:lang w:val="en-US"/>
        </w:rPr>
      </w:pPr>
      <w:r>
        <w:rPr>
          <w:rStyle w:val="Hyperlink"/>
          <w:szCs w:val="18"/>
        </w:rPr>
        <w:tab/>
      </w:r>
      <w:r w:rsidR="0030370B">
        <w:rPr>
          <w:rStyle w:val="FootnoteReference"/>
        </w:rPr>
        <w:footnoteRef/>
      </w:r>
      <w:r>
        <w:rPr>
          <w:rStyle w:val="Hyperlink"/>
          <w:szCs w:val="18"/>
        </w:rPr>
        <w:tab/>
      </w:r>
      <w:r w:rsidR="00726C16">
        <w:rPr>
          <w:rStyle w:val="Hyperlink"/>
          <w:szCs w:val="18"/>
        </w:rPr>
        <w:t xml:space="preserve"> </w:t>
      </w:r>
      <w:hyperlink r:id="rId32" w:history="1">
        <w:r w:rsidR="00B0777E" w:rsidRPr="00BD3F1E">
          <w:rPr>
            <w:rStyle w:val="Hyperlink"/>
            <w:szCs w:val="18"/>
          </w:rPr>
          <w:t>A/HRC/44/57, para. 12</w:t>
        </w:r>
      </w:hyperlink>
      <w:r w:rsidR="00B0777E" w:rsidRPr="00BD3F1E">
        <w:rPr>
          <w:rStyle w:val="Hyperlink"/>
          <w:szCs w:val="18"/>
        </w:rPr>
        <w:t xml:space="preserve">; </w:t>
      </w:r>
      <w:hyperlink r:id="rId33" w:history="1">
        <w:r w:rsidR="00B0777E" w:rsidRPr="00BD3F1E">
          <w:rPr>
            <w:rStyle w:val="Hyperlink"/>
            <w:szCs w:val="18"/>
          </w:rPr>
          <w:t>A/73/348</w:t>
        </w:r>
      </w:hyperlink>
      <w:r w:rsidR="00B0777E" w:rsidRPr="00BD3F1E">
        <w:rPr>
          <w:rStyle w:val="Hyperlink"/>
          <w:szCs w:val="18"/>
        </w:rPr>
        <w:t xml:space="preserve">; Joy </w:t>
      </w:r>
      <w:proofErr w:type="spellStart"/>
      <w:r w:rsidR="00B0777E" w:rsidRPr="00BD3F1E">
        <w:rPr>
          <w:rStyle w:val="Hyperlink"/>
          <w:szCs w:val="18"/>
        </w:rPr>
        <w:t>Buolamwini</w:t>
      </w:r>
      <w:proofErr w:type="spellEnd"/>
      <w:r w:rsidR="00B0777E" w:rsidRPr="00BD3F1E">
        <w:rPr>
          <w:rStyle w:val="Hyperlink"/>
          <w:szCs w:val="18"/>
        </w:rPr>
        <w:t xml:space="preserve"> and </w:t>
      </w:r>
      <w:proofErr w:type="spellStart"/>
      <w:r w:rsidR="00B0777E" w:rsidRPr="00BD3F1E">
        <w:rPr>
          <w:rStyle w:val="Hyperlink"/>
          <w:szCs w:val="18"/>
        </w:rPr>
        <w:t>Timnit</w:t>
      </w:r>
      <w:proofErr w:type="spellEnd"/>
      <w:r w:rsidR="00B0777E" w:rsidRPr="00BD3F1E">
        <w:rPr>
          <w:rStyle w:val="Hyperlink"/>
          <w:szCs w:val="18"/>
        </w:rPr>
        <w:t xml:space="preserve"> </w:t>
      </w:r>
      <w:proofErr w:type="spellStart"/>
      <w:r w:rsidR="00B0777E" w:rsidRPr="00BD3F1E">
        <w:rPr>
          <w:rStyle w:val="Hyperlink"/>
          <w:szCs w:val="18"/>
        </w:rPr>
        <w:t>Gebru</w:t>
      </w:r>
      <w:proofErr w:type="spellEnd"/>
      <w:r w:rsidR="00B0777E" w:rsidRPr="00BD3F1E">
        <w:rPr>
          <w:rStyle w:val="Hyperlink"/>
          <w:szCs w:val="18"/>
        </w:rPr>
        <w:t>, “</w:t>
      </w:r>
      <w:hyperlink r:id="rId34" w:history="1">
        <w:r w:rsidR="00B0777E" w:rsidRPr="00BD3F1E">
          <w:rPr>
            <w:rStyle w:val="Hyperlink"/>
            <w:szCs w:val="18"/>
          </w:rPr>
          <w:t>Gender shades: intersectional accuracy disparities in commercial gender classification</w:t>
        </w:r>
      </w:hyperlink>
      <w:r w:rsidR="00B0777E" w:rsidRPr="00BD3F1E">
        <w:rPr>
          <w:rStyle w:val="Hyperlink"/>
          <w:szCs w:val="18"/>
        </w:rPr>
        <w:t>”, Proceedings of Machine Learning Research, vol. 81 (2018) on the proceedings of the Conference on Fairness, Accountability, and Transparency</w:t>
      </w:r>
      <w:r w:rsidR="00B0777E" w:rsidRPr="007D2575">
        <w:rPr>
          <w:rStyle w:val="Hyperlink"/>
          <w:szCs w:val="18"/>
        </w:rPr>
        <w:t>;</w:t>
      </w:r>
      <w:r w:rsidR="00B0777E" w:rsidRPr="007D2575">
        <w:rPr>
          <w:rStyle w:val="Heading8Char"/>
          <w:szCs w:val="18"/>
        </w:rPr>
        <w:t xml:space="preserve"> </w:t>
      </w:r>
      <w:hyperlink r:id="rId35" w:history="1">
        <w:r w:rsidR="00780A36" w:rsidRPr="007D2575">
          <w:rPr>
            <w:rStyle w:val="Hyperlink"/>
            <w:szCs w:val="18"/>
          </w:rPr>
          <w:t>Racial bias in facial recognition algorithms</w:t>
        </w:r>
      </w:hyperlink>
      <w:r w:rsidR="00780A36" w:rsidRPr="007D2575">
        <w:rPr>
          <w:rStyle w:val="Hyperlink"/>
          <w:szCs w:val="18"/>
        </w:rPr>
        <w:t xml:space="preserve"> (Amnesty International, </w:t>
      </w:r>
      <w:r w:rsidR="00887146" w:rsidRPr="007D2575">
        <w:rPr>
          <w:rStyle w:val="Hyperlink"/>
          <w:szCs w:val="18"/>
        </w:rPr>
        <w:t>202</w:t>
      </w:r>
      <w:r w:rsidR="00C64172" w:rsidRPr="007D2575">
        <w:rPr>
          <w:rStyle w:val="Hyperlink"/>
          <w:szCs w:val="18"/>
        </w:rPr>
        <w:t>3</w:t>
      </w:r>
      <w:r w:rsidR="00780A36" w:rsidRPr="007D2575">
        <w:rPr>
          <w:rStyle w:val="Hyperlink"/>
          <w:szCs w:val="18"/>
        </w:rPr>
        <w:t>)</w:t>
      </w:r>
      <w:r w:rsidR="00B0777E" w:rsidRPr="007D2575">
        <w:rPr>
          <w:rStyle w:val="Hyperlink"/>
          <w:szCs w:val="18"/>
        </w:rPr>
        <w:t>.</w:t>
      </w:r>
    </w:p>
  </w:footnote>
  <w:footnote w:id="36">
    <w:p w14:paraId="0700257D" w14:textId="1DE7E348" w:rsidR="00730146" w:rsidRPr="001756EF" w:rsidRDefault="00DC74BA" w:rsidP="00F36E8F">
      <w:pPr>
        <w:pStyle w:val="FootnoteText"/>
        <w:rPr>
          <w:color w:val="000000" w:themeColor="text1"/>
          <w:lang w:val="pt-BR"/>
        </w:rPr>
      </w:pPr>
      <w:r w:rsidRPr="001756EF">
        <w:rPr>
          <w:color w:val="000000" w:themeColor="text1"/>
          <w:lang w:val="pt-BR"/>
        </w:rPr>
        <w:tab/>
      </w:r>
      <w:r w:rsidR="00730146" w:rsidRPr="001756EF">
        <w:rPr>
          <w:rStyle w:val="FootnoteReference"/>
          <w:color w:val="000000" w:themeColor="text1"/>
        </w:rPr>
        <w:footnoteRef/>
      </w:r>
      <w:r w:rsidRPr="001756EF">
        <w:rPr>
          <w:color w:val="000000" w:themeColor="text1"/>
          <w:lang w:val="pt-BR"/>
        </w:rPr>
        <w:tab/>
      </w:r>
      <w:hyperlink r:id="rId36" w:history="1">
        <w:r w:rsidR="00730146" w:rsidRPr="00BD3F1E">
          <w:rPr>
            <w:rStyle w:val="Hyperlink"/>
            <w:lang w:val="es-ES"/>
          </w:rPr>
          <w:t>A/HRC/38/47</w:t>
        </w:r>
      </w:hyperlink>
      <w:r w:rsidR="00730146" w:rsidRPr="001756EF">
        <w:rPr>
          <w:color w:val="000000" w:themeColor="text1"/>
          <w:lang w:val="pt-BR"/>
        </w:rPr>
        <w:t xml:space="preserve">, para. </w:t>
      </w:r>
      <w:r w:rsidR="00730146" w:rsidRPr="001756EF">
        <w:rPr>
          <w:color w:val="000000" w:themeColor="text1"/>
          <w:lang w:val="pt-BR"/>
        </w:rPr>
        <w:t>28</w:t>
      </w:r>
    </w:p>
  </w:footnote>
  <w:footnote w:id="37">
    <w:p w14:paraId="2BAAD71F" w14:textId="62A9F604" w:rsidR="00730146" w:rsidRPr="001756EF" w:rsidRDefault="00DC74BA" w:rsidP="00F36E8F">
      <w:pPr>
        <w:pStyle w:val="FootnoteText"/>
        <w:rPr>
          <w:color w:val="000000" w:themeColor="text1"/>
          <w:lang w:val="pt-BR"/>
        </w:rPr>
      </w:pPr>
      <w:r w:rsidRPr="001756EF">
        <w:rPr>
          <w:color w:val="000000" w:themeColor="text1"/>
          <w:lang w:val="pt-BR"/>
        </w:rPr>
        <w:tab/>
      </w:r>
      <w:r w:rsidR="00730146" w:rsidRPr="001756EF">
        <w:rPr>
          <w:rStyle w:val="FootnoteReference"/>
          <w:color w:val="000000" w:themeColor="text1"/>
        </w:rPr>
        <w:footnoteRef/>
      </w:r>
      <w:r w:rsidRPr="001756EF">
        <w:rPr>
          <w:color w:val="000000" w:themeColor="text1"/>
          <w:lang w:val="pt-BR"/>
        </w:rPr>
        <w:tab/>
      </w:r>
      <w:hyperlink r:id="rId37" w:history="1">
        <w:r w:rsidR="00730146" w:rsidRPr="00BD3F1E">
          <w:rPr>
            <w:rStyle w:val="Hyperlink"/>
            <w:lang w:val="es-ES"/>
          </w:rPr>
          <w:t>A/HRC/46/57</w:t>
        </w:r>
      </w:hyperlink>
      <w:r w:rsidR="00C72EED">
        <w:rPr>
          <w:color w:val="000000" w:themeColor="text1"/>
          <w:lang w:val="pt-BR"/>
        </w:rPr>
        <w:t>, para 21</w:t>
      </w:r>
      <w:r w:rsidR="00F81304">
        <w:rPr>
          <w:color w:val="000000" w:themeColor="text1"/>
          <w:lang w:val="pt-BR"/>
        </w:rPr>
        <w:t xml:space="preserve"> and 37.</w:t>
      </w:r>
    </w:p>
  </w:footnote>
  <w:footnote w:id="38">
    <w:p w14:paraId="32B7E824" w14:textId="532936A7" w:rsidR="00653280" w:rsidRPr="001756EF" w:rsidRDefault="00F36E8F" w:rsidP="00F36E8F">
      <w:pPr>
        <w:pStyle w:val="FootnoteText"/>
        <w:rPr>
          <w:lang w:val="en-US"/>
        </w:rPr>
      </w:pPr>
      <w:r>
        <w:tab/>
      </w:r>
      <w:r w:rsidR="00653280">
        <w:rPr>
          <w:rStyle w:val="FootnoteReference"/>
        </w:rPr>
        <w:footnoteRef/>
      </w:r>
      <w:r>
        <w:tab/>
      </w:r>
      <w:r w:rsidR="00653280">
        <w:t xml:space="preserve"> See International Telecommunication Union (ITU), Measuring digital development: Facts and Figures 2022</w:t>
      </w:r>
      <w:r w:rsidR="00882B59">
        <w:t>, p.3</w:t>
      </w:r>
      <w:r w:rsidR="00653280">
        <w:t xml:space="preserve"> (Geneva, 2022).</w:t>
      </w:r>
    </w:p>
  </w:footnote>
  <w:footnote w:id="39">
    <w:p w14:paraId="597787E5" w14:textId="6E82CB94" w:rsidR="00730146" w:rsidRPr="001756EF" w:rsidRDefault="00DC74BA" w:rsidP="00F36E8F">
      <w:pPr>
        <w:pStyle w:val="FootnoteText"/>
        <w:rPr>
          <w:color w:val="000000" w:themeColor="text1"/>
          <w:lang w:val="en-US"/>
        </w:rPr>
      </w:pPr>
      <w:r w:rsidRPr="001756EF">
        <w:rPr>
          <w:color w:val="000000" w:themeColor="text1"/>
          <w:lang w:val="en-US"/>
        </w:rPr>
        <w:tab/>
      </w:r>
      <w:r w:rsidR="00730146" w:rsidRPr="001756EF">
        <w:rPr>
          <w:rStyle w:val="FootnoteReference"/>
          <w:color w:val="000000" w:themeColor="text1"/>
        </w:rPr>
        <w:footnoteRef/>
      </w:r>
      <w:r w:rsidRPr="001756EF">
        <w:rPr>
          <w:color w:val="000000" w:themeColor="text1"/>
          <w:lang w:val="en-US"/>
        </w:rPr>
        <w:tab/>
      </w:r>
      <w:hyperlink r:id="rId38" w:history="1">
        <w:r w:rsidR="00730146" w:rsidRPr="001756EF">
          <w:rPr>
            <w:rStyle w:val="Hyperlink"/>
          </w:rPr>
          <w:t>A/HRC/39/64</w:t>
        </w:r>
      </w:hyperlink>
      <w:r w:rsidR="00C72EED" w:rsidRPr="001756EF">
        <w:rPr>
          <w:color w:val="000000" w:themeColor="text1"/>
          <w:lang w:val="en-US"/>
        </w:rPr>
        <w:t>,</w:t>
      </w:r>
      <w:r w:rsidR="00730146" w:rsidRPr="001756EF">
        <w:rPr>
          <w:color w:val="000000" w:themeColor="text1"/>
          <w:lang w:val="en-US"/>
        </w:rPr>
        <w:t xml:space="preserve"> para 42</w:t>
      </w:r>
      <w:r w:rsidR="00203361">
        <w:rPr>
          <w:color w:val="000000" w:themeColor="text1"/>
          <w:lang w:val="en-US"/>
        </w:rPr>
        <w:t>.</w:t>
      </w:r>
    </w:p>
  </w:footnote>
  <w:footnote w:id="40">
    <w:p w14:paraId="59A54B4F" w14:textId="6B0277C1" w:rsidR="00730146" w:rsidRPr="001756EF" w:rsidRDefault="00DC74BA" w:rsidP="00F36E8F">
      <w:pPr>
        <w:pStyle w:val="FootnoteText"/>
        <w:rPr>
          <w:color w:val="000000" w:themeColor="text1"/>
          <w:lang w:val="en-US"/>
        </w:rPr>
      </w:pPr>
      <w:r w:rsidRPr="001756EF">
        <w:rPr>
          <w:color w:val="000000" w:themeColor="text1"/>
          <w:lang w:val="en-US"/>
        </w:rPr>
        <w:tab/>
      </w:r>
      <w:r w:rsidR="00730146" w:rsidRPr="001756EF">
        <w:rPr>
          <w:rStyle w:val="FootnoteReference"/>
          <w:color w:val="000000" w:themeColor="text1"/>
        </w:rPr>
        <w:footnoteRef/>
      </w:r>
      <w:r w:rsidRPr="001756EF">
        <w:rPr>
          <w:color w:val="000000" w:themeColor="text1"/>
          <w:lang w:val="en-US"/>
        </w:rPr>
        <w:tab/>
      </w:r>
      <w:hyperlink r:id="rId39" w:history="1">
        <w:r w:rsidR="00730146" w:rsidRPr="001756EF">
          <w:rPr>
            <w:rStyle w:val="Hyperlink"/>
          </w:rPr>
          <w:t xml:space="preserve">Berkeley Protocol on Digital </w:t>
        </w:r>
        <w:proofErr w:type="gramStart"/>
        <w:r w:rsidR="00730146" w:rsidRPr="001756EF">
          <w:rPr>
            <w:rStyle w:val="Hyperlink"/>
          </w:rPr>
          <w:t>Open Source</w:t>
        </w:r>
        <w:proofErr w:type="gramEnd"/>
        <w:r w:rsidR="00730146" w:rsidRPr="001756EF">
          <w:rPr>
            <w:rStyle w:val="Hyperlink"/>
          </w:rPr>
          <w:t xml:space="preserve"> Investigations: A Practical Guide on the Effective Use of Digital Open Source and Information in Investigating Violations of International Criminal, Human Rights and Humanitarian Law</w:t>
        </w:r>
      </w:hyperlink>
      <w:r w:rsidR="00730146" w:rsidRPr="001756EF">
        <w:rPr>
          <w:color w:val="000000" w:themeColor="text1"/>
        </w:rPr>
        <w:t xml:space="preserve">, Published jointly by OHCHR with the Human Rights </w:t>
      </w:r>
      <w:proofErr w:type="spellStart"/>
      <w:r w:rsidR="00730146" w:rsidRPr="001756EF">
        <w:rPr>
          <w:color w:val="000000" w:themeColor="text1"/>
        </w:rPr>
        <w:t>Center</w:t>
      </w:r>
      <w:proofErr w:type="spellEnd"/>
      <w:r w:rsidR="00730146" w:rsidRPr="001756EF">
        <w:rPr>
          <w:color w:val="000000" w:themeColor="text1"/>
        </w:rPr>
        <w:t xml:space="preserve"> at the University of California, Berkeley, School of Law, January 2022</w:t>
      </w:r>
      <w:r w:rsidR="00203361">
        <w:rPr>
          <w:color w:val="000000" w:themeColor="text1"/>
        </w:rPr>
        <w:t>.</w:t>
      </w:r>
    </w:p>
  </w:footnote>
  <w:footnote w:id="41">
    <w:p w14:paraId="3546FDDA" w14:textId="4358CAED" w:rsidR="00730146" w:rsidRPr="007E71C6" w:rsidRDefault="00DC74BA" w:rsidP="00F36E8F">
      <w:pPr>
        <w:pStyle w:val="FootnoteText"/>
        <w:rPr>
          <w:color w:val="000000" w:themeColor="text1"/>
        </w:rPr>
      </w:pPr>
      <w:r w:rsidRPr="001756EF">
        <w:rPr>
          <w:color w:val="000000" w:themeColor="text1"/>
          <w:lang w:val="en-US"/>
        </w:rPr>
        <w:tab/>
      </w:r>
      <w:r w:rsidR="00730146" w:rsidRPr="007E71C6">
        <w:rPr>
          <w:rStyle w:val="FootnoteReference"/>
          <w:color w:val="000000" w:themeColor="text1"/>
        </w:rPr>
        <w:footnoteRef/>
      </w:r>
      <w:r w:rsidRPr="007E71C6">
        <w:rPr>
          <w:color w:val="000000" w:themeColor="text1"/>
          <w:lang w:val="en-US"/>
        </w:rPr>
        <w:tab/>
      </w:r>
      <w:r w:rsidR="00730146" w:rsidRPr="007E71C6">
        <w:rPr>
          <w:color w:val="000000" w:themeColor="text1"/>
        </w:rPr>
        <w:t>Report of the UN Secretary-General’s High-level Panel on Digital Cooperation: “</w:t>
      </w:r>
      <w:hyperlink r:id="rId40" w:history="1">
        <w:r w:rsidR="00730146" w:rsidRPr="007E71C6">
          <w:rPr>
            <w:rStyle w:val="Hyperlink"/>
          </w:rPr>
          <w:t>The Age of digital interdependence</w:t>
        </w:r>
      </w:hyperlink>
      <w:r w:rsidR="00730146" w:rsidRPr="007E71C6">
        <w:rPr>
          <w:color w:val="000000" w:themeColor="text1"/>
        </w:rPr>
        <w:t>” June 2019</w:t>
      </w:r>
      <w:r w:rsidR="00203361">
        <w:rPr>
          <w:color w:val="000000" w:themeColor="text1"/>
        </w:rPr>
        <w:t>.</w:t>
      </w:r>
    </w:p>
  </w:footnote>
  <w:footnote w:id="42">
    <w:p w14:paraId="6126C720" w14:textId="01289C2A" w:rsidR="00B742C1" w:rsidRPr="007E71C6" w:rsidRDefault="00F36E8F" w:rsidP="00F36E8F">
      <w:pPr>
        <w:pStyle w:val="FootnoteText"/>
        <w:rPr>
          <w:lang w:val="en-US"/>
        </w:rPr>
      </w:pPr>
      <w:r>
        <w:tab/>
      </w:r>
      <w:r w:rsidR="00B742C1">
        <w:rPr>
          <w:rStyle w:val="FootnoteReference"/>
        </w:rPr>
        <w:footnoteRef/>
      </w:r>
      <w:r>
        <w:tab/>
      </w:r>
      <w:r w:rsidR="00B742C1">
        <w:t xml:space="preserve"> </w:t>
      </w:r>
      <w:hyperlink r:id="rId41" w:history="1">
        <w:r w:rsidR="00DF3189" w:rsidRPr="00685702">
          <w:rPr>
            <w:rStyle w:val="Hyperlink"/>
            <w:lang w:eastAsia="en-GB"/>
          </w:rPr>
          <w:t>A/74/821</w:t>
        </w:r>
      </w:hyperlink>
      <w:r w:rsidR="00203361">
        <w:rPr>
          <w:lang w:eastAsia="en-GB"/>
        </w:rPr>
        <w:t>.</w:t>
      </w:r>
      <w:r w:rsidR="00DF3189" w:rsidRPr="00DF3189">
        <w:rPr>
          <w:lang w:val="en-US"/>
        </w:rPr>
        <w:t xml:space="preserve"> </w:t>
      </w:r>
    </w:p>
  </w:footnote>
  <w:footnote w:id="43">
    <w:p w14:paraId="16398851" w14:textId="585D11E5" w:rsidR="00CD7E8E" w:rsidRPr="007E71C6" w:rsidRDefault="00F36E8F" w:rsidP="00F36E8F">
      <w:pPr>
        <w:pStyle w:val="FootnoteText"/>
        <w:rPr>
          <w:lang w:val="en-US"/>
        </w:rPr>
      </w:pPr>
      <w:r>
        <w:tab/>
      </w:r>
      <w:r w:rsidR="00CD7E8E">
        <w:rPr>
          <w:rStyle w:val="FootnoteReference"/>
        </w:rPr>
        <w:footnoteRef/>
      </w:r>
      <w:r>
        <w:tab/>
      </w:r>
      <w:r w:rsidR="00CD7E8E">
        <w:t xml:space="preserve"> </w:t>
      </w:r>
      <w:hyperlink r:id="rId42" w:history="1">
        <w:r w:rsidR="00275E8E" w:rsidRPr="00147D63">
          <w:rPr>
            <w:rStyle w:val="Hyperlink"/>
          </w:rPr>
          <w:t>Combating Holocaust and Genocide Denial Protecting Survivors, Preserving Memory, and Promoting Prevention</w:t>
        </w:r>
      </w:hyperlink>
      <w:r w:rsidR="00275E8E">
        <w:t xml:space="preserve"> (OSAPG, 2022)</w:t>
      </w:r>
      <w:r w:rsidR="00887AF8">
        <w:t>.</w:t>
      </w:r>
    </w:p>
  </w:footnote>
  <w:footnote w:id="44">
    <w:p w14:paraId="1363EECC" w14:textId="1BA8C5D5" w:rsidR="00A30880" w:rsidRPr="00A30880" w:rsidRDefault="00F36E8F" w:rsidP="00F36E8F">
      <w:pPr>
        <w:pStyle w:val="FootnoteText"/>
      </w:pPr>
      <w:r>
        <w:tab/>
      </w:r>
      <w:r w:rsidR="00A30880">
        <w:rPr>
          <w:rStyle w:val="FootnoteReference"/>
        </w:rPr>
        <w:footnoteRef/>
      </w:r>
      <w:r>
        <w:tab/>
      </w:r>
      <w:r w:rsidR="00A30880">
        <w:t xml:space="preserve"> Countering and Addressing Online Hate Speech: A Guide for policy makers and practitioners (OSAPG, 2023)</w:t>
      </w:r>
      <w:r w:rsidR="00887AF8">
        <w:t>.</w:t>
      </w:r>
    </w:p>
  </w:footnote>
  <w:footnote w:id="45">
    <w:p w14:paraId="5199F135" w14:textId="41005A1E" w:rsidR="00DA4B07" w:rsidRPr="007E71C6" w:rsidRDefault="00F36E8F" w:rsidP="00F36E8F">
      <w:pPr>
        <w:pStyle w:val="FootnoteText"/>
        <w:rPr>
          <w:lang w:val="en-US"/>
        </w:rPr>
      </w:pPr>
      <w:r>
        <w:tab/>
      </w:r>
      <w:r w:rsidR="00DA4B07">
        <w:rPr>
          <w:rStyle w:val="FootnoteReference"/>
        </w:rPr>
        <w:footnoteRef/>
      </w:r>
      <w:r>
        <w:tab/>
      </w:r>
      <w:r w:rsidR="00DA4B07">
        <w:t xml:space="preserve"> </w:t>
      </w:r>
      <w:hyperlink r:id="rId43" w:history="1">
        <w:r w:rsidR="00DA4B07" w:rsidRPr="00DA4B07">
          <w:rPr>
            <w:rStyle w:val="Hyperlink"/>
          </w:rPr>
          <w:t>The Highest Aspiration A Call to Action for Human Rights (202</w:t>
        </w:r>
        <w:r w:rsidR="00DA4B07">
          <w:rPr>
            <w:rStyle w:val="Hyperlink"/>
          </w:rPr>
          <w:t>0</w:t>
        </w:r>
        <w:r w:rsidR="00DA4B07" w:rsidRPr="00DA4B07">
          <w:rPr>
            <w:rStyle w:val="Hyperlink"/>
          </w:rPr>
          <w:t>)</w:t>
        </w:r>
      </w:hyperlink>
      <w:r w:rsidR="00887AF8">
        <w:t>.</w:t>
      </w:r>
    </w:p>
  </w:footnote>
  <w:footnote w:id="46">
    <w:p w14:paraId="1DE75119" w14:textId="3B8C3A56" w:rsidR="00477CA9" w:rsidRPr="00477CA9" w:rsidRDefault="00F36E8F" w:rsidP="00F36E8F">
      <w:pPr>
        <w:pStyle w:val="FootnoteText"/>
      </w:pPr>
      <w:r>
        <w:tab/>
      </w:r>
      <w:r w:rsidR="00477CA9">
        <w:rPr>
          <w:rStyle w:val="FootnoteReference"/>
        </w:rPr>
        <w:footnoteRef/>
      </w:r>
      <w:r>
        <w:tab/>
      </w:r>
      <w:r w:rsidR="00477CA9">
        <w:t xml:space="preserve"> </w:t>
      </w:r>
      <w:r w:rsidR="007E1B43">
        <w:t>Our Common Agenda, Report of the Secretary-General (</w:t>
      </w:r>
      <w:hyperlink r:id="rId44" w:history="1">
        <w:r w:rsidR="00831993" w:rsidRPr="00073D4C">
          <w:rPr>
            <w:rStyle w:val="Hyperlink"/>
            <w:lang w:eastAsia="en-GB"/>
          </w:rPr>
          <w:t>A/75/982</w:t>
        </w:r>
      </w:hyperlink>
      <w:r w:rsidR="007E1B43">
        <w:t>)</w:t>
      </w:r>
      <w:r w:rsidR="00887AF8">
        <w:t>.</w:t>
      </w:r>
    </w:p>
  </w:footnote>
  <w:footnote w:id="47">
    <w:p w14:paraId="0BDCAA3B" w14:textId="51EA9B3E" w:rsidR="00DB174E" w:rsidRPr="0041701E" w:rsidRDefault="00F36E8F" w:rsidP="00F36E8F">
      <w:pPr>
        <w:pStyle w:val="FootnoteText"/>
        <w:rPr>
          <w:lang w:val="en-US"/>
        </w:rPr>
      </w:pPr>
      <w:r>
        <w:tab/>
      </w:r>
      <w:r w:rsidR="00DB174E">
        <w:rPr>
          <w:rStyle w:val="FootnoteReference"/>
        </w:rPr>
        <w:footnoteRef/>
      </w:r>
      <w:r>
        <w:tab/>
      </w:r>
      <w:r w:rsidR="00DB174E">
        <w:t xml:space="preserve"> Our Common Agenda Policy Brief 5 A Global Digital Compact — an Open, Free and Secure Digital Future for All</w:t>
      </w:r>
      <w:r w:rsidR="00887AF8">
        <w:t>.</w:t>
      </w:r>
    </w:p>
  </w:footnote>
  <w:footnote w:id="48">
    <w:p w14:paraId="4EA72C88" w14:textId="6679A472" w:rsidR="00646E8E" w:rsidRPr="00BD3F1E" w:rsidRDefault="00F36E8F" w:rsidP="00F36E8F">
      <w:pPr>
        <w:pStyle w:val="FootnoteText"/>
        <w:rPr>
          <w:lang w:val="en-US"/>
        </w:rPr>
      </w:pPr>
      <w:r>
        <w:tab/>
      </w:r>
      <w:r w:rsidR="00646E8E">
        <w:rPr>
          <w:rStyle w:val="FootnoteReference"/>
        </w:rPr>
        <w:footnoteRef/>
      </w:r>
      <w:r>
        <w:tab/>
      </w:r>
      <w:r w:rsidR="00646E8E">
        <w:t xml:space="preserve"> </w:t>
      </w:r>
      <w:hyperlink r:id="rId45" w:history="1">
        <w:r w:rsidR="00646E8E" w:rsidRPr="00BD3F1E">
          <w:rPr>
            <w:rStyle w:val="Hyperlink"/>
            <w:szCs w:val="18"/>
          </w:rPr>
          <w:t>Our Common Agenda Policy Brief 8: Information Integrity on Digital Platforms</w:t>
        </w:r>
      </w:hyperlink>
      <w:r w:rsidR="00646E8E" w:rsidRPr="008C7EE8">
        <w:rPr>
          <w:color w:val="000000" w:themeColor="text1"/>
          <w:szCs w:val="18"/>
        </w:rPr>
        <w:t>.</w:t>
      </w:r>
    </w:p>
  </w:footnote>
  <w:footnote w:id="49">
    <w:p w14:paraId="1243ED5E" w14:textId="09CEDAB5" w:rsidR="001E2482" w:rsidRDefault="00F36E8F" w:rsidP="00F36E8F">
      <w:pPr>
        <w:pStyle w:val="FootnoteText"/>
      </w:pPr>
      <w:r>
        <w:tab/>
      </w:r>
      <w:r w:rsidR="001E2482">
        <w:rPr>
          <w:rStyle w:val="FootnoteReference"/>
        </w:rPr>
        <w:footnoteRef/>
      </w:r>
      <w:r>
        <w:tab/>
      </w:r>
      <w:r w:rsidR="001E2482">
        <w:t xml:space="preserve"> A/HRC/RES/20/8</w:t>
      </w:r>
      <w:r w:rsidR="00550062">
        <w:t>, para 1</w:t>
      </w:r>
      <w:r w:rsidR="001E2482">
        <w:t>.</w:t>
      </w:r>
    </w:p>
  </w:footnote>
  <w:footnote w:id="50">
    <w:p w14:paraId="5957D8C5" w14:textId="71012833" w:rsidR="00D62EEF" w:rsidRPr="00D62EEF" w:rsidRDefault="00F36E8F" w:rsidP="00F36E8F">
      <w:pPr>
        <w:pStyle w:val="FootnoteText"/>
      </w:pPr>
      <w:r>
        <w:tab/>
      </w:r>
      <w:r w:rsidR="00D62EEF">
        <w:rPr>
          <w:rStyle w:val="FootnoteReference"/>
        </w:rPr>
        <w:footnoteRef/>
      </w:r>
      <w:r>
        <w:tab/>
      </w:r>
      <w:r w:rsidR="00D62EEF">
        <w:t xml:space="preserve"> </w:t>
      </w:r>
      <w:r w:rsidR="00FC6F47">
        <w:t xml:space="preserve">A/HRC/RES/41/11; </w:t>
      </w:r>
      <w:hyperlink r:id="rId46" w:history="1">
        <w:r w:rsidR="0063367A" w:rsidRPr="00EB58D3">
          <w:rPr>
            <w:rStyle w:val="Hyperlink"/>
          </w:rPr>
          <w:t>A/HRC/47/52</w:t>
        </w:r>
      </w:hyperlink>
      <w:r w:rsidR="0063367A">
        <w:t xml:space="preserve">; </w:t>
      </w:r>
      <w:r w:rsidR="000B6E97">
        <w:t>A/HRC/RES</w:t>
      </w:r>
      <w:r w:rsidR="00914FD3">
        <w:t xml:space="preserve">/49/9; </w:t>
      </w:r>
      <w:hyperlink r:id="rId47" w:history="1">
        <w:r w:rsidR="000B6E97" w:rsidRPr="007F180F">
          <w:rPr>
            <w:rStyle w:val="Hyperlink"/>
          </w:rPr>
          <w:t>A/HRC/46/57</w:t>
        </w:r>
      </w:hyperlink>
      <w:r w:rsidR="00914FD3">
        <w:t xml:space="preserve">; </w:t>
      </w:r>
      <w:hyperlink r:id="rId48" w:history="1">
        <w:r w:rsidR="00ED114D" w:rsidRPr="00FC1FB3">
          <w:rPr>
            <w:rStyle w:val="Hyperlink"/>
          </w:rPr>
          <w:t>A/77/288</w:t>
        </w:r>
      </w:hyperlink>
      <w:r w:rsidR="00ED114D">
        <w:t>.</w:t>
      </w:r>
    </w:p>
  </w:footnote>
  <w:footnote w:id="51">
    <w:p w14:paraId="58F32CFD" w14:textId="6CB347A6" w:rsidR="00193B05" w:rsidRPr="0041701E" w:rsidRDefault="00F36E8F" w:rsidP="00F36E8F">
      <w:pPr>
        <w:pStyle w:val="FootnoteText"/>
        <w:rPr>
          <w:lang w:val="en-US"/>
        </w:rPr>
      </w:pPr>
      <w:r>
        <w:tab/>
      </w:r>
      <w:r w:rsidR="00193B05">
        <w:rPr>
          <w:rStyle w:val="FootnoteReference"/>
        </w:rPr>
        <w:footnoteRef/>
      </w:r>
      <w:r>
        <w:tab/>
      </w:r>
      <w:r w:rsidR="00193B05">
        <w:t xml:space="preserve"> </w:t>
      </w:r>
      <w:r w:rsidR="004D16BB">
        <w:t>Business and Human Rights: Implementing the United Nations “Protect, Respect and Remedy” Framework</w:t>
      </w:r>
      <w:r w:rsidR="00B96366">
        <w:t xml:space="preserve"> A/HRC/17/31, annex</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E7EA8B" w14:textId="3B2C73C0" w:rsidR="005D730C" w:rsidRPr="00334AE4" w:rsidRDefault="00126C08">
    <w:pPr>
      <w:pStyle w:val="Header"/>
    </w:pPr>
    <w:r>
      <w:rPr>
        <w:noProof/>
      </w:rPr>
      <w:pict w14:anchorId="0829805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092610" o:spid="_x0000_s1026" type="#_x0000_t136" style="position:absolute;margin-left:0;margin-top:0;width:752.25pt;height:81.75pt;rotation:315;z-index:-251655168;mso-position-horizontal:center;mso-position-horizontal-relative:margin;mso-position-vertical:center;mso-position-vertical-relative:margin" o:allowincell="f" fillcolor="#bfbfbf [2412]" stroked="f">
          <v:fill opacity=".5"/>
          <v:textpath style="font-family:&quot;Times New Roman&quot;;font-size:1in" string="Advance unedited version"/>
        </v:shape>
      </w:pict>
    </w:r>
    <w:r w:rsidR="004272D5" w:rsidRPr="004272D5">
      <w:rPr>
        <w:rFonts w:eastAsia="Calibri"/>
        <w:b w:val="0"/>
        <w:sz w:val="20"/>
      </w:rPr>
      <w:t>A/HRC/53/45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DA923D" w14:textId="6144EBDD" w:rsidR="005D730C" w:rsidRPr="00334AE4" w:rsidRDefault="00126C08" w:rsidP="00334AE4">
    <w:pPr>
      <w:pStyle w:val="Header"/>
      <w:jc w:val="right"/>
    </w:pPr>
    <w:r>
      <w:rPr>
        <w:noProof/>
      </w:rPr>
      <w:pict w14:anchorId="3877A6C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092611" o:spid="_x0000_s1027" type="#_x0000_t136" style="position:absolute;left:0;text-align:left;margin-left:0;margin-top:0;width:752.25pt;height:81.75pt;rotation:315;z-index:-251653120;mso-position-horizontal:center;mso-position-horizontal-relative:margin;mso-position-vertical:center;mso-position-vertical-relative:margin" o:allowincell="f" fillcolor="#bfbfbf [2412]" stroked="f">
          <v:fill opacity=".5"/>
          <v:textpath style="font-family:&quot;Times New Roman&quot;;font-size:1in" string="Advance unedited version"/>
        </v:shape>
      </w:pict>
    </w:r>
    <w:fldSimple w:instr="TITLE  \* MERGEFORMAT">
      <w:r w:rsidR="005D730C">
        <w:t>A/</w:t>
      </w:r>
      <w:r w:rsidR="00F36E8F">
        <w:t>HRC/54/45</w:t>
      </w:r>
    </w:fldSimple>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72F343" w14:textId="5A1A4DF7" w:rsidR="00126C08" w:rsidRDefault="00126C08">
    <w:pPr>
      <w:pStyle w:val="Header"/>
    </w:pPr>
    <w:r>
      <w:rPr>
        <w:noProof/>
      </w:rPr>
      <w:pict w14:anchorId="608B467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092609" o:spid="_x0000_s1025" type="#_x0000_t136" style="position:absolute;margin-left:0;margin-top:0;width:752.25pt;height:81.75pt;rotation:315;z-index:-251657216;mso-position-horizontal:center;mso-position-horizontal-relative:margin;mso-position-vertical:center;mso-position-vertical-relative:margin" o:allowincell="f" fillcolor="#bfbfbf [2412]" stroked="f">
          <v:fill opacity=".5"/>
          <v:textpath style="font-family:&quot;Times New Roman&quot;;font-size:1in" string="Advance unedited versio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C49F8"/>
    <w:multiLevelType w:val="hybridMultilevel"/>
    <w:tmpl w:val="FFD08D26"/>
    <w:lvl w:ilvl="0" w:tplc="075A641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21B62E7"/>
    <w:multiLevelType w:val="hybridMultilevel"/>
    <w:tmpl w:val="5052CCFE"/>
    <w:lvl w:ilvl="0" w:tplc="6D20BD9A">
      <w:start w:val="53"/>
      <w:numFmt w:val="bullet"/>
      <w:lvlText w:val="-"/>
      <w:lvlJc w:val="left"/>
      <w:pPr>
        <w:ind w:left="1627" w:hanging="360"/>
      </w:pPr>
      <w:rPr>
        <w:rFonts w:ascii="Times New Roman" w:eastAsiaTheme="minorHAnsi" w:hAnsi="Times New Roman" w:cs="Times New Roman" w:hint="default"/>
      </w:rPr>
    </w:lvl>
    <w:lvl w:ilvl="1" w:tplc="08090003" w:tentative="1">
      <w:start w:val="1"/>
      <w:numFmt w:val="bullet"/>
      <w:lvlText w:val="o"/>
      <w:lvlJc w:val="left"/>
      <w:pPr>
        <w:ind w:left="2347" w:hanging="360"/>
      </w:pPr>
      <w:rPr>
        <w:rFonts w:ascii="Courier New" w:hAnsi="Courier New" w:cs="Courier New" w:hint="default"/>
      </w:rPr>
    </w:lvl>
    <w:lvl w:ilvl="2" w:tplc="08090005" w:tentative="1">
      <w:start w:val="1"/>
      <w:numFmt w:val="bullet"/>
      <w:lvlText w:val=""/>
      <w:lvlJc w:val="left"/>
      <w:pPr>
        <w:ind w:left="3067" w:hanging="360"/>
      </w:pPr>
      <w:rPr>
        <w:rFonts w:ascii="Wingdings" w:hAnsi="Wingdings" w:hint="default"/>
      </w:rPr>
    </w:lvl>
    <w:lvl w:ilvl="3" w:tplc="08090001" w:tentative="1">
      <w:start w:val="1"/>
      <w:numFmt w:val="bullet"/>
      <w:lvlText w:val=""/>
      <w:lvlJc w:val="left"/>
      <w:pPr>
        <w:ind w:left="3787" w:hanging="360"/>
      </w:pPr>
      <w:rPr>
        <w:rFonts w:ascii="Symbol" w:hAnsi="Symbol" w:hint="default"/>
      </w:rPr>
    </w:lvl>
    <w:lvl w:ilvl="4" w:tplc="08090003" w:tentative="1">
      <w:start w:val="1"/>
      <w:numFmt w:val="bullet"/>
      <w:lvlText w:val="o"/>
      <w:lvlJc w:val="left"/>
      <w:pPr>
        <w:ind w:left="4507" w:hanging="360"/>
      </w:pPr>
      <w:rPr>
        <w:rFonts w:ascii="Courier New" w:hAnsi="Courier New" w:cs="Courier New" w:hint="default"/>
      </w:rPr>
    </w:lvl>
    <w:lvl w:ilvl="5" w:tplc="08090005" w:tentative="1">
      <w:start w:val="1"/>
      <w:numFmt w:val="bullet"/>
      <w:lvlText w:val=""/>
      <w:lvlJc w:val="left"/>
      <w:pPr>
        <w:ind w:left="5227" w:hanging="360"/>
      </w:pPr>
      <w:rPr>
        <w:rFonts w:ascii="Wingdings" w:hAnsi="Wingdings" w:hint="default"/>
      </w:rPr>
    </w:lvl>
    <w:lvl w:ilvl="6" w:tplc="08090001" w:tentative="1">
      <w:start w:val="1"/>
      <w:numFmt w:val="bullet"/>
      <w:lvlText w:val=""/>
      <w:lvlJc w:val="left"/>
      <w:pPr>
        <w:ind w:left="5947" w:hanging="360"/>
      </w:pPr>
      <w:rPr>
        <w:rFonts w:ascii="Symbol" w:hAnsi="Symbol" w:hint="default"/>
      </w:rPr>
    </w:lvl>
    <w:lvl w:ilvl="7" w:tplc="08090003" w:tentative="1">
      <w:start w:val="1"/>
      <w:numFmt w:val="bullet"/>
      <w:lvlText w:val="o"/>
      <w:lvlJc w:val="left"/>
      <w:pPr>
        <w:ind w:left="6667" w:hanging="360"/>
      </w:pPr>
      <w:rPr>
        <w:rFonts w:ascii="Courier New" w:hAnsi="Courier New" w:cs="Courier New" w:hint="default"/>
      </w:rPr>
    </w:lvl>
    <w:lvl w:ilvl="8" w:tplc="08090005" w:tentative="1">
      <w:start w:val="1"/>
      <w:numFmt w:val="bullet"/>
      <w:lvlText w:val=""/>
      <w:lvlJc w:val="left"/>
      <w:pPr>
        <w:ind w:left="7387" w:hanging="360"/>
      </w:pPr>
      <w:rPr>
        <w:rFonts w:ascii="Wingdings" w:hAnsi="Wingdings" w:hint="default"/>
      </w:rPr>
    </w:lvl>
  </w:abstractNum>
  <w:abstractNum w:abstractNumId="2" w15:restartNumberingAfterBreak="0">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6E0262"/>
    <w:multiLevelType w:val="hybridMultilevel"/>
    <w:tmpl w:val="AAA29872"/>
    <w:lvl w:ilvl="0" w:tplc="86B8BED6">
      <w:start w:val="16"/>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AB4BCE"/>
    <w:multiLevelType w:val="multilevel"/>
    <w:tmpl w:val="2ACF77AD"/>
    <w:lvl w:ilvl="0">
      <w:start w:val="1"/>
      <w:numFmt w:val="decimal"/>
      <w:lvlText w:val="%1."/>
      <w:lvlJc w:val="left"/>
      <w:pPr>
        <w:ind w:left="644" w:hanging="360"/>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D954887"/>
    <w:multiLevelType w:val="hybridMultilevel"/>
    <w:tmpl w:val="5A48E46A"/>
    <w:lvl w:ilvl="0" w:tplc="F560206C">
      <w:start w:val="1"/>
      <w:numFmt w:val="decimal"/>
      <w:pStyle w:val="ParNoG"/>
      <w:lvlText w:val="%1."/>
      <w:lvlJc w:val="left"/>
      <w:pPr>
        <w:tabs>
          <w:tab w:val="num" w:pos="1701"/>
        </w:tabs>
        <w:ind w:left="1134" w:firstLine="0"/>
      </w:pPr>
      <w:rPr>
        <w:rFonts w:ascii="Times New Roman" w:hAnsi="Times New Roman" w:hint="default"/>
        <w:b w:val="0"/>
        <w:i w:val="0"/>
        <w:sz w:val="2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6" w15:restartNumberingAfterBreak="0">
    <w:nsid w:val="1024650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194767C5"/>
    <w:multiLevelType w:val="hybridMultilevel"/>
    <w:tmpl w:val="C396FD20"/>
    <w:lvl w:ilvl="0" w:tplc="08090001">
      <w:start w:val="1"/>
      <w:numFmt w:val="bullet"/>
      <w:lvlText w:val=""/>
      <w:lvlJc w:val="left"/>
      <w:pPr>
        <w:ind w:left="720" w:hanging="360"/>
      </w:pPr>
      <w:rPr>
        <w:rFonts w:ascii="Symbol" w:hAnsi="Symbol" w:hint="default"/>
      </w:rPr>
    </w:lvl>
    <w:lvl w:ilvl="1" w:tplc="0809000B">
      <w:start w:val="1"/>
      <w:numFmt w:val="bullet"/>
      <w:lvlText w:val=""/>
      <w:lvlJc w:val="left"/>
      <w:pPr>
        <w:ind w:left="1440" w:hanging="360"/>
      </w:pPr>
      <w:rPr>
        <w:rFonts w:ascii="Wingdings" w:hAnsi="Wingdings"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0330AD0"/>
    <w:multiLevelType w:val="hybridMultilevel"/>
    <w:tmpl w:val="B13E15D6"/>
    <w:lvl w:ilvl="0" w:tplc="7E46B9FA">
      <w:start w:val="1"/>
      <w:numFmt w:val="bullet"/>
      <w:pStyle w:val="Bullet2"/>
      <w:lvlText w:val=""/>
      <w:lvlJc w:val="left"/>
      <w:pPr>
        <w:ind w:left="2807" w:hanging="360"/>
      </w:pPr>
      <w:rPr>
        <w:rFonts w:ascii="Symbol" w:hAnsi="Symbol" w:hint="default"/>
        <w:sz w:val="14"/>
      </w:rPr>
    </w:lvl>
    <w:lvl w:ilvl="1" w:tplc="04090003" w:tentative="1">
      <w:start w:val="1"/>
      <w:numFmt w:val="bullet"/>
      <w:lvlText w:val="o"/>
      <w:lvlJc w:val="left"/>
      <w:pPr>
        <w:ind w:left="3527" w:hanging="360"/>
      </w:pPr>
      <w:rPr>
        <w:rFonts w:ascii="Courier New" w:hAnsi="Courier New" w:cs="Courier New" w:hint="default"/>
      </w:rPr>
    </w:lvl>
    <w:lvl w:ilvl="2" w:tplc="04090005" w:tentative="1">
      <w:start w:val="1"/>
      <w:numFmt w:val="bullet"/>
      <w:lvlText w:val=""/>
      <w:lvlJc w:val="left"/>
      <w:pPr>
        <w:ind w:left="4247" w:hanging="360"/>
      </w:pPr>
      <w:rPr>
        <w:rFonts w:ascii="Wingdings" w:hAnsi="Wingdings" w:hint="default"/>
      </w:rPr>
    </w:lvl>
    <w:lvl w:ilvl="3" w:tplc="04090001" w:tentative="1">
      <w:start w:val="1"/>
      <w:numFmt w:val="bullet"/>
      <w:lvlText w:val=""/>
      <w:lvlJc w:val="left"/>
      <w:pPr>
        <w:ind w:left="4967" w:hanging="360"/>
      </w:pPr>
      <w:rPr>
        <w:rFonts w:ascii="Symbol" w:hAnsi="Symbol" w:hint="default"/>
      </w:rPr>
    </w:lvl>
    <w:lvl w:ilvl="4" w:tplc="04090003" w:tentative="1">
      <w:start w:val="1"/>
      <w:numFmt w:val="bullet"/>
      <w:lvlText w:val="o"/>
      <w:lvlJc w:val="left"/>
      <w:pPr>
        <w:ind w:left="5687" w:hanging="360"/>
      </w:pPr>
      <w:rPr>
        <w:rFonts w:ascii="Courier New" w:hAnsi="Courier New" w:cs="Courier New" w:hint="default"/>
      </w:rPr>
    </w:lvl>
    <w:lvl w:ilvl="5" w:tplc="04090005" w:tentative="1">
      <w:start w:val="1"/>
      <w:numFmt w:val="bullet"/>
      <w:lvlText w:val=""/>
      <w:lvlJc w:val="left"/>
      <w:pPr>
        <w:ind w:left="6407" w:hanging="360"/>
      </w:pPr>
      <w:rPr>
        <w:rFonts w:ascii="Wingdings" w:hAnsi="Wingdings" w:hint="default"/>
      </w:rPr>
    </w:lvl>
    <w:lvl w:ilvl="6" w:tplc="04090001" w:tentative="1">
      <w:start w:val="1"/>
      <w:numFmt w:val="bullet"/>
      <w:lvlText w:val=""/>
      <w:lvlJc w:val="left"/>
      <w:pPr>
        <w:ind w:left="7127" w:hanging="360"/>
      </w:pPr>
      <w:rPr>
        <w:rFonts w:ascii="Symbol" w:hAnsi="Symbol" w:hint="default"/>
      </w:rPr>
    </w:lvl>
    <w:lvl w:ilvl="7" w:tplc="04090003" w:tentative="1">
      <w:start w:val="1"/>
      <w:numFmt w:val="bullet"/>
      <w:lvlText w:val="o"/>
      <w:lvlJc w:val="left"/>
      <w:pPr>
        <w:ind w:left="7847" w:hanging="360"/>
      </w:pPr>
      <w:rPr>
        <w:rFonts w:ascii="Courier New" w:hAnsi="Courier New" w:cs="Courier New" w:hint="default"/>
      </w:rPr>
    </w:lvl>
    <w:lvl w:ilvl="8" w:tplc="04090005" w:tentative="1">
      <w:start w:val="1"/>
      <w:numFmt w:val="bullet"/>
      <w:lvlText w:val=""/>
      <w:lvlJc w:val="left"/>
      <w:pPr>
        <w:ind w:left="8567" w:hanging="360"/>
      </w:pPr>
      <w:rPr>
        <w:rFonts w:ascii="Wingdings" w:hAnsi="Wingdings" w:hint="default"/>
      </w:rPr>
    </w:lvl>
  </w:abstractNum>
  <w:abstractNum w:abstractNumId="10" w15:restartNumberingAfterBreak="0">
    <w:nsid w:val="299E4E4A"/>
    <w:multiLevelType w:val="multilevel"/>
    <w:tmpl w:val="299E4E4A"/>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A2B5DC0"/>
    <w:multiLevelType w:val="hybridMultilevel"/>
    <w:tmpl w:val="5B2AD200"/>
    <w:lvl w:ilvl="0" w:tplc="7AEE8E58">
      <w:start w:val="8"/>
      <w:numFmt w:val="bullet"/>
      <w:lvlText w:val="-"/>
      <w:lvlJc w:val="left"/>
      <w:pPr>
        <w:ind w:left="720" w:hanging="360"/>
      </w:pPr>
      <w:rPr>
        <w:rFonts w:ascii="Times New Roman" w:eastAsia="SimSu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ACF77AD"/>
    <w:multiLevelType w:val="multilevel"/>
    <w:tmpl w:val="2ACF77AD"/>
    <w:lvl w:ilvl="0">
      <w:start w:val="1"/>
      <w:numFmt w:val="decimal"/>
      <w:lvlText w:val="%1."/>
      <w:lvlJc w:val="left"/>
      <w:pPr>
        <w:ind w:left="717" w:hanging="360"/>
      </w:pPr>
      <w:rPr>
        <w:rFonts w:hint="default"/>
        <w:b w:val="0"/>
        <w:bCs w:val="0"/>
      </w:rPr>
    </w:lvl>
    <w:lvl w:ilvl="1">
      <w:start w:val="1"/>
      <w:numFmt w:val="lowerLetter"/>
      <w:lvlText w:val="%2."/>
      <w:lvlJc w:val="left"/>
      <w:pPr>
        <w:ind w:left="1655" w:hanging="360"/>
      </w:pPr>
    </w:lvl>
    <w:lvl w:ilvl="2">
      <w:start w:val="1"/>
      <w:numFmt w:val="lowerRoman"/>
      <w:lvlText w:val="%3."/>
      <w:lvlJc w:val="right"/>
      <w:pPr>
        <w:ind w:left="2375" w:hanging="180"/>
      </w:pPr>
    </w:lvl>
    <w:lvl w:ilvl="3">
      <w:start w:val="1"/>
      <w:numFmt w:val="decimal"/>
      <w:lvlText w:val="%4."/>
      <w:lvlJc w:val="left"/>
      <w:pPr>
        <w:ind w:left="3095" w:hanging="360"/>
      </w:pPr>
    </w:lvl>
    <w:lvl w:ilvl="4">
      <w:start w:val="1"/>
      <w:numFmt w:val="lowerLetter"/>
      <w:lvlText w:val="%5."/>
      <w:lvlJc w:val="left"/>
      <w:pPr>
        <w:ind w:left="3815" w:hanging="360"/>
      </w:pPr>
    </w:lvl>
    <w:lvl w:ilvl="5">
      <w:start w:val="1"/>
      <w:numFmt w:val="lowerRoman"/>
      <w:lvlText w:val="%6."/>
      <w:lvlJc w:val="right"/>
      <w:pPr>
        <w:ind w:left="4535" w:hanging="180"/>
      </w:pPr>
    </w:lvl>
    <w:lvl w:ilvl="6">
      <w:start w:val="1"/>
      <w:numFmt w:val="decimal"/>
      <w:lvlText w:val="%7."/>
      <w:lvlJc w:val="left"/>
      <w:pPr>
        <w:ind w:left="5255" w:hanging="360"/>
      </w:pPr>
    </w:lvl>
    <w:lvl w:ilvl="7">
      <w:start w:val="1"/>
      <w:numFmt w:val="lowerLetter"/>
      <w:lvlText w:val="%8."/>
      <w:lvlJc w:val="left"/>
      <w:pPr>
        <w:ind w:left="5975" w:hanging="360"/>
      </w:pPr>
    </w:lvl>
    <w:lvl w:ilvl="8">
      <w:start w:val="1"/>
      <w:numFmt w:val="lowerRoman"/>
      <w:lvlText w:val="%9."/>
      <w:lvlJc w:val="right"/>
      <w:pPr>
        <w:ind w:left="6695" w:hanging="180"/>
      </w:pPr>
    </w:lvl>
  </w:abstractNum>
  <w:abstractNum w:abstractNumId="13" w15:restartNumberingAfterBreak="0">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C456276"/>
    <w:multiLevelType w:val="hybridMultilevel"/>
    <w:tmpl w:val="19149710"/>
    <w:lvl w:ilvl="0" w:tplc="F4AAAF66">
      <w:start w:val="1"/>
      <w:numFmt w:val="bullet"/>
      <w:pStyle w:val="Bullet3"/>
      <w:lvlText w:val=""/>
      <w:lvlJc w:val="left"/>
      <w:pPr>
        <w:ind w:left="3283" w:hanging="360"/>
      </w:pPr>
      <w:rPr>
        <w:rFonts w:ascii="Symbol" w:hAnsi="Symbol" w:cs="Symbol" w:hint="default"/>
        <w:sz w:val="14"/>
        <w:szCs w:val="14"/>
      </w:rPr>
    </w:lvl>
    <w:lvl w:ilvl="1" w:tplc="08090003" w:tentative="1">
      <w:start w:val="1"/>
      <w:numFmt w:val="bullet"/>
      <w:lvlText w:val="o"/>
      <w:lvlJc w:val="left"/>
      <w:pPr>
        <w:ind w:left="4003" w:hanging="360"/>
      </w:pPr>
      <w:rPr>
        <w:rFonts w:ascii="Courier New" w:hAnsi="Courier New" w:cs="Courier New" w:hint="default"/>
      </w:rPr>
    </w:lvl>
    <w:lvl w:ilvl="2" w:tplc="08090005" w:tentative="1">
      <w:start w:val="1"/>
      <w:numFmt w:val="bullet"/>
      <w:lvlText w:val=""/>
      <w:lvlJc w:val="left"/>
      <w:pPr>
        <w:ind w:left="4723" w:hanging="360"/>
      </w:pPr>
      <w:rPr>
        <w:rFonts w:ascii="Wingdings" w:hAnsi="Wingdings" w:hint="default"/>
      </w:rPr>
    </w:lvl>
    <w:lvl w:ilvl="3" w:tplc="08090001" w:tentative="1">
      <w:start w:val="1"/>
      <w:numFmt w:val="bullet"/>
      <w:lvlText w:val=""/>
      <w:lvlJc w:val="left"/>
      <w:pPr>
        <w:ind w:left="5443" w:hanging="360"/>
      </w:pPr>
      <w:rPr>
        <w:rFonts w:ascii="Symbol" w:hAnsi="Symbol" w:hint="default"/>
      </w:rPr>
    </w:lvl>
    <w:lvl w:ilvl="4" w:tplc="08090003" w:tentative="1">
      <w:start w:val="1"/>
      <w:numFmt w:val="bullet"/>
      <w:lvlText w:val="o"/>
      <w:lvlJc w:val="left"/>
      <w:pPr>
        <w:ind w:left="6163" w:hanging="360"/>
      </w:pPr>
      <w:rPr>
        <w:rFonts w:ascii="Courier New" w:hAnsi="Courier New" w:cs="Courier New" w:hint="default"/>
      </w:rPr>
    </w:lvl>
    <w:lvl w:ilvl="5" w:tplc="08090005" w:tentative="1">
      <w:start w:val="1"/>
      <w:numFmt w:val="bullet"/>
      <w:lvlText w:val=""/>
      <w:lvlJc w:val="left"/>
      <w:pPr>
        <w:ind w:left="6883" w:hanging="360"/>
      </w:pPr>
      <w:rPr>
        <w:rFonts w:ascii="Wingdings" w:hAnsi="Wingdings" w:hint="default"/>
      </w:rPr>
    </w:lvl>
    <w:lvl w:ilvl="6" w:tplc="08090001" w:tentative="1">
      <w:start w:val="1"/>
      <w:numFmt w:val="bullet"/>
      <w:lvlText w:val=""/>
      <w:lvlJc w:val="left"/>
      <w:pPr>
        <w:ind w:left="7603" w:hanging="360"/>
      </w:pPr>
      <w:rPr>
        <w:rFonts w:ascii="Symbol" w:hAnsi="Symbol" w:hint="default"/>
      </w:rPr>
    </w:lvl>
    <w:lvl w:ilvl="7" w:tplc="08090003" w:tentative="1">
      <w:start w:val="1"/>
      <w:numFmt w:val="bullet"/>
      <w:lvlText w:val="o"/>
      <w:lvlJc w:val="left"/>
      <w:pPr>
        <w:ind w:left="8323" w:hanging="360"/>
      </w:pPr>
      <w:rPr>
        <w:rFonts w:ascii="Courier New" w:hAnsi="Courier New" w:cs="Courier New" w:hint="default"/>
      </w:rPr>
    </w:lvl>
    <w:lvl w:ilvl="8" w:tplc="08090005" w:tentative="1">
      <w:start w:val="1"/>
      <w:numFmt w:val="bullet"/>
      <w:lvlText w:val=""/>
      <w:lvlJc w:val="left"/>
      <w:pPr>
        <w:ind w:left="9043" w:hanging="360"/>
      </w:pPr>
      <w:rPr>
        <w:rFonts w:ascii="Wingdings" w:hAnsi="Wingdings" w:hint="default"/>
      </w:rPr>
    </w:lvl>
  </w:abstractNum>
  <w:abstractNum w:abstractNumId="15" w15:restartNumberingAfterBreak="0">
    <w:nsid w:val="3E78469D"/>
    <w:multiLevelType w:val="hybridMultilevel"/>
    <w:tmpl w:val="49081FA4"/>
    <w:lvl w:ilvl="0" w:tplc="3620F8E6">
      <w:start w:val="54"/>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93115A0"/>
    <w:multiLevelType w:val="hybridMultilevel"/>
    <w:tmpl w:val="8486A1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BCB62BF"/>
    <w:multiLevelType w:val="hybridMultilevel"/>
    <w:tmpl w:val="0EB82A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CE669A5"/>
    <w:multiLevelType w:val="multilevel"/>
    <w:tmpl w:val="2B7A5FDC"/>
    <w:lvl w:ilvl="0">
      <w:start w:val="1"/>
      <w:numFmt w:val="bullet"/>
      <w:pStyle w:val="NormalBullet"/>
      <w:lvlText w:val=""/>
      <w:lvlJc w:val="left"/>
      <w:pPr>
        <w:tabs>
          <w:tab w:val="num" w:pos="2376"/>
        </w:tabs>
        <w:ind w:left="2218" w:hanging="202"/>
      </w:pPr>
      <w:rPr>
        <w:rFonts w:ascii="Symbol" w:hAnsi="Symbol" w:hint="default"/>
      </w:rPr>
    </w:lvl>
    <w:lvl w:ilvl="1">
      <w:start w:val="1"/>
      <w:numFmt w:val="lowerLetter"/>
      <w:lvlText w:val="%2)"/>
      <w:lvlJc w:val="left"/>
      <w:pPr>
        <w:tabs>
          <w:tab w:val="num" w:pos="2736"/>
        </w:tabs>
        <w:ind w:left="2736" w:hanging="360"/>
      </w:pPr>
      <w:rPr>
        <w:rFonts w:hint="default"/>
      </w:rPr>
    </w:lvl>
    <w:lvl w:ilvl="2">
      <w:start w:val="1"/>
      <w:numFmt w:val="lowerRoman"/>
      <w:lvlText w:val="%3)"/>
      <w:lvlJc w:val="left"/>
      <w:pPr>
        <w:tabs>
          <w:tab w:val="num" w:pos="3096"/>
        </w:tabs>
        <w:ind w:left="3096" w:hanging="360"/>
      </w:pPr>
      <w:rPr>
        <w:rFonts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3816"/>
        </w:tabs>
        <w:ind w:left="3816" w:hanging="360"/>
      </w:pPr>
      <w:rPr>
        <w:rFonts w:hint="default"/>
      </w:rPr>
    </w:lvl>
    <w:lvl w:ilvl="5">
      <w:start w:val="1"/>
      <w:numFmt w:val="lowerRoman"/>
      <w:lvlText w:val="(%6)"/>
      <w:lvlJc w:val="left"/>
      <w:pPr>
        <w:tabs>
          <w:tab w:val="num" w:pos="4176"/>
        </w:tabs>
        <w:ind w:left="4176" w:hanging="360"/>
      </w:pPr>
      <w:rPr>
        <w:rFonts w:hint="default"/>
      </w:rPr>
    </w:lvl>
    <w:lvl w:ilvl="6">
      <w:start w:val="1"/>
      <w:numFmt w:val="decimal"/>
      <w:lvlText w:val="%7."/>
      <w:lvlJc w:val="left"/>
      <w:pPr>
        <w:tabs>
          <w:tab w:val="num" w:pos="4536"/>
        </w:tabs>
        <w:ind w:left="4536" w:hanging="360"/>
      </w:pPr>
      <w:rPr>
        <w:rFonts w:hint="default"/>
      </w:rPr>
    </w:lvl>
    <w:lvl w:ilvl="7">
      <w:start w:val="1"/>
      <w:numFmt w:val="lowerLetter"/>
      <w:lvlText w:val="%8."/>
      <w:lvlJc w:val="left"/>
      <w:pPr>
        <w:tabs>
          <w:tab w:val="num" w:pos="4896"/>
        </w:tabs>
        <w:ind w:left="4896" w:hanging="360"/>
      </w:pPr>
      <w:rPr>
        <w:rFonts w:hint="default"/>
      </w:rPr>
    </w:lvl>
    <w:lvl w:ilvl="8">
      <w:start w:val="1"/>
      <w:numFmt w:val="lowerRoman"/>
      <w:lvlText w:val="%9."/>
      <w:lvlJc w:val="left"/>
      <w:pPr>
        <w:tabs>
          <w:tab w:val="num" w:pos="5256"/>
        </w:tabs>
        <w:ind w:left="5256" w:hanging="360"/>
      </w:pPr>
      <w:rPr>
        <w:rFonts w:hint="default"/>
      </w:rPr>
    </w:lvl>
  </w:abstractNum>
  <w:abstractNum w:abstractNumId="19" w15:restartNumberingAfterBreak="0">
    <w:nsid w:val="4E1D7157"/>
    <w:multiLevelType w:val="multilevel"/>
    <w:tmpl w:val="4E1D7157"/>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1706E73"/>
    <w:multiLevelType w:val="hybridMultilevel"/>
    <w:tmpl w:val="DDDCC6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06F41BD"/>
    <w:multiLevelType w:val="multilevel"/>
    <w:tmpl w:val="4E1D7157"/>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64F14A04"/>
    <w:multiLevelType w:val="hybridMultilevel"/>
    <w:tmpl w:val="0F8E0BF2"/>
    <w:lvl w:ilvl="0" w:tplc="F404D8B4">
      <w:start w:val="1"/>
      <w:numFmt w:val="bullet"/>
      <w:pStyle w:val="Bullet1"/>
      <w:lvlText w:val=""/>
      <w:lvlJc w:val="left"/>
      <w:pPr>
        <w:ind w:left="1976" w:hanging="360"/>
      </w:pPr>
      <w:rPr>
        <w:rFonts w:ascii="Symbol" w:hAnsi="Symbol" w:cs="Symbol" w:hint="default"/>
        <w:sz w:val="14"/>
      </w:rPr>
    </w:lvl>
    <w:lvl w:ilvl="1" w:tplc="04090003" w:tentative="1">
      <w:start w:val="1"/>
      <w:numFmt w:val="bullet"/>
      <w:lvlText w:val="o"/>
      <w:lvlJc w:val="left"/>
      <w:pPr>
        <w:ind w:left="3056" w:hanging="360"/>
      </w:pPr>
      <w:rPr>
        <w:rFonts w:ascii="Courier New" w:hAnsi="Courier New" w:cs="Courier New" w:hint="default"/>
      </w:rPr>
    </w:lvl>
    <w:lvl w:ilvl="2" w:tplc="04090005" w:tentative="1">
      <w:start w:val="1"/>
      <w:numFmt w:val="bullet"/>
      <w:lvlText w:val=""/>
      <w:lvlJc w:val="left"/>
      <w:pPr>
        <w:ind w:left="3776" w:hanging="360"/>
      </w:pPr>
      <w:rPr>
        <w:rFonts w:ascii="Wingdings" w:hAnsi="Wingdings" w:hint="default"/>
      </w:rPr>
    </w:lvl>
    <w:lvl w:ilvl="3" w:tplc="04090001" w:tentative="1">
      <w:start w:val="1"/>
      <w:numFmt w:val="bullet"/>
      <w:lvlText w:val=""/>
      <w:lvlJc w:val="left"/>
      <w:pPr>
        <w:ind w:left="4496" w:hanging="360"/>
      </w:pPr>
      <w:rPr>
        <w:rFonts w:ascii="Symbol" w:hAnsi="Symbol" w:hint="default"/>
      </w:rPr>
    </w:lvl>
    <w:lvl w:ilvl="4" w:tplc="04090003" w:tentative="1">
      <w:start w:val="1"/>
      <w:numFmt w:val="bullet"/>
      <w:lvlText w:val="o"/>
      <w:lvlJc w:val="left"/>
      <w:pPr>
        <w:ind w:left="5216" w:hanging="360"/>
      </w:pPr>
      <w:rPr>
        <w:rFonts w:ascii="Courier New" w:hAnsi="Courier New" w:cs="Courier New" w:hint="default"/>
      </w:rPr>
    </w:lvl>
    <w:lvl w:ilvl="5" w:tplc="04090005" w:tentative="1">
      <w:start w:val="1"/>
      <w:numFmt w:val="bullet"/>
      <w:lvlText w:val=""/>
      <w:lvlJc w:val="left"/>
      <w:pPr>
        <w:ind w:left="5936" w:hanging="360"/>
      </w:pPr>
      <w:rPr>
        <w:rFonts w:ascii="Wingdings" w:hAnsi="Wingdings" w:hint="default"/>
      </w:rPr>
    </w:lvl>
    <w:lvl w:ilvl="6" w:tplc="04090001" w:tentative="1">
      <w:start w:val="1"/>
      <w:numFmt w:val="bullet"/>
      <w:lvlText w:val=""/>
      <w:lvlJc w:val="left"/>
      <w:pPr>
        <w:ind w:left="6656" w:hanging="360"/>
      </w:pPr>
      <w:rPr>
        <w:rFonts w:ascii="Symbol" w:hAnsi="Symbol" w:hint="default"/>
      </w:rPr>
    </w:lvl>
    <w:lvl w:ilvl="7" w:tplc="04090003" w:tentative="1">
      <w:start w:val="1"/>
      <w:numFmt w:val="bullet"/>
      <w:lvlText w:val="o"/>
      <w:lvlJc w:val="left"/>
      <w:pPr>
        <w:ind w:left="7376" w:hanging="360"/>
      </w:pPr>
      <w:rPr>
        <w:rFonts w:ascii="Courier New" w:hAnsi="Courier New" w:cs="Courier New" w:hint="default"/>
      </w:rPr>
    </w:lvl>
    <w:lvl w:ilvl="8" w:tplc="04090005" w:tentative="1">
      <w:start w:val="1"/>
      <w:numFmt w:val="bullet"/>
      <w:lvlText w:val=""/>
      <w:lvlJc w:val="left"/>
      <w:pPr>
        <w:ind w:left="8096" w:hanging="360"/>
      </w:pPr>
      <w:rPr>
        <w:rFonts w:ascii="Wingdings" w:hAnsi="Wingdings" w:hint="default"/>
      </w:rPr>
    </w:lvl>
  </w:abstractNum>
  <w:abstractNum w:abstractNumId="23" w15:restartNumberingAfterBreak="0">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C4B4761"/>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5" w15:restartNumberingAfterBreak="0">
    <w:nsid w:val="759E7257"/>
    <w:multiLevelType w:val="multilevel"/>
    <w:tmpl w:val="759E7257"/>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7B025BC6"/>
    <w:multiLevelType w:val="hybridMultilevel"/>
    <w:tmpl w:val="17C8A3A0"/>
    <w:lvl w:ilvl="0" w:tplc="62805840">
      <w:start w:val="1"/>
      <w:numFmt w:val="upperLetter"/>
      <w:lvlText w:val="%1."/>
      <w:lvlJc w:val="left"/>
      <w:pPr>
        <w:ind w:left="1270" w:hanging="480"/>
      </w:pPr>
      <w:rPr>
        <w:rFonts w:hint="default"/>
      </w:rPr>
    </w:lvl>
    <w:lvl w:ilvl="1" w:tplc="08090019" w:tentative="1">
      <w:start w:val="1"/>
      <w:numFmt w:val="lowerLetter"/>
      <w:lvlText w:val="%2."/>
      <w:lvlJc w:val="left"/>
      <w:pPr>
        <w:ind w:left="1870" w:hanging="360"/>
      </w:pPr>
    </w:lvl>
    <w:lvl w:ilvl="2" w:tplc="0809001B" w:tentative="1">
      <w:start w:val="1"/>
      <w:numFmt w:val="lowerRoman"/>
      <w:lvlText w:val="%3."/>
      <w:lvlJc w:val="right"/>
      <w:pPr>
        <w:ind w:left="2590" w:hanging="180"/>
      </w:pPr>
    </w:lvl>
    <w:lvl w:ilvl="3" w:tplc="0809000F" w:tentative="1">
      <w:start w:val="1"/>
      <w:numFmt w:val="decimal"/>
      <w:lvlText w:val="%4."/>
      <w:lvlJc w:val="left"/>
      <w:pPr>
        <w:ind w:left="3310" w:hanging="360"/>
      </w:pPr>
    </w:lvl>
    <w:lvl w:ilvl="4" w:tplc="08090019" w:tentative="1">
      <w:start w:val="1"/>
      <w:numFmt w:val="lowerLetter"/>
      <w:lvlText w:val="%5."/>
      <w:lvlJc w:val="left"/>
      <w:pPr>
        <w:ind w:left="4030" w:hanging="360"/>
      </w:pPr>
    </w:lvl>
    <w:lvl w:ilvl="5" w:tplc="0809001B" w:tentative="1">
      <w:start w:val="1"/>
      <w:numFmt w:val="lowerRoman"/>
      <w:lvlText w:val="%6."/>
      <w:lvlJc w:val="right"/>
      <w:pPr>
        <w:ind w:left="4750" w:hanging="180"/>
      </w:pPr>
    </w:lvl>
    <w:lvl w:ilvl="6" w:tplc="0809000F" w:tentative="1">
      <w:start w:val="1"/>
      <w:numFmt w:val="decimal"/>
      <w:lvlText w:val="%7."/>
      <w:lvlJc w:val="left"/>
      <w:pPr>
        <w:ind w:left="5470" w:hanging="360"/>
      </w:pPr>
    </w:lvl>
    <w:lvl w:ilvl="7" w:tplc="08090019" w:tentative="1">
      <w:start w:val="1"/>
      <w:numFmt w:val="lowerLetter"/>
      <w:lvlText w:val="%8."/>
      <w:lvlJc w:val="left"/>
      <w:pPr>
        <w:ind w:left="6190" w:hanging="360"/>
      </w:pPr>
    </w:lvl>
    <w:lvl w:ilvl="8" w:tplc="0809001B" w:tentative="1">
      <w:start w:val="1"/>
      <w:numFmt w:val="lowerRoman"/>
      <w:lvlText w:val="%9."/>
      <w:lvlJc w:val="right"/>
      <w:pPr>
        <w:ind w:left="6910" w:hanging="180"/>
      </w:pPr>
    </w:lvl>
  </w:abstractNum>
  <w:num w:numId="1" w16cid:durableId="1317565630">
    <w:abstractNumId w:val="13"/>
  </w:num>
  <w:num w:numId="2" w16cid:durableId="1365446082">
    <w:abstractNumId w:val="8"/>
  </w:num>
  <w:num w:numId="3" w16cid:durableId="1779058721">
    <w:abstractNumId w:val="24"/>
  </w:num>
  <w:num w:numId="4" w16cid:durableId="50806954">
    <w:abstractNumId w:val="6"/>
  </w:num>
  <w:num w:numId="5" w16cid:durableId="2034647372">
    <w:abstractNumId w:val="0"/>
  </w:num>
  <w:num w:numId="6" w16cid:durableId="836110628">
    <w:abstractNumId w:val="2"/>
  </w:num>
  <w:num w:numId="7" w16cid:durableId="1922257206">
    <w:abstractNumId w:val="23"/>
  </w:num>
  <w:num w:numId="8" w16cid:durableId="986520828">
    <w:abstractNumId w:val="5"/>
  </w:num>
  <w:num w:numId="9" w16cid:durableId="773866303">
    <w:abstractNumId w:val="9"/>
  </w:num>
  <w:num w:numId="10" w16cid:durableId="88477783">
    <w:abstractNumId w:val="18"/>
  </w:num>
  <w:num w:numId="11" w16cid:durableId="1646425550">
    <w:abstractNumId w:val="22"/>
  </w:num>
  <w:num w:numId="12" w16cid:durableId="354498392">
    <w:abstractNumId w:val="14"/>
  </w:num>
  <w:num w:numId="13" w16cid:durableId="264121029">
    <w:abstractNumId w:val="26"/>
  </w:num>
  <w:num w:numId="14" w16cid:durableId="2138333281">
    <w:abstractNumId w:val="11"/>
  </w:num>
  <w:num w:numId="15" w16cid:durableId="1155299763">
    <w:abstractNumId w:val="3"/>
  </w:num>
  <w:num w:numId="16" w16cid:durableId="885678446">
    <w:abstractNumId w:val="1"/>
  </w:num>
  <w:num w:numId="17" w16cid:durableId="587351858">
    <w:abstractNumId w:val="15"/>
  </w:num>
  <w:num w:numId="18" w16cid:durableId="1863087013">
    <w:abstractNumId w:val="7"/>
  </w:num>
  <w:num w:numId="19" w16cid:durableId="1745835525">
    <w:abstractNumId w:val="20"/>
  </w:num>
  <w:num w:numId="20" w16cid:durableId="1872718571">
    <w:abstractNumId w:val="16"/>
  </w:num>
  <w:num w:numId="21" w16cid:durableId="1168134677">
    <w:abstractNumId w:val="17"/>
  </w:num>
  <w:num w:numId="22" w16cid:durableId="850266882">
    <w:abstractNumId w:val="19"/>
  </w:num>
  <w:num w:numId="23" w16cid:durableId="1139565975">
    <w:abstractNumId w:val="12"/>
  </w:num>
  <w:num w:numId="24" w16cid:durableId="1772387168">
    <w:abstractNumId w:val="25"/>
  </w:num>
  <w:num w:numId="25" w16cid:durableId="1372538754">
    <w:abstractNumId w:val="10"/>
  </w:num>
  <w:num w:numId="26" w16cid:durableId="2144613275">
    <w:abstractNumId w:val="4"/>
  </w:num>
  <w:num w:numId="27" w16cid:durableId="753864970">
    <w:abstractNumId w:val="2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activeWritingStyle w:appName="MSWord" w:lang="pt-BR" w:vendorID="64" w:dllVersion="0" w:nlCheck="1" w:checkStyle="0"/>
  <w:activeWritingStyle w:appName="MSWord" w:lang="en-GB" w:vendorID="64" w:dllVersion="0" w:nlCheck="1" w:checkStyle="0"/>
  <w:activeWritingStyle w:appName="MSWord" w:lang="en-US" w:vendorID="64" w:dllVersion="0" w:nlCheck="1" w:checkStyle="0"/>
  <w:activeWritingStyle w:appName="MSWord" w:lang="es-ES" w:vendorID="64" w:dllVersion="0" w:nlCheck="1" w:checkStyle="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evenAndOddHeaders/>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4AE4"/>
    <w:rsid w:val="00001532"/>
    <w:rsid w:val="00001817"/>
    <w:rsid w:val="00001CE3"/>
    <w:rsid w:val="00003663"/>
    <w:rsid w:val="000055D0"/>
    <w:rsid w:val="00006206"/>
    <w:rsid w:val="00006AE8"/>
    <w:rsid w:val="00007EDA"/>
    <w:rsid w:val="00007F7F"/>
    <w:rsid w:val="00010441"/>
    <w:rsid w:val="00010942"/>
    <w:rsid w:val="00012CEE"/>
    <w:rsid w:val="00013402"/>
    <w:rsid w:val="0001381E"/>
    <w:rsid w:val="00014CA6"/>
    <w:rsid w:val="00014DF2"/>
    <w:rsid w:val="00015085"/>
    <w:rsid w:val="000150A7"/>
    <w:rsid w:val="000156E8"/>
    <w:rsid w:val="00015A0F"/>
    <w:rsid w:val="00020482"/>
    <w:rsid w:val="00020691"/>
    <w:rsid w:val="000216FB"/>
    <w:rsid w:val="00021AA9"/>
    <w:rsid w:val="00021F9F"/>
    <w:rsid w:val="000229BB"/>
    <w:rsid w:val="00022CDF"/>
    <w:rsid w:val="00022DB5"/>
    <w:rsid w:val="000231A6"/>
    <w:rsid w:val="00024AE6"/>
    <w:rsid w:val="00024FE9"/>
    <w:rsid w:val="0002606A"/>
    <w:rsid w:val="00026B45"/>
    <w:rsid w:val="000304D5"/>
    <w:rsid w:val="00031967"/>
    <w:rsid w:val="00032180"/>
    <w:rsid w:val="00032CA6"/>
    <w:rsid w:val="00034B34"/>
    <w:rsid w:val="00036F85"/>
    <w:rsid w:val="0003746E"/>
    <w:rsid w:val="00037B3B"/>
    <w:rsid w:val="00037B51"/>
    <w:rsid w:val="000403D1"/>
    <w:rsid w:val="00040690"/>
    <w:rsid w:val="000410F8"/>
    <w:rsid w:val="00041170"/>
    <w:rsid w:val="00041CF9"/>
    <w:rsid w:val="00042553"/>
    <w:rsid w:val="0004286B"/>
    <w:rsid w:val="0004366A"/>
    <w:rsid w:val="00043B4E"/>
    <w:rsid w:val="00044745"/>
    <w:rsid w:val="000449AA"/>
    <w:rsid w:val="00045616"/>
    <w:rsid w:val="00045B0B"/>
    <w:rsid w:val="000462CD"/>
    <w:rsid w:val="00046719"/>
    <w:rsid w:val="00050077"/>
    <w:rsid w:val="00050F6B"/>
    <w:rsid w:val="00051643"/>
    <w:rsid w:val="00052B47"/>
    <w:rsid w:val="00052D93"/>
    <w:rsid w:val="00053A62"/>
    <w:rsid w:val="00054551"/>
    <w:rsid w:val="000551C5"/>
    <w:rsid w:val="00055259"/>
    <w:rsid w:val="0005662A"/>
    <w:rsid w:val="00056911"/>
    <w:rsid w:val="00056C49"/>
    <w:rsid w:val="00056C82"/>
    <w:rsid w:val="00056CDA"/>
    <w:rsid w:val="00057BD7"/>
    <w:rsid w:val="000607E8"/>
    <w:rsid w:val="00062A24"/>
    <w:rsid w:val="00062C9D"/>
    <w:rsid w:val="00063082"/>
    <w:rsid w:val="00064E70"/>
    <w:rsid w:val="000662D8"/>
    <w:rsid w:val="00067802"/>
    <w:rsid w:val="000707D0"/>
    <w:rsid w:val="00070855"/>
    <w:rsid w:val="00070B4F"/>
    <w:rsid w:val="000723D2"/>
    <w:rsid w:val="0007254E"/>
    <w:rsid w:val="00072C8C"/>
    <w:rsid w:val="00073D4C"/>
    <w:rsid w:val="00073E70"/>
    <w:rsid w:val="000775AA"/>
    <w:rsid w:val="00077B46"/>
    <w:rsid w:val="00080124"/>
    <w:rsid w:val="000819F5"/>
    <w:rsid w:val="00082326"/>
    <w:rsid w:val="00082615"/>
    <w:rsid w:val="00083E7F"/>
    <w:rsid w:val="00084787"/>
    <w:rsid w:val="000859DE"/>
    <w:rsid w:val="00086471"/>
    <w:rsid w:val="0008663A"/>
    <w:rsid w:val="0008674A"/>
    <w:rsid w:val="000876EB"/>
    <w:rsid w:val="0008794C"/>
    <w:rsid w:val="000906F4"/>
    <w:rsid w:val="0009080D"/>
    <w:rsid w:val="00091419"/>
    <w:rsid w:val="00092429"/>
    <w:rsid w:val="00092FEE"/>
    <w:rsid w:val="000931C0"/>
    <w:rsid w:val="000941DB"/>
    <w:rsid w:val="000943F6"/>
    <w:rsid w:val="00094E17"/>
    <w:rsid w:val="00095BCF"/>
    <w:rsid w:val="0009610C"/>
    <w:rsid w:val="000A03AE"/>
    <w:rsid w:val="000A0A62"/>
    <w:rsid w:val="000A2E6D"/>
    <w:rsid w:val="000A3968"/>
    <w:rsid w:val="000A3F2F"/>
    <w:rsid w:val="000A4743"/>
    <w:rsid w:val="000A547D"/>
    <w:rsid w:val="000A55EF"/>
    <w:rsid w:val="000A616C"/>
    <w:rsid w:val="000A6933"/>
    <w:rsid w:val="000A7084"/>
    <w:rsid w:val="000B1060"/>
    <w:rsid w:val="000B175B"/>
    <w:rsid w:val="000B18AE"/>
    <w:rsid w:val="000B1F51"/>
    <w:rsid w:val="000B27B3"/>
    <w:rsid w:val="000B2851"/>
    <w:rsid w:val="000B2F62"/>
    <w:rsid w:val="000B3417"/>
    <w:rsid w:val="000B3480"/>
    <w:rsid w:val="000B348F"/>
    <w:rsid w:val="000B3A0F"/>
    <w:rsid w:val="000B4A3B"/>
    <w:rsid w:val="000B4DA3"/>
    <w:rsid w:val="000B5714"/>
    <w:rsid w:val="000B584B"/>
    <w:rsid w:val="000B5FB4"/>
    <w:rsid w:val="000B61CF"/>
    <w:rsid w:val="000B65FB"/>
    <w:rsid w:val="000B6E97"/>
    <w:rsid w:val="000B7980"/>
    <w:rsid w:val="000C09C5"/>
    <w:rsid w:val="000C0AA6"/>
    <w:rsid w:val="000C1C58"/>
    <w:rsid w:val="000C32DF"/>
    <w:rsid w:val="000C33EC"/>
    <w:rsid w:val="000C3F7F"/>
    <w:rsid w:val="000C4087"/>
    <w:rsid w:val="000C485C"/>
    <w:rsid w:val="000C48A9"/>
    <w:rsid w:val="000C59D8"/>
    <w:rsid w:val="000D16A8"/>
    <w:rsid w:val="000D1851"/>
    <w:rsid w:val="000D2637"/>
    <w:rsid w:val="000D26B5"/>
    <w:rsid w:val="000D2EA5"/>
    <w:rsid w:val="000D3731"/>
    <w:rsid w:val="000D39D3"/>
    <w:rsid w:val="000D4930"/>
    <w:rsid w:val="000D77A1"/>
    <w:rsid w:val="000E0415"/>
    <w:rsid w:val="000E0429"/>
    <w:rsid w:val="000E0793"/>
    <w:rsid w:val="000E0834"/>
    <w:rsid w:val="000E2658"/>
    <w:rsid w:val="000E5144"/>
    <w:rsid w:val="000E5490"/>
    <w:rsid w:val="000E5611"/>
    <w:rsid w:val="000E5779"/>
    <w:rsid w:val="000E6661"/>
    <w:rsid w:val="000E6D93"/>
    <w:rsid w:val="000E7F4A"/>
    <w:rsid w:val="000F078F"/>
    <w:rsid w:val="000F192B"/>
    <w:rsid w:val="000F233D"/>
    <w:rsid w:val="000F2A3E"/>
    <w:rsid w:val="000F33B5"/>
    <w:rsid w:val="000F513B"/>
    <w:rsid w:val="000F5DFA"/>
    <w:rsid w:val="000F6397"/>
    <w:rsid w:val="000F6FE8"/>
    <w:rsid w:val="000F791F"/>
    <w:rsid w:val="000F7BAC"/>
    <w:rsid w:val="001008CE"/>
    <w:rsid w:val="00101B7E"/>
    <w:rsid w:val="00102075"/>
    <w:rsid w:val="00103CD4"/>
    <w:rsid w:val="00105E68"/>
    <w:rsid w:val="00106EA3"/>
    <w:rsid w:val="00107E5D"/>
    <w:rsid w:val="00107EE6"/>
    <w:rsid w:val="00110125"/>
    <w:rsid w:val="00110A57"/>
    <w:rsid w:val="00110AEE"/>
    <w:rsid w:val="001112AC"/>
    <w:rsid w:val="00111E76"/>
    <w:rsid w:val="00112691"/>
    <w:rsid w:val="001128E3"/>
    <w:rsid w:val="00112B0B"/>
    <w:rsid w:val="00112EA3"/>
    <w:rsid w:val="00112F21"/>
    <w:rsid w:val="0011381B"/>
    <w:rsid w:val="00113BB7"/>
    <w:rsid w:val="00114F96"/>
    <w:rsid w:val="0011645D"/>
    <w:rsid w:val="00116D6A"/>
    <w:rsid w:val="001210C5"/>
    <w:rsid w:val="001214F5"/>
    <w:rsid w:val="00121C79"/>
    <w:rsid w:val="00124149"/>
    <w:rsid w:val="00125397"/>
    <w:rsid w:val="00125749"/>
    <w:rsid w:val="00126247"/>
    <w:rsid w:val="00126C08"/>
    <w:rsid w:val="00130B09"/>
    <w:rsid w:val="0013159B"/>
    <w:rsid w:val="00131746"/>
    <w:rsid w:val="00131CC0"/>
    <w:rsid w:val="00131DFA"/>
    <w:rsid w:val="001320EE"/>
    <w:rsid w:val="00134906"/>
    <w:rsid w:val="0013662A"/>
    <w:rsid w:val="001369D8"/>
    <w:rsid w:val="00137767"/>
    <w:rsid w:val="00137F30"/>
    <w:rsid w:val="00140B29"/>
    <w:rsid w:val="00141252"/>
    <w:rsid w:val="0014259D"/>
    <w:rsid w:val="0014291F"/>
    <w:rsid w:val="00142B01"/>
    <w:rsid w:val="00144824"/>
    <w:rsid w:val="00146819"/>
    <w:rsid w:val="00146D30"/>
    <w:rsid w:val="00146D32"/>
    <w:rsid w:val="00147284"/>
    <w:rsid w:val="00147738"/>
    <w:rsid w:val="001478B6"/>
    <w:rsid w:val="00147D63"/>
    <w:rsid w:val="001509BA"/>
    <w:rsid w:val="00152656"/>
    <w:rsid w:val="001538F4"/>
    <w:rsid w:val="00153C3A"/>
    <w:rsid w:val="00156B27"/>
    <w:rsid w:val="00156C4D"/>
    <w:rsid w:val="00156F2B"/>
    <w:rsid w:val="001570EF"/>
    <w:rsid w:val="00157883"/>
    <w:rsid w:val="00160209"/>
    <w:rsid w:val="001609AF"/>
    <w:rsid w:val="00160B3D"/>
    <w:rsid w:val="00161399"/>
    <w:rsid w:val="00161C49"/>
    <w:rsid w:val="00161E66"/>
    <w:rsid w:val="00161FDB"/>
    <w:rsid w:val="001625A9"/>
    <w:rsid w:val="0016425C"/>
    <w:rsid w:val="00164BFB"/>
    <w:rsid w:val="001651BD"/>
    <w:rsid w:val="00165FCD"/>
    <w:rsid w:val="00170142"/>
    <w:rsid w:val="0017037B"/>
    <w:rsid w:val="0017054D"/>
    <w:rsid w:val="00171746"/>
    <w:rsid w:val="00171788"/>
    <w:rsid w:val="00171FDF"/>
    <w:rsid w:val="00172636"/>
    <w:rsid w:val="001730B2"/>
    <w:rsid w:val="00174259"/>
    <w:rsid w:val="00174264"/>
    <w:rsid w:val="001750E2"/>
    <w:rsid w:val="001756EF"/>
    <w:rsid w:val="00176A89"/>
    <w:rsid w:val="0017758B"/>
    <w:rsid w:val="001778F6"/>
    <w:rsid w:val="00177A61"/>
    <w:rsid w:val="00182BA9"/>
    <w:rsid w:val="0018331F"/>
    <w:rsid w:val="001834DB"/>
    <w:rsid w:val="001853CC"/>
    <w:rsid w:val="001860FD"/>
    <w:rsid w:val="001868FB"/>
    <w:rsid w:val="00187853"/>
    <w:rsid w:val="0019001E"/>
    <w:rsid w:val="00190399"/>
    <w:rsid w:val="001909A0"/>
    <w:rsid w:val="00191470"/>
    <w:rsid w:val="00192E50"/>
    <w:rsid w:val="00193975"/>
    <w:rsid w:val="00193B05"/>
    <w:rsid w:val="0019459E"/>
    <w:rsid w:val="00195908"/>
    <w:rsid w:val="00195953"/>
    <w:rsid w:val="001970A2"/>
    <w:rsid w:val="001A245B"/>
    <w:rsid w:val="001A26E3"/>
    <w:rsid w:val="001A2BFD"/>
    <w:rsid w:val="001A44F7"/>
    <w:rsid w:val="001A47D1"/>
    <w:rsid w:val="001A619F"/>
    <w:rsid w:val="001A68B8"/>
    <w:rsid w:val="001A6FEA"/>
    <w:rsid w:val="001B2A05"/>
    <w:rsid w:val="001B3481"/>
    <w:rsid w:val="001B4361"/>
    <w:rsid w:val="001B4B04"/>
    <w:rsid w:val="001B5C9F"/>
    <w:rsid w:val="001B63D3"/>
    <w:rsid w:val="001B6D0C"/>
    <w:rsid w:val="001B70F9"/>
    <w:rsid w:val="001C00E5"/>
    <w:rsid w:val="001C026A"/>
    <w:rsid w:val="001C11E9"/>
    <w:rsid w:val="001C1932"/>
    <w:rsid w:val="001C26DB"/>
    <w:rsid w:val="001C2B0D"/>
    <w:rsid w:val="001C3E4C"/>
    <w:rsid w:val="001C531E"/>
    <w:rsid w:val="001C6663"/>
    <w:rsid w:val="001C7895"/>
    <w:rsid w:val="001D0341"/>
    <w:rsid w:val="001D1FE0"/>
    <w:rsid w:val="001D2181"/>
    <w:rsid w:val="001D225F"/>
    <w:rsid w:val="001D26DF"/>
    <w:rsid w:val="001D2B85"/>
    <w:rsid w:val="001D3D6D"/>
    <w:rsid w:val="001D46D3"/>
    <w:rsid w:val="001D46F3"/>
    <w:rsid w:val="001D5166"/>
    <w:rsid w:val="001D587C"/>
    <w:rsid w:val="001D5C64"/>
    <w:rsid w:val="001D64A3"/>
    <w:rsid w:val="001E0EF1"/>
    <w:rsid w:val="001E2482"/>
    <w:rsid w:val="001E2496"/>
    <w:rsid w:val="001E2790"/>
    <w:rsid w:val="001E4504"/>
    <w:rsid w:val="001E4E84"/>
    <w:rsid w:val="001E538C"/>
    <w:rsid w:val="001E5C22"/>
    <w:rsid w:val="001E5C48"/>
    <w:rsid w:val="001E662B"/>
    <w:rsid w:val="001E6B87"/>
    <w:rsid w:val="001F0C8F"/>
    <w:rsid w:val="001F1160"/>
    <w:rsid w:val="001F1359"/>
    <w:rsid w:val="001F13AE"/>
    <w:rsid w:val="001F22AF"/>
    <w:rsid w:val="001F40A7"/>
    <w:rsid w:val="001F699D"/>
    <w:rsid w:val="001F7233"/>
    <w:rsid w:val="001F7B74"/>
    <w:rsid w:val="001F7BAD"/>
    <w:rsid w:val="00200534"/>
    <w:rsid w:val="002014BE"/>
    <w:rsid w:val="00203361"/>
    <w:rsid w:val="0020598F"/>
    <w:rsid w:val="00205AC8"/>
    <w:rsid w:val="002078E2"/>
    <w:rsid w:val="00210050"/>
    <w:rsid w:val="0021066A"/>
    <w:rsid w:val="00210D06"/>
    <w:rsid w:val="002114AF"/>
    <w:rsid w:val="0021172C"/>
    <w:rsid w:val="00211CDC"/>
    <w:rsid w:val="00211E0B"/>
    <w:rsid w:val="00211E72"/>
    <w:rsid w:val="00213E71"/>
    <w:rsid w:val="00214047"/>
    <w:rsid w:val="00216C04"/>
    <w:rsid w:val="00217BD9"/>
    <w:rsid w:val="00220A09"/>
    <w:rsid w:val="00220D75"/>
    <w:rsid w:val="0022130F"/>
    <w:rsid w:val="002213F5"/>
    <w:rsid w:val="00222F30"/>
    <w:rsid w:val="00223D78"/>
    <w:rsid w:val="00224382"/>
    <w:rsid w:val="0022475D"/>
    <w:rsid w:val="002251D5"/>
    <w:rsid w:val="00225B7B"/>
    <w:rsid w:val="00226E56"/>
    <w:rsid w:val="00226FC4"/>
    <w:rsid w:val="00231245"/>
    <w:rsid w:val="00232D5E"/>
    <w:rsid w:val="002330CE"/>
    <w:rsid w:val="00234F01"/>
    <w:rsid w:val="002350FF"/>
    <w:rsid w:val="002372FF"/>
    <w:rsid w:val="00237785"/>
    <w:rsid w:val="00237ADA"/>
    <w:rsid w:val="00237FA8"/>
    <w:rsid w:val="0024066D"/>
    <w:rsid w:val="00240801"/>
    <w:rsid w:val="002410DD"/>
    <w:rsid w:val="00241466"/>
    <w:rsid w:val="00241DC9"/>
    <w:rsid w:val="00242136"/>
    <w:rsid w:val="002430C9"/>
    <w:rsid w:val="00243D25"/>
    <w:rsid w:val="00244CAB"/>
    <w:rsid w:val="00244D21"/>
    <w:rsid w:val="00244EB2"/>
    <w:rsid w:val="0024684D"/>
    <w:rsid w:val="00247030"/>
    <w:rsid w:val="00247664"/>
    <w:rsid w:val="00247B79"/>
    <w:rsid w:val="00247E74"/>
    <w:rsid w:val="0025011A"/>
    <w:rsid w:val="0025091B"/>
    <w:rsid w:val="002511E7"/>
    <w:rsid w:val="00251652"/>
    <w:rsid w:val="00251F25"/>
    <w:rsid w:val="0025229D"/>
    <w:rsid w:val="0025262A"/>
    <w:rsid w:val="00253D58"/>
    <w:rsid w:val="00253DB7"/>
    <w:rsid w:val="00253E27"/>
    <w:rsid w:val="002540EA"/>
    <w:rsid w:val="00254A83"/>
    <w:rsid w:val="00256F62"/>
    <w:rsid w:val="00257EEE"/>
    <w:rsid w:val="002605A4"/>
    <w:rsid w:val="00261445"/>
    <w:rsid w:val="00261C90"/>
    <w:rsid w:val="002640A7"/>
    <w:rsid w:val="00264B97"/>
    <w:rsid w:val="00264D6A"/>
    <w:rsid w:val="00265184"/>
    <w:rsid w:val="002653B1"/>
    <w:rsid w:val="002671F2"/>
    <w:rsid w:val="002704CE"/>
    <w:rsid w:val="00270992"/>
    <w:rsid w:val="00270F25"/>
    <w:rsid w:val="0027208B"/>
    <w:rsid w:val="00272551"/>
    <w:rsid w:val="002725D4"/>
    <w:rsid w:val="0027289C"/>
    <w:rsid w:val="00273346"/>
    <w:rsid w:val="002736E9"/>
    <w:rsid w:val="00273CB7"/>
    <w:rsid w:val="00273DAA"/>
    <w:rsid w:val="00274342"/>
    <w:rsid w:val="00274EAA"/>
    <w:rsid w:val="00275E8E"/>
    <w:rsid w:val="0027725F"/>
    <w:rsid w:val="00277FCD"/>
    <w:rsid w:val="00280C47"/>
    <w:rsid w:val="002818A0"/>
    <w:rsid w:val="00282833"/>
    <w:rsid w:val="002829C4"/>
    <w:rsid w:val="002834B7"/>
    <w:rsid w:val="00283C5F"/>
    <w:rsid w:val="00283E10"/>
    <w:rsid w:val="0028435D"/>
    <w:rsid w:val="00284944"/>
    <w:rsid w:val="00284C7B"/>
    <w:rsid w:val="00284DC2"/>
    <w:rsid w:val="00286740"/>
    <w:rsid w:val="002874DE"/>
    <w:rsid w:val="0028796A"/>
    <w:rsid w:val="00290554"/>
    <w:rsid w:val="00290C1A"/>
    <w:rsid w:val="002914F2"/>
    <w:rsid w:val="0029154E"/>
    <w:rsid w:val="0029162C"/>
    <w:rsid w:val="00292914"/>
    <w:rsid w:val="002938B7"/>
    <w:rsid w:val="00293DD9"/>
    <w:rsid w:val="00296415"/>
    <w:rsid w:val="002972BF"/>
    <w:rsid w:val="002A073D"/>
    <w:rsid w:val="002A2488"/>
    <w:rsid w:val="002A4EBD"/>
    <w:rsid w:val="002A7BAB"/>
    <w:rsid w:val="002A7D15"/>
    <w:rsid w:val="002B03E0"/>
    <w:rsid w:val="002B0849"/>
    <w:rsid w:val="002B08D2"/>
    <w:rsid w:val="002B09FE"/>
    <w:rsid w:val="002B14BA"/>
    <w:rsid w:val="002B1B60"/>
    <w:rsid w:val="002B24C6"/>
    <w:rsid w:val="002B5B5C"/>
    <w:rsid w:val="002B6256"/>
    <w:rsid w:val="002B690E"/>
    <w:rsid w:val="002B69A1"/>
    <w:rsid w:val="002C00DB"/>
    <w:rsid w:val="002C0541"/>
    <w:rsid w:val="002C0D5C"/>
    <w:rsid w:val="002C11E9"/>
    <w:rsid w:val="002C168C"/>
    <w:rsid w:val="002C21F0"/>
    <w:rsid w:val="002C4172"/>
    <w:rsid w:val="002C4688"/>
    <w:rsid w:val="002C4AA2"/>
    <w:rsid w:val="002C4C4C"/>
    <w:rsid w:val="002C5D82"/>
    <w:rsid w:val="002C709E"/>
    <w:rsid w:val="002C72AA"/>
    <w:rsid w:val="002C7473"/>
    <w:rsid w:val="002D07E3"/>
    <w:rsid w:val="002D1F99"/>
    <w:rsid w:val="002D2390"/>
    <w:rsid w:val="002D30FA"/>
    <w:rsid w:val="002D3120"/>
    <w:rsid w:val="002D370B"/>
    <w:rsid w:val="002D3A56"/>
    <w:rsid w:val="002D6300"/>
    <w:rsid w:val="002D70F0"/>
    <w:rsid w:val="002E0027"/>
    <w:rsid w:val="002E1074"/>
    <w:rsid w:val="002E125F"/>
    <w:rsid w:val="002E1BC1"/>
    <w:rsid w:val="002E2CF7"/>
    <w:rsid w:val="002E3FF9"/>
    <w:rsid w:val="002E4335"/>
    <w:rsid w:val="002E5BA8"/>
    <w:rsid w:val="002E5C79"/>
    <w:rsid w:val="002E62D0"/>
    <w:rsid w:val="002E6CF5"/>
    <w:rsid w:val="002F10B0"/>
    <w:rsid w:val="002F3069"/>
    <w:rsid w:val="002F36D9"/>
    <w:rsid w:val="002F48F8"/>
    <w:rsid w:val="002F4A4E"/>
    <w:rsid w:val="002F5A41"/>
    <w:rsid w:val="002F614E"/>
    <w:rsid w:val="002F6BCC"/>
    <w:rsid w:val="00300CCD"/>
    <w:rsid w:val="003012FC"/>
    <w:rsid w:val="0030173E"/>
    <w:rsid w:val="0030370B"/>
    <w:rsid w:val="00303D6C"/>
    <w:rsid w:val="00303FFB"/>
    <w:rsid w:val="00304741"/>
    <w:rsid w:val="00306DBC"/>
    <w:rsid w:val="0030788B"/>
    <w:rsid w:val="003107FA"/>
    <w:rsid w:val="00310A18"/>
    <w:rsid w:val="00310AEE"/>
    <w:rsid w:val="00311BB4"/>
    <w:rsid w:val="00312399"/>
    <w:rsid w:val="003128CD"/>
    <w:rsid w:val="0031338B"/>
    <w:rsid w:val="00315702"/>
    <w:rsid w:val="00315F9B"/>
    <w:rsid w:val="00316ECD"/>
    <w:rsid w:val="00317A2B"/>
    <w:rsid w:val="00317F9A"/>
    <w:rsid w:val="00320626"/>
    <w:rsid w:val="003219AA"/>
    <w:rsid w:val="003223C8"/>
    <w:rsid w:val="003229D8"/>
    <w:rsid w:val="00323D68"/>
    <w:rsid w:val="00323F91"/>
    <w:rsid w:val="00323FA0"/>
    <w:rsid w:val="0032401A"/>
    <w:rsid w:val="003308CE"/>
    <w:rsid w:val="003314D1"/>
    <w:rsid w:val="00332612"/>
    <w:rsid w:val="003326DF"/>
    <w:rsid w:val="00332DAD"/>
    <w:rsid w:val="00333A3B"/>
    <w:rsid w:val="00334AE4"/>
    <w:rsid w:val="00335A2F"/>
    <w:rsid w:val="00335B30"/>
    <w:rsid w:val="00335F51"/>
    <w:rsid w:val="00336E77"/>
    <w:rsid w:val="003379C6"/>
    <w:rsid w:val="003404B7"/>
    <w:rsid w:val="00340AA7"/>
    <w:rsid w:val="00341615"/>
    <w:rsid w:val="00341937"/>
    <w:rsid w:val="003424B4"/>
    <w:rsid w:val="00342DFE"/>
    <w:rsid w:val="0034386A"/>
    <w:rsid w:val="00345BF1"/>
    <w:rsid w:val="0034657F"/>
    <w:rsid w:val="00346C02"/>
    <w:rsid w:val="003505BB"/>
    <w:rsid w:val="00351822"/>
    <w:rsid w:val="003530FE"/>
    <w:rsid w:val="00353F09"/>
    <w:rsid w:val="00354F0A"/>
    <w:rsid w:val="00355D67"/>
    <w:rsid w:val="00357F6D"/>
    <w:rsid w:val="00362B0B"/>
    <w:rsid w:val="00364374"/>
    <w:rsid w:val="00365443"/>
    <w:rsid w:val="00365B00"/>
    <w:rsid w:val="00366BA0"/>
    <w:rsid w:val="003703A4"/>
    <w:rsid w:val="00370542"/>
    <w:rsid w:val="00371B17"/>
    <w:rsid w:val="00371F14"/>
    <w:rsid w:val="003729B3"/>
    <w:rsid w:val="00372E8A"/>
    <w:rsid w:val="00374003"/>
    <w:rsid w:val="003748B0"/>
    <w:rsid w:val="00376136"/>
    <w:rsid w:val="00376A6D"/>
    <w:rsid w:val="00376CA5"/>
    <w:rsid w:val="0037726B"/>
    <w:rsid w:val="003802D0"/>
    <w:rsid w:val="003805D9"/>
    <w:rsid w:val="0038063B"/>
    <w:rsid w:val="00380B11"/>
    <w:rsid w:val="00380B69"/>
    <w:rsid w:val="00381BF1"/>
    <w:rsid w:val="00381C1B"/>
    <w:rsid w:val="00383271"/>
    <w:rsid w:val="0038389C"/>
    <w:rsid w:val="0038447C"/>
    <w:rsid w:val="00384690"/>
    <w:rsid w:val="00386309"/>
    <w:rsid w:val="003866FE"/>
    <w:rsid w:val="00386DFC"/>
    <w:rsid w:val="00387138"/>
    <w:rsid w:val="003871F3"/>
    <w:rsid w:val="003876E6"/>
    <w:rsid w:val="003878D9"/>
    <w:rsid w:val="003906F3"/>
    <w:rsid w:val="003910F5"/>
    <w:rsid w:val="003914AA"/>
    <w:rsid w:val="003917DF"/>
    <w:rsid w:val="00391929"/>
    <w:rsid w:val="0039277A"/>
    <w:rsid w:val="00392EBB"/>
    <w:rsid w:val="003935A5"/>
    <w:rsid w:val="00393A07"/>
    <w:rsid w:val="003944B4"/>
    <w:rsid w:val="0039497E"/>
    <w:rsid w:val="00394DE1"/>
    <w:rsid w:val="003953FE"/>
    <w:rsid w:val="00395C76"/>
    <w:rsid w:val="00395FE0"/>
    <w:rsid w:val="003964EF"/>
    <w:rsid w:val="003972BF"/>
    <w:rsid w:val="003972E0"/>
    <w:rsid w:val="003975ED"/>
    <w:rsid w:val="00397BE4"/>
    <w:rsid w:val="003A1ADF"/>
    <w:rsid w:val="003A23DA"/>
    <w:rsid w:val="003A2BE9"/>
    <w:rsid w:val="003A2E24"/>
    <w:rsid w:val="003A2EAD"/>
    <w:rsid w:val="003A2F29"/>
    <w:rsid w:val="003A34A1"/>
    <w:rsid w:val="003A3817"/>
    <w:rsid w:val="003A4582"/>
    <w:rsid w:val="003A574E"/>
    <w:rsid w:val="003A6F36"/>
    <w:rsid w:val="003A740A"/>
    <w:rsid w:val="003A7985"/>
    <w:rsid w:val="003A7BEE"/>
    <w:rsid w:val="003B0663"/>
    <w:rsid w:val="003B0E56"/>
    <w:rsid w:val="003B1F14"/>
    <w:rsid w:val="003B3171"/>
    <w:rsid w:val="003B3BF5"/>
    <w:rsid w:val="003B3ED3"/>
    <w:rsid w:val="003B446D"/>
    <w:rsid w:val="003B5B02"/>
    <w:rsid w:val="003B6200"/>
    <w:rsid w:val="003B6D58"/>
    <w:rsid w:val="003B705D"/>
    <w:rsid w:val="003C01ED"/>
    <w:rsid w:val="003C11E6"/>
    <w:rsid w:val="003C28C4"/>
    <w:rsid w:val="003C2CC4"/>
    <w:rsid w:val="003C31F6"/>
    <w:rsid w:val="003C3806"/>
    <w:rsid w:val="003C3912"/>
    <w:rsid w:val="003C3EE1"/>
    <w:rsid w:val="003C3F42"/>
    <w:rsid w:val="003D0266"/>
    <w:rsid w:val="003D060C"/>
    <w:rsid w:val="003D13BB"/>
    <w:rsid w:val="003D1A08"/>
    <w:rsid w:val="003D1D33"/>
    <w:rsid w:val="003D1E8F"/>
    <w:rsid w:val="003D1F22"/>
    <w:rsid w:val="003D211E"/>
    <w:rsid w:val="003D347C"/>
    <w:rsid w:val="003D4B23"/>
    <w:rsid w:val="003D527F"/>
    <w:rsid w:val="003D7124"/>
    <w:rsid w:val="003E03CA"/>
    <w:rsid w:val="003E1BB0"/>
    <w:rsid w:val="003E2268"/>
    <w:rsid w:val="003E4EF9"/>
    <w:rsid w:val="003E67CC"/>
    <w:rsid w:val="003E7BB9"/>
    <w:rsid w:val="003F05AA"/>
    <w:rsid w:val="003F0A6E"/>
    <w:rsid w:val="003F0F84"/>
    <w:rsid w:val="003F15C0"/>
    <w:rsid w:val="003F29ED"/>
    <w:rsid w:val="003F3735"/>
    <w:rsid w:val="003F4F55"/>
    <w:rsid w:val="003F5701"/>
    <w:rsid w:val="003F7683"/>
    <w:rsid w:val="00403263"/>
    <w:rsid w:val="0040350E"/>
    <w:rsid w:val="004043CC"/>
    <w:rsid w:val="00404571"/>
    <w:rsid w:val="00404DF4"/>
    <w:rsid w:val="00405D18"/>
    <w:rsid w:val="00406950"/>
    <w:rsid w:val="00407161"/>
    <w:rsid w:val="004076B9"/>
    <w:rsid w:val="00407DCE"/>
    <w:rsid w:val="00407EDC"/>
    <w:rsid w:val="00410B46"/>
    <w:rsid w:val="00410C6E"/>
    <w:rsid w:val="00412228"/>
    <w:rsid w:val="00414C43"/>
    <w:rsid w:val="00415229"/>
    <w:rsid w:val="00415B93"/>
    <w:rsid w:val="00415C1A"/>
    <w:rsid w:val="00415C47"/>
    <w:rsid w:val="00415E9D"/>
    <w:rsid w:val="004161AF"/>
    <w:rsid w:val="004164D3"/>
    <w:rsid w:val="004167B3"/>
    <w:rsid w:val="0041701E"/>
    <w:rsid w:val="00417444"/>
    <w:rsid w:val="00417BE2"/>
    <w:rsid w:val="00417E22"/>
    <w:rsid w:val="004212F7"/>
    <w:rsid w:val="00423F6C"/>
    <w:rsid w:val="0042446F"/>
    <w:rsid w:val="004245A8"/>
    <w:rsid w:val="00424C80"/>
    <w:rsid w:val="00425464"/>
    <w:rsid w:val="004272D5"/>
    <w:rsid w:val="00427CAC"/>
    <w:rsid w:val="004312CD"/>
    <w:rsid w:val="00432035"/>
    <w:rsid w:val="004325CB"/>
    <w:rsid w:val="00432A53"/>
    <w:rsid w:val="004334B5"/>
    <w:rsid w:val="00434414"/>
    <w:rsid w:val="00434561"/>
    <w:rsid w:val="0043505B"/>
    <w:rsid w:val="004358FD"/>
    <w:rsid w:val="004359D6"/>
    <w:rsid w:val="004366FD"/>
    <w:rsid w:val="00436ED5"/>
    <w:rsid w:val="0043742E"/>
    <w:rsid w:val="0044031E"/>
    <w:rsid w:val="00440604"/>
    <w:rsid w:val="00440959"/>
    <w:rsid w:val="00441ACA"/>
    <w:rsid w:val="00441D40"/>
    <w:rsid w:val="00442780"/>
    <w:rsid w:val="0044294C"/>
    <w:rsid w:val="00444844"/>
    <w:rsid w:val="0044503A"/>
    <w:rsid w:val="00445FFF"/>
    <w:rsid w:val="00446DE4"/>
    <w:rsid w:val="0044705A"/>
    <w:rsid w:val="00447761"/>
    <w:rsid w:val="00450412"/>
    <w:rsid w:val="00451EC3"/>
    <w:rsid w:val="004568F4"/>
    <w:rsid w:val="00456EC7"/>
    <w:rsid w:val="00462256"/>
    <w:rsid w:val="00462906"/>
    <w:rsid w:val="00464989"/>
    <w:rsid w:val="0046758D"/>
    <w:rsid w:val="0047086F"/>
    <w:rsid w:val="004719DB"/>
    <w:rsid w:val="004721B1"/>
    <w:rsid w:val="0047283F"/>
    <w:rsid w:val="00472D02"/>
    <w:rsid w:val="00475AA5"/>
    <w:rsid w:val="004763A0"/>
    <w:rsid w:val="004777DF"/>
    <w:rsid w:val="00477CA9"/>
    <w:rsid w:val="00480076"/>
    <w:rsid w:val="0048072A"/>
    <w:rsid w:val="00480A45"/>
    <w:rsid w:val="00481052"/>
    <w:rsid w:val="004822C4"/>
    <w:rsid w:val="0048266C"/>
    <w:rsid w:val="00482BAF"/>
    <w:rsid w:val="00482D79"/>
    <w:rsid w:val="0048317A"/>
    <w:rsid w:val="0048343A"/>
    <w:rsid w:val="004835DD"/>
    <w:rsid w:val="004836CD"/>
    <w:rsid w:val="004838A0"/>
    <w:rsid w:val="00483C40"/>
    <w:rsid w:val="00485327"/>
    <w:rsid w:val="004859EC"/>
    <w:rsid w:val="00485B2C"/>
    <w:rsid w:val="00485D4F"/>
    <w:rsid w:val="00486CF5"/>
    <w:rsid w:val="0048735D"/>
    <w:rsid w:val="004873A9"/>
    <w:rsid w:val="00490718"/>
    <w:rsid w:val="00492A7A"/>
    <w:rsid w:val="004932C2"/>
    <w:rsid w:val="00493A9D"/>
    <w:rsid w:val="00493FFC"/>
    <w:rsid w:val="0049404D"/>
    <w:rsid w:val="004944D3"/>
    <w:rsid w:val="00495113"/>
    <w:rsid w:val="00495CFB"/>
    <w:rsid w:val="00496A15"/>
    <w:rsid w:val="00496E7C"/>
    <w:rsid w:val="00496E86"/>
    <w:rsid w:val="00497EA1"/>
    <w:rsid w:val="004A052D"/>
    <w:rsid w:val="004A0943"/>
    <w:rsid w:val="004A1047"/>
    <w:rsid w:val="004A17A0"/>
    <w:rsid w:val="004A264B"/>
    <w:rsid w:val="004A4B1B"/>
    <w:rsid w:val="004A4B64"/>
    <w:rsid w:val="004A4CDF"/>
    <w:rsid w:val="004A4F04"/>
    <w:rsid w:val="004A52B0"/>
    <w:rsid w:val="004A5907"/>
    <w:rsid w:val="004A5914"/>
    <w:rsid w:val="004A6270"/>
    <w:rsid w:val="004A725E"/>
    <w:rsid w:val="004A79CF"/>
    <w:rsid w:val="004A7A2A"/>
    <w:rsid w:val="004A7D10"/>
    <w:rsid w:val="004A7E40"/>
    <w:rsid w:val="004B0A84"/>
    <w:rsid w:val="004B1AB4"/>
    <w:rsid w:val="004B2F5B"/>
    <w:rsid w:val="004B3001"/>
    <w:rsid w:val="004B301A"/>
    <w:rsid w:val="004B355A"/>
    <w:rsid w:val="004B3D7B"/>
    <w:rsid w:val="004B6991"/>
    <w:rsid w:val="004B7027"/>
    <w:rsid w:val="004B75D2"/>
    <w:rsid w:val="004B7741"/>
    <w:rsid w:val="004B7855"/>
    <w:rsid w:val="004B7B31"/>
    <w:rsid w:val="004C18D7"/>
    <w:rsid w:val="004C2AFA"/>
    <w:rsid w:val="004C2F07"/>
    <w:rsid w:val="004C4BA0"/>
    <w:rsid w:val="004C569F"/>
    <w:rsid w:val="004C728D"/>
    <w:rsid w:val="004D027E"/>
    <w:rsid w:val="004D0B5A"/>
    <w:rsid w:val="004D1140"/>
    <w:rsid w:val="004D16BB"/>
    <w:rsid w:val="004D2A75"/>
    <w:rsid w:val="004D2F6D"/>
    <w:rsid w:val="004D33D3"/>
    <w:rsid w:val="004D4671"/>
    <w:rsid w:val="004D54CB"/>
    <w:rsid w:val="004D54F6"/>
    <w:rsid w:val="004D66A9"/>
    <w:rsid w:val="004D6DBE"/>
    <w:rsid w:val="004E0288"/>
    <w:rsid w:val="004E22FB"/>
    <w:rsid w:val="004E3467"/>
    <w:rsid w:val="004E38C7"/>
    <w:rsid w:val="004E4913"/>
    <w:rsid w:val="004E4B7C"/>
    <w:rsid w:val="004E5017"/>
    <w:rsid w:val="004E596F"/>
    <w:rsid w:val="004E5F6E"/>
    <w:rsid w:val="004F0EB7"/>
    <w:rsid w:val="004F0ED0"/>
    <w:rsid w:val="004F1C51"/>
    <w:rsid w:val="004F3020"/>
    <w:rsid w:val="004F4A2C"/>
    <w:rsid w:val="004F55ED"/>
    <w:rsid w:val="004F5D9B"/>
    <w:rsid w:val="004F616B"/>
    <w:rsid w:val="004F63B6"/>
    <w:rsid w:val="004F7454"/>
    <w:rsid w:val="00501EF7"/>
    <w:rsid w:val="00501FF2"/>
    <w:rsid w:val="00502102"/>
    <w:rsid w:val="005023D6"/>
    <w:rsid w:val="00503CD8"/>
    <w:rsid w:val="00503F6D"/>
    <w:rsid w:val="00505189"/>
    <w:rsid w:val="00505DB1"/>
    <w:rsid w:val="005069E3"/>
    <w:rsid w:val="005111FC"/>
    <w:rsid w:val="005117DD"/>
    <w:rsid w:val="0051186F"/>
    <w:rsid w:val="00512074"/>
    <w:rsid w:val="00512433"/>
    <w:rsid w:val="005126D4"/>
    <w:rsid w:val="00514727"/>
    <w:rsid w:val="0051610A"/>
    <w:rsid w:val="00516472"/>
    <w:rsid w:val="00516866"/>
    <w:rsid w:val="00516D61"/>
    <w:rsid w:val="005202B5"/>
    <w:rsid w:val="0052066C"/>
    <w:rsid w:val="00520773"/>
    <w:rsid w:val="005215E1"/>
    <w:rsid w:val="0052176C"/>
    <w:rsid w:val="00521918"/>
    <w:rsid w:val="00522A7D"/>
    <w:rsid w:val="0052321C"/>
    <w:rsid w:val="00524F61"/>
    <w:rsid w:val="00525109"/>
    <w:rsid w:val="00525907"/>
    <w:rsid w:val="00525CC6"/>
    <w:rsid w:val="00525D51"/>
    <w:rsid w:val="005261E5"/>
    <w:rsid w:val="00526551"/>
    <w:rsid w:val="005273DF"/>
    <w:rsid w:val="0052794E"/>
    <w:rsid w:val="00527BE7"/>
    <w:rsid w:val="005301E7"/>
    <w:rsid w:val="005308CA"/>
    <w:rsid w:val="00530B76"/>
    <w:rsid w:val="00530EA8"/>
    <w:rsid w:val="00531627"/>
    <w:rsid w:val="00532EF3"/>
    <w:rsid w:val="0053303C"/>
    <w:rsid w:val="0053572B"/>
    <w:rsid w:val="00535AF5"/>
    <w:rsid w:val="00537532"/>
    <w:rsid w:val="00537DBB"/>
    <w:rsid w:val="00540F7A"/>
    <w:rsid w:val="005420F2"/>
    <w:rsid w:val="00542574"/>
    <w:rsid w:val="005436AB"/>
    <w:rsid w:val="0054461D"/>
    <w:rsid w:val="00544B41"/>
    <w:rsid w:val="00546924"/>
    <w:rsid w:val="00546DBF"/>
    <w:rsid w:val="005470CF"/>
    <w:rsid w:val="00547D84"/>
    <w:rsid w:val="00550062"/>
    <w:rsid w:val="0055156F"/>
    <w:rsid w:val="00552DAC"/>
    <w:rsid w:val="0055322C"/>
    <w:rsid w:val="00553D76"/>
    <w:rsid w:val="005552B5"/>
    <w:rsid w:val="00555397"/>
    <w:rsid w:val="00557559"/>
    <w:rsid w:val="005605D3"/>
    <w:rsid w:val="0056117B"/>
    <w:rsid w:val="005617C2"/>
    <w:rsid w:val="00562094"/>
    <w:rsid w:val="00562382"/>
    <w:rsid w:val="005623ED"/>
    <w:rsid w:val="005624C8"/>
    <w:rsid w:val="00562621"/>
    <w:rsid w:val="005642EE"/>
    <w:rsid w:val="005644DD"/>
    <w:rsid w:val="0056463D"/>
    <w:rsid w:val="00564E89"/>
    <w:rsid w:val="00565785"/>
    <w:rsid w:val="00565934"/>
    <w:rsid w:val="0056595C"/>
    <w:rsid w:val="00566D16"/>
    <w:rsid w:val="00567E32"/>
    <w:rsid w:val="00567FE9"/>
    <w:rsid w:val="005712C2"/>
    <w:rsid w:val="00571365"/>
    <w:rsid w:val="0057204F"/>
    <w:rsid w:val="00572599"/>
    <w:rsid w:val="00572E2E"/>
    <w:rsid w:val="0057376B"/>
    <w:rsid w:val="00574B3A"/>
    <w:rsid w:val="0057500D"/>
    <w:rsid w:val="0057661A"/>
    <w:rsid w:val="00576867"/>
    <w:rsid w:val="005773B1"/>
    <w:rsid w:val="00577739"/>
    <w:rsid w:val="00581C20"/>
    <w:rsid w:val="00582887"/>
    <w:rsid w:val="005829EB"/>
    <w:rsid w:val="00584DB2"/>
    <w:rsid w:val="00585281"/>
    <w:rsid w:val="005856E2"/>
    <w:rsid w:val="00586B2B"/>
    <w:rsid w:val="0059134F"/>
    <w:rsid w:val="005929D4"/>
    <w:rsid w:val="00596EB2"/>
    <w:rsid w:val="005A0E16"/>
    <w:rsid w:val="005A26B9"/>
    <w:rsid w:val="005A2CD1"/>
    <w:rsid w:val="005A3248"/>
    <w:rsid w:val="005A3D1F"/>
    <w:rsid w:val="005A6E52"/>
    <w:rsid w:val="005A7CCC"/>
    <w:rsid w:val="005B0795"/>
    <w:rsid w:val="005B0813"/>
    <w:rsid w:val="005B148E"/>
    <w:rsid w:val="005B1B5E"/>
    <w:rsid w:val="005B1DD4"/>
    <w:rsid w:val="005B2392"/>
    <w:rsid w:val="005B2640"/>
    <w:rsid w:val="005B390A"/>
    <w:rsid w:val="005B3DB3"/>
    <w:rsid w:val="005B4099"/>
    <w:rsid w:val="005B50AD"/>
    <w:rsid w:val="005B57E8"/>
    <w:rsid w:val="005B63F7"/>
    <w:rsid w:val="005B6A36"/>
    <w:rsid w:val="005B6E48"/>
    <w:rsid w:val="005B76E4"/>
    <w:rsid w:val="005C0DEC"/>
    <w:rsid w:val="005C15A3"/>
    <w:rsid w:val="005C2A64"/>
    <w:rsid w:val="005C2B01"/>
    <w:rsid w:val="005C4152"/>
    <w:rsid w:val="005C41EB"/>
    <w:rsid w:val="005C423D"/>
    <w:rsid w:val="005C5F1A"/>
    <w:rsid w:val="005C6538"/>
    <w:rsid w:val="005C6566"/>
    <w:rsid w:val="005C7527"/>
    <w:rsid w:val="005D02E8"/>
    <w:rsid w:val="005D208F"/>
    <w:rsid w:val="005D3DA3"/>
    <w:rsid w:val="005D3E20"/>
    <w:rsid w:val="005D475B"/>
    <w:rsid w:val="005D53BE"/>
    <w:rsid w:val="005D64E2"/>
    <w:rsid w:val="005D66DF"/>
    <w:rsid w:val="005D730C"/>
    <w:rsid w:val="005D7519"/>
    <w:rsid w:val="005E0309"/>
    <w:rsid w:val="005E0F23"/>
    <w:rsid w:val="005E1712"/>
    <w:rsid w:val="005E1F82"/>
    <w:rsid w:val="005E291D"/>
    <w:rsid w:val="005E2E7F"/>
    <w:rsid w:val="005E42A9"/>
    <w:rsid w:val="005E4C20"/>
    <w:rsid w:val="005E6098"/>
    <w:rsid w:val="005E60BA"/>
    <w:rsid w:val="005E6481"/>
    <w:rsid w:val="005E674B"/>
    <w:rsid w:val="005E677D"/>
    <w:rsid w:val="005E6BDA"/>
    <w:rsid w:val="005F024F"/>
    <w:rsid w:val="005F1187"/>
    <w:rsid w:val="005F1C9D"/>
    <w:rsid w:val="005F2A94"/>
    <w:rsid w:val="005F2EF6"/>
    <w:rsid w:val="005F3DC5"/>
    <w:rsid w:val="005F4675"/>
    <w:rsid w:val="005F6ECD"/>
    <w:rsid w:val="005F79EF"/>
    <w:rsid w:val="005F7E95"/>
    <w:rsid w:val="0060029C"/>
    <w:rsid w:val="00600A78"/>
    <w:rsid w:val="00601C7E"/>
    <w:rsid w:val="0060275F"/>
    <w:rsid w:val="00602C39"/>
    <w:rsid w:val="00604DE7"/>
    <w:rsid w:val="00605120"/>
    <w:rsid w:val="00606017"/>
    <w:rsid w:val="00606079"/>
    <w:rsid w:val="00606D33"/>
    <w:rsid w:val="0060741F"/>
    <w:rsid w:val="00607555"/>
    <w:rsid w:val="00607D83"/>
    <w:rsid w:val="006101A3"/>
    <w:rsid w:val="00610D9B"/>
    <w:rsid w:val="00611FC4"/>
    <w:rsid w:val="00612D2B"/>
    <w:rsid w:val="00613BDF"/>
    <w:rsid w:val="00614B82"/>
    <w:rsid w:val="00614E28"/>
    <w:rsid w:val="0061522C"/>
    <w:rsid w:val="0061684F"/>
    <w:rsid w:val="00616AF8"/>
    <w:rsid w:val="006176FB"/>
    <w:rsid w:val="00617FAB"/>
    <w:rsid w:val="00620721"/>
    <w:rsid w:val="006229C2"/>
    <w:rsid w:val="0062334D"/>
    <w:rsid w:val="00623BDD"/>
    <w:rsid w:val="00625251"/>
    <w:rsid w:val="0062552B"/>
    <w:rsid w:val="006261E9"/>
    <w:rsid w:val="00626C6D"/>
    <w:rsid w:val="0063241D"/>
    <w:rsid w:val="00632E18"/>
    <w:rsid w:val="006330C9"/>
    <w:rsid w:val="0063367A"/>
    <w:rsid w:val="00635914"/>
    <w:rsid w:val="00635AA3"/>
    <w:rsid w:val="0063694E"/>
    <w:rsid w:val="00636D8B"/>
    <w:rsid w:val="00637FC1"/>
    <w:rsid w:val="0064017F"/>
    <w:rsid w:val="006409BE"/>
    <w:rsid w:val="00640B26"/>
    <w:rsid w:val="0064205F"/>
    <w:rsid w:val="00642AA3"/>
    <w:rsid w:val="00644434"/>
    <w:rsid w:val="006447D1"/>
    <w:rsid w:val="00645065"/>
    <w:rsid w:val="00646931"/>
    <w:rsid w:val="00646E8E"/>
    <w:rsid w:val="006500F6"/>
    <w:rsid w:val="00650983"/>
    <w:rsid w:val="00651BDF"/>
    <w:rsid w:val="00651EAD"/>
    <w:rsid w:val="006525C1"/>
    <w:rsid w:val="00653280"/>
    <w:rsid w:val="0065344C"/>
    <w:rsid w:val="0065359E"/>
    <w:rsid w:val="00654335"/>
    <w:rsid w:val="00654376"/>
    <w:rsid w:val="00655B60"/>
    <w:rsid w:val="00663059"/>
    <w:rsid w:val="00663D00"/>
    <w:rsid w:val="00663E33"/>
    <w:rsid w:val="00663EC7"/>
    <w:rsid w:val="00664954"/>
    <w:rsid w:val="006658C8"/>
    <w:rsid w:val="00665EB2"/>
    <w:rsid w:val="00667449"/>
    <w:rsid w:val="006706E3"/>
    <w:rsid w:val="00670741"/>
    <w:rsid w:val="006710A2"/>
    <w:rsid w:val="00672A5D"/>
    <w:rsid w:val="00672C5B"/>
    <w:rsid w:val="00674F3E"/>
    <w:rsid w:val="0067599C"/>
    <w:rsid w:val="00676751"/>
    <w:rsid w:val="00676CB8"/>
    <w:rsid w:val="00680680"/>
    <w:rsid w:val="00681680"/>
    <w:rsid w:val="00681AEC"/>
    <w:rsid w:val="0068242E"/>
    <w:rsid w:val="00682CFC"/>
    <w:rsid w:val="006831BA"/>
    <w:rsid w:val="0068383D"/>
    <w:rsid w:val="00683EC7"/>
    <w:rsid w:val="00684C93"/>
    <w:rsid w:val="00685702"/>
    <w:rsid w:val="0068652D"/>
    <w:rsid w:val="0068654E"/>
    <w:rsid w:val="00690480"/>
    <w:rsid w:val="006917B9"/>
    <w:rsid w:val="00691807"/>
    <w:rsid w:val="00692D97"/>
    <w:rsid w:val="00694B0D"/>
    <w:rsid w:val="00695B8C"/>
    <w:rsid w:val="00696B28"/>
    <w:rsid w:val="00696BD6"/>
    <w:rsid w:val="00697BD0"/>
    <w:rsid w:val="006A1E7D"/>
    <w:rsid w:val="006A1F38"/>
    <w:rsid w:val="006A232E"/>
    <w:rsid w:val="006A3E74"/>
    <w:rsid w:val="006A6141"/>
    <w:rsid w:val="006A67C5"/>
    <w:rsid w:val="006A6B9D"/>
    <w:rsid w:val="006A6D3D"/>
    <w:rsid w:val="006A7374"/>
    <w:rsid w:val="006A7392"/>
    <w:rsid w:val="006A788E"/>
    <w:rsid w:val="006B3189"/>
    <w:rsid w:val="006B6491"/>
    <w:rsid w:val="006B7D65"/>
    <w:rsid w:val="006C0EC3"/>
    <w:rsid w:val="006C18DC"/>
    <w:rsid w:val="006C2A97"/>
    <w:rsid w:val="006C2AA6"/>
    <w:rsid w:val="006C2DD1"/>
    <w:rsid w:val="006C463C"/>
    <w:rsid w:val="006C5217"/>
    <w:rsid w:val="006C5A00"/>
    <w:rsid w:val="006C6773"/>
    <w:rsid w:val="006C750E"/>
    <w:rsid w:val="006C7D63"/>
    <w:rsid w:val="006D0BDE"/>
    <w:rsid w:val="006D0D11"/>
    <w:rsid w:val="006D318D"/>
    <w:rsid w:val="006D4C1B"/>
    <w:rsid w:val="006D64F1"/>
    <w:rsid w:val="006D6C8D"/>
    <w:rsid w:val="006D6DA6"/>
    <w:rsid w:val="006D73AD"/>
    <w:rsid w:val="006D7DCF"/>
    <w:rsid w:val="006E1078"/>
    <w:rsid w:val="006E1BBA"/>
    <w:rsid w:val="006E2197"/>
    <w:rsid w:val="006E2C7C"/>
    <w:rsid w:val="006E379F"/>
    <w:rsid w:val="006E4728"/>
    <w:rsid w:val="006E4980"/>
    <w:rsid w:val="006E4D99"/>
    <w:rsid w:val="006E564B"/>
    <w:rsid w:val="006E5C08"/>
    <w:rsid w:val="006E7341"/>
    <w:rsid w:val="006F0F54"/>
    <w:rsid w:val="006F13F0"/>
    <w:rsid w:val="006F1447"/>
    <w:rsid w:val="006F2E35"/>
    <w:rsid w:val="006F308C"/>
    <w:rsid w:val="006F3454"/>
    <w:rsid w:val="006F45AD"/>
    <w:rsid w:val="006F5035"/>
    <w:rsid w:val="006F5942"/>
    <w:rsid w:val="006F5E61"/>
    <w:rsid w:val="006F6590"/>
    <w:rsid w:val="006F7EEF"/>
    <w:rsid w:val="00701DD1"/>
    <w:rsid w:val="0070225F"/>
    <w:rsid w:val="00702781"/>
    <w:rsid w:val="0070284E"/>
    <w:rsid w:val="00702F8E"/>
    <w:rsid w:val="00703152"/>
    <w:rsid w:val="00703591"/>
    <w:rsid w:val="00705BC1"/>
    <w:rsid w:val="00705F62"/>
    <w:rsid w:val="00706172"/>
    <w:rsid w:val="007065EB"/>
    <w:rsid w:val="00706A5E"/>
    <w:rsid w:val="0070706C"/>
    <w:rsid w:val="00707F82"/>
    <w:rsid w:val="007107A6"/>
    <w:rsid w:val="00712409"/>
    <w:rsid w:val="0071256C"/>
    <w:rsid w:val="00712788"/>
    <w:rsid w:val="007139B9"/>
    <w:rsid w:val="00713CB6"/>
    <w:rsid w:val="00713D5B"/>
    <w:rsid w:val="00714540"/>
    <w:rsid w:val="00715F36"/>
    <w:rsid w:val="00720183"/>
    <w:rsid w:val="0072038E"/>
    <w:rsid w:val="00722055"/>
    <w:rsid w:val="0072289E"/>
    <w:rsid w:val="00723AEE"/>
    <w:rsid w:val="0072438A"/>
    <w:rsid w:val="007245E1"/>
    <w:rsid w:val="0072464D"/>
    <w:rsid w:val="00724AD7"/>
    <w:rsid w:val="0072632A"/>
    <w:rsid w:val="00726369"/>
    <w:rsid w:val="0072665F"/>
    <w:rsid w:val="00726C16"/>
    <w:rsid w:val="00726FD1"/>
    <w:rsid w:val="00727093"/>
    <w:rsid w:val="00730146"/>
    <w:rsid w:val="007301A6"/>
    <w:rsid w:val="007310D0"/>
    <w:rsid w:val="00732D42"/>
    <w:rsid w:val="0073324E"/>
    <w:rsid w:val="007347CC"/>
    <w:rsid w:val="007363CF"/>
    <w:rsid w:val="00737902"/>
    <w:rsid w:val="007412F6"/>
    <w:rsid w:val="0074200B"/>
    <w:rsid w:val="00744F55"/>
    <w:rsid w:val="007452E4"/>
    <w:rsid w:val="0074535A"/>
    <w:rsid w:val="0074559F"/>
    <w:rsid w:val="00746868"/>
    <w:rsid w:val="007469FC"/>
    <w:rsid w:val="00746B3C"/>
    <w:rsid w:val="007500FF"/>
    <w:rsid w:val="00751572"/>
    <w:rsid w:val="00754259"/>
    <w:rsid w:val="007547B1"/>
    <w:rsid w:val="007547D9"/>
    <w:rsid w:val="00754E87"/>
    <w:rsid w:val="00755436"/>
    <w:rsid w:val="00755AA1"/>
    <w:rsid w:val="00755E85"/>
    <w:rsid w:val="00755F4A"/>
    <w:rsid w:val="007563FD"/>
    <w:rsid w:val="007570F0"/>
    <w:rsid w:val="00760A23"/>
    <w:rsid w:val="00761268"/>
    <w:rsid w:val="00761CFA"/>
    <w:rsid w:val="00762110"/>
    <w:rsid w:val="00762243"/>
    <w:rsid w:val="00765D55"/>
    <w:rsid w:val="00766435"/>
    <w:rsid w:val="00766EC8"/>
    <w:rsid w:val="00767FDC"/>
    <w:rsid w:val="007703F4"/>
    <w:rsid w:val="00771175"/>
    <w:rsid w:val="00771960"/>
    <w:rsid w:val="00771D2E"/>
    <w:rsid w:val="00771FB6"/>
    <w:rsid w:val="00772A1B"/>
    <w:rsid w:val="00772AF1"/>
    <w:rsid w:val="00773701"/>
    <w:rsid w:val="0077414E"/>
    <w:rsid w:val="007741C4"/>
    <w:rsid w:val="00774725"/>
    <w:rsid w:val="00774BCF"/>
    <w:rsid w:val="0077512C"/>
    <w:rsid w:val="0077527F"/>
    <w:rsid w:val="007754F7"/>
    <w:rsid w:val="00777139"/>
    <w:rsid w:val="00777371"/>
    <w:rsid w:val="00780A36"/>
    <w:rsid w:val="00780EF7"/>
    <w:rsid w:val="0078137A"/>
    <w:rsid w:val="0078182D"/>
    <w:rsid w:val="007823DE"/>
    <w:rsid w:val="00782E03"/>
    <w:rsid w:val="00783962"/>
    <w:rsid w:val="007842D1"/>
    <w:rsid w:val="007842F4"/>
    <w:rsid w:val="00785E5F"/>
    <w:rsid w:val="00787196"/>
    <w:rsid w:val="007907EC"/>
    <w:rsid w:val="00792294"/>
    <w:rsid w:val="00792BB3"/>
    <w:rsid w:val="00792EAB"/>
    <w:rsid w:val="0079408C"/>
    <w:rsid w:val="00794235"/>
    <w:rsid w:val="00796BA5"/>
    <w:rsid w:val="00796EBB"/>
    <w:rsid w:val="0079709C"/>
    <w:rsid w:val="00797ED2"/>
    <w:rsid w:val="007A064D"/>
    <w:rsid w:val="007A0DDB"/>
    <w:rsid w:val="007A22D6"/>
    <w:rsid w:val="007A308E"/>
    <w:rsid w:val="007A3DF5"/>
    <w:rsid w:val="007A56AC"/>
    <w:rsid w:val="007A616B"/>
    <w:rsid w:val="007A6296"/>
    <w:rsid w:val="007A6998"/>
    <w:rsid w:val="007A79E4"/>
    <w:rsid w:val="007A79E5"/>
    <w:rsid w:val="007A7CA0"/>
    <w:rsid w:val="007B014B"/>
    <w:rsid w:val="007B13D2"/>
    <w:rsid w:val="007B1D99"/>
    <w:rsid w:val="007B1E56"/>
    <w:rsid w:val="007B320A"/>
    <w:rsid w:val="007B4C05"/>
    <w:rsid w:val="007B58D6"/>
    <w:rsid w:val="007B6BA5"/>
    <w:rsid w:val="007B77CB"/>
    <w:rsid w:val="007C04AB"/>
    <w:rsid w:val="007C0FD6"/>
    <w:rsid w:val="007C195B"/>
    <w:rsid w:val="007C1B62"/>
    <w:rsid w:val="007C249E"/>
    <w:rsid w:val="007C3390"/>
    <w:rsid w:val="007C4F4B"/>
    <w:rsid w:val="007C4FB3"/>
    <w:rsid w:val="007C5AF3"/>
    <w:rsid w:val="007C5CFA"/>
    <w:rsid w:val="007C5FC4"/>
    <w:rsid w:val="007C6052"/>
    <w:rsid w:val="007C6ECD"/>
    <w:rsid w:val="007D1273"/>
    <w:rsid w:val="007D13D6"/>
    <w:rsid w:val="007D19D1"/>
    <w:rsid w:val="007D1F8A"/>
    <w:rsid w:val="007D245C"/>
    <w:rsid w:val="007D2575"/>
    <w:rsid w:val="007D2CDC"/>
    <w:rsid w:val="007D2F79"/>
    <w:rsid w:val="007D33A9"/>
    <w:rsid w:val="007D4567"/>
    <w:rsid w:val="007D5327"/>
    <w:rsid w:val="007D6478"/>
    <w:rsid w:val="007D727E"/>
    <w:rsid w:val="007D7783"/>
    <w:rsid w:val="007E09D6"/>
    <w:rsid w:val="007E105A"/>
    <w:rsid w:val="007E1719"/>
    <w:rsid w:val="007E1AA2"/>
    <w:rsid w:val="007E1B43"/>
    <w:rsid w:val="007E29A4"/>
    <w:rsid w:val="007E330D"/>
    <w:rsid w:val="007E34D3"/>
    <w:rsid w:val="007E4266"/>
    <w:rsid w:val="007E46A7"/>
    <w:rsid w:val="007E477D"/>
    <w:rsid w:val="007E59E5"/>
    <w:rsid w:val="007E65C2"/>
    <w:rsid w:val="007E6A55"/>
    <w:rsid w:val="007E6C62"/>
    <w:rsid w:val="007E71C6"/>
    <w:rsid w:val="007E7693"/>
    <w:rsid w:val="007E7D37"/>
    <w:rsid w:val="007E7DC3"/>
    <w:rsid w:val="007E7FF1"/>
    <w:rsid w:val="007F10D1"/>
    <w:rsid w:val="007F1211"/>
    <w:rsid w:val="007F180F"/>
    <w:rsid w:val="007F4E74"/>
    <w:rsid w:val="007F6611"/>
    <w:rsid w:val="007F6785"/>
    <w:rsid w:val="007F6CC7"/>
    <w:rsid w:val="007F7F25"/>
    <w:rsid w:val="0080046D"/>
    <w:rsid w:val="008012AF"/>
    <w:rsid w:val="008039B4"/>
    <w:rsid w:val="00804D3A"/>
    <w:rsid w:val="00804DF6"/>
    <w:rsid w:val="008055D2"/>
    <w:rsid w:val="00805F78"/>
    <w:rsid w:val="00806DD4"/>
    <w:rsid w:val="008111E3"/>
    <w:rsid w:val="00811D1A"/>
    <w:rsid w:val="008123BD"/>
    <w:rsid w:val="0081350D"/>
    <w:rsid w:val="00813704"/>
    <w:rsid w:val="00813DE1"/>
    <w:rsid w:val="00813E04"/>
    <w:rsid w:val="0081426E"/>
    <w:rsid w:val="008142A7"/>
    <w:rsid w:val="008151BD"/>
    <w:rsid w:val="0081521A"/>
    <w:rsid w:val="008155C3"/>
    <w:rsid w:val="00815CDF"/>
    <w:rsid w:val="0081755F"/>
    <w:rsid w:val="008175E9"/>
    <w:rsid w:val="0082052D"/>
    <w:rsid w:val="008206EC"/>
    <w:rsid w:val="00821228"/>
    <w:rsid w:val="0082124F"/>
    <w:rsid w:val="0082243E"/>
    <w:rsid w:val="008242D7"/>
    <w:rsid w:val="0082470A"/>
    <w:rsid w:val="008252E5"/>
    <w:rsid w:val="00825895"/>
    <w:rsid w:val="0082611D"/>
    <w:rsid w:val="008268CB"/>
    <w:rsid w:val="00826E15"/>
    <w:rsid w:val="00826E17"/>
    <w:rsid w:val="0082776C"/>
    <w:rsid w:val="0083030D"/>
    <w:rsid w:val="00830ABD"/>
    <w:rsid w:val="00830AD1"/>
    <w:rsid w:val="0083194F"/>
    <w:rsid w:val="00831993"/>
    <w:rsid w:val="0083310F"/>
    <w:rsid w:val="00833AAA"/>
    <w:rsid w:val="00834558"/>
    <w:rsid w:val="00835AC9"/>
    <w:rsid w:val="00836D0B"/>
    <w:rsid w:val="008372B9"/>
    <w:rsid w:val="0084054D"/>
    <w:rsid w:val="008427B9"/>
    <w:rsid w:val="00843932"/>
    <w:rsid w:val="00844C38"/>
    <w:rsid w:val="00845FC3"/>
    <w:rsid w:val="00846141"/>
    <w:rsid w:val="008467ED"/>
    <w:rsid w:val="00846CD8"/>
    <w:rsid w:val="00850393"/>
    <w:rsid w:val="00850A1B"/>
    <w:rsid w:val="00850C4D"/>
    <w:rsid w:val="00850CA6"/>
    <w:rsid w:val="00852A04"/>
    <w:rsid w:val="00852E5B"/>
    <w:rsid w:val="00853050"/>
    <w:rsid w:val="0085391A"/>
    <w:rsid w:val="008546F8"/>
    <w:rsid w:val="0085543E"/>
    <w:rsid w:val="00856CD2"/>
    <w:rsid w:val="00856D86"/>
    <w:rsid w:val="008579C0"/>
    <w:rsid w:val="008579E7"/>
    <w:rsid w:val="008579F6"/>
    <w:rsid w:val="00857E0E"/>
    <w:rsid w:val="00860A6D"/>
    <w:rsid w:val="00861B8E"/>
    <w:rsid w:val="00861BC6"/>
    <w:rsid w:val="0086344A"/>
    <w:rsid w:val="00864FF0"/>
    <w:rsid w:val="00865107"/>
    <w:rsid w:val="00865BCF"/>
    <w:rsid w:val="008669FA"/>
    <w:rsid w:val="00867687"/>
    <w:rsid w:val="008709FD"/>
    <w:rsid w:val="00871D8D"/>
    <w:rsid w:val="00871FD5"/>
    <w:rsid w:val="00872D51"/>
    <w:rsid w:val="008745A1"/>
    <w:rsid w:val="00874D20"/>
    <w:rsid w:val="0087561A"/>
    <w:rsid w:val="00875D4B"/>
    <w:rsid w:val="008764AF"/>
    <w:rsid w:val="00876A85"/>
    <w:rsid w:val="00881AE9"/>
    <w:rsid w:val="00882B59"/>
    <w:rsid w:val="00883E26"/>
    <w:rsid w:val="00883EB6"/>
    <w:rsid w:val="0088470A"/>
    <w:rsid w:val="008847BB"/>
    <w:rsid w:val="00885123"/>
    <w:rsid w:val="008860DE"/>
    <w:rsid w:val="00886A8F"/>
    <w:rsid w:val="00886F0E"/>
    <w:rsid w:val="00887146"/>
    <w:rsid w:val="00887520"/>
    <w:rsid w:val="00887AF8"/>
    <w:rsid w:val="00890204"/>
    <w:rsid w:val="00890FE0"/>
    <w:rsid w:val="00891BD3"/>
    <w:rsid w:val="008936A4"/>
    <w:rsid w:val="008945C3"/>
    <w:rsid w:val="00894BFC"/>
    <w:rsid w:val="00894C2A"/>
    <w:rsid w:val="00895572"/>
    <w:rsid w:val="008956E4"/>
    <w:rsid w:val="008979B1"/>
    <w:rsid w:val="008A01A8"/>
    <w:rsid w:val="008A076C"/>
    <w:rsid w:val="008A18F3"/>
    <w:rsid w:val="008A1D20"/>
    <w:rsid w:val="008A2183"/>
    <w:rsid w:val="008A25A3"/>
    <w:rsid w:val="008A2ECD"/>
    <w:rsid w:val="008A37B9"/>
    <w:rsid w:val="008A3F9D"/>
    <w:rsid w:val="008A47E6"/>
    <w:rsid w:val="008A497B"/>
    <w:rsid w:val="008A5652"/>
    <w:rsid w:val="008A5B8D"/>
    <w:rsid w:val="008A5F7A"/>
    <w:rsid w:val="008A6B25"/>
    <w:rsid w:val="008A6C4F"/>
    <w:rsid w:val="008A6EDF"/>
    <w:rsid w:val="008A7129"/>
    <w:rsid w:val="008A73B2"/>
    <w:rsid w:val="008A747E"/>
    <w:rsid w:val="008A7E3B"/>
    <w:rsid w:val="008B10CF"/>
    <w:rsid w:val="008B1A29"/>
    <w:rsid w:val="008B1E62"/>
    <w:rsid w:val="008B5AC7"/>
    <w:rsid w:val="008B5DBD"/>
    <w:rsid w:val="008B6DB5"/>
    <w:rsid w:val="008C09FE"/>
    <w:rsid w:val="008C0AA8"/>
    <w:rsid w:val="008C1209"/>
    <w:rsid w:val="008C1AEA"/>
    <w:rsid w:val="008C1E4D"/>
    <w:rsid w:val="008C226E"/>
    <w:rsid w:val="008C2313"/>
    <w:rsid w:val="008C27DB"/>
    <w:rsid w:val="008C28D1"/>
    <w:rsid w:val="008C29E4"/>
    <w:rsid w:val="008C418B"/>
    <w:rsid w:val="008C4958"/>
    <w:rsid w:val="008C5316"/>
    <w:rsid w:val="008C5F75"/>
    <w:rsid w:val="008C60B4"/>
    <w:rsid w:val="008C7359"/>
    <w:rsid w:val="008C795B"/>
    <w:rsid w:val="008C7B85"/>
    <w:rsid w:val="008C7EE8"/>
    <w:rsid w:val="008D1467"/>
    <w:rsid w:val="008D2843"/>
    <w:rsid w:val="008D2894"/>
    <w:rsid w:val="008D4316"/>
    <w:rsid w:val="008D61FB"/>
    <w:rsid w:val="008D6550"/>
    <w:rsid w:val="008D7517"/>
    <w:rsid w:val="008E0E46"/>
    <w:rsid w:val="008E2325"/>
    <w:rsid w:val="008E3892"/>
    <w:rsid w:val="008E56F9"/>
    <w:rsid w:val="008E75DC"/>
    <w:rsid w:val="008E7600"/>
    <w:rsid w:val="008E7633"/>
    <w:rsid w:val="008F1326"/>
    <w:rsid w:val="008F221B"/>
    <w:rsid w:val="008F4AA5"/>
    <w:rsid w:val="008F4F59"/>
    <w:rsid w:val="008F4F86"/>
    <w:rsid w:val="008F5DF7"/>
    <w:rsid w:val="008F614A"/>
    <w:rsid w:val="008F70B9"/>
    <w:rsid w:val="009029D2"/>
    <w:rsid w:val="00903AA5"/>
    <w:rsid w:val="0090452C"/>
    <w:rsid w:val="00905F14"/>
    <w:rsid w:val="0090606F"/>
    <w:rsid w:val="00906073"/>
    <w:rsid w:val="00906C15"/>
    <w:rsid w:val="00907C3F"/>
    <w:rsid w:val="00910822"/>
    <w:rsid w:val="00911464"/>
    <w:rsid w:val="00911CF5"/>
    <w:rsid w:val="00911F6B"/>
    <w:rsid w:val="00912875"/>
    <w:rsid w:val="00914FD3"/>
    <w:rsid w:val="0091799A"/>
    <w:rsid w:val="00920DE8"/>
    <w:rsid w:val="0092237C"/>
    <w:rsid w:val="00922D29"/>
    <w:rsid w:val="009239CF"/>
    <w:rsid w:val="0092427C"/>
    <w:rsid w:val="00924A30"/>
    <w:rsid w:val="009254B1"/>
    <w:rsid w:val="0092572A"/>
    <w:rsid w:val="009257AE"/>
    <w:rsid w:val="00926225"/>
    <w:rsid w:val="009268A6"/>
    <w:rsid w:val="0092699B"/>
    <w:rsid w:val="00927779"/>
    <w:rsid w:val="00930229"/>
    <w:rsid w:val="00930476"/>
    <w:rsid w:val="00930DF7"/>
    <w:rsid w:val="009311F5"/>
    <w:rsid w:val="009313BE"/>
    <w:rsid w:val="00931757"/>
    <w:rsid w:val="0093253C"/>
    <w:rsid w:val="00936E90"/>
    <w:rsid w:val="0093707B"/>
    <w:rsid w:val="009373AB"/>
    <w:rsid w:val="009400EB"/>
    <w:rsid w:val="00940573"/>
    <w:rsid w:val="0094168E"/>
    <w:rsid w:val="009427E3"/>
    <w:rsid w:val="00942D2A"/>
    <w:rsid w:val="00943E3C"/>
    <w:rsid w:val="00943FE5"/>
    <w:rsid w:val="00944BEE"/>
    <w:rsid w:val="009457F0"/>
    <w:rsid w:val="00945980"/>
    <w:rsid w:val="00945C07"/>
    <w:rsid w:val="00945D06"/>
    <w:rsid w:val="00946575"/>
    <w:rsid w:val="00951BF5"/>
    <w:rsid w:val="00953A4C"/>
    <w:rsid w:val="009563DE"/>
    <w:rsid w:val="00956D9B"/>
    <w:rsid w:val="00960481"/>
    <w:rsid w:val="009609C9"/>
    <w:rsid w:val="0096215C"/>
    <w:rsid w:val="00962DBF"/>
    <w:rsid w:val="00962DF8"/>
    <w:rsid w:val="0096327A"/>
    <w:rsid w:val="0096389F"/>
    <w:rsid w:val="00963CBA"/>
    <w:rsid w:val="009654B7"/>
    <w:rsid w:val="009659FF"/>
    <w:rsid w:val="009664AB"/>
    <w:rsid w:val="00966789"/>
    <w:rsid w:val="00966D67"/>
    <w:rsid w:val="00970563"/>
    <w:rsid w:val="00970B4C"/>
    <w:rsid w:val="00972112"/>
    <w:rsid w:val="00973C0A"/>
    <w:rsid w:val="00973D7A"/>
    <w:rsid w:val="00974B20"/>
    <w:rsid w:val="0097713A"/>
    <w:rsid w:val="00977490"/>
    <w:rsid w:val="00977B65"/>
    <w:rsid w:val="00980BB8"/>
    <w:rsid w:val="00980D77"/>
    <w:rsid w:val="009828BF"/>
    <w:rsid w:val="00983AA5"/>
    <w:rsid w:val="00984446"/>
    <w:rsid w:val="00985E14"/>
    <w:rsid w:val="009865AA"/>
    <w:rsid w:val="00986818"/>
    <w:rsid w:val="009869E3"/>
    <w:rsid w:val="00987EE3"/>
    <w:rsid w:val="00991261"/>
    <w:rsid w:val="0099173C"/>
    <w:rsid w:val="00992B62"/>
    <w:rsid w:val="00992F2E"/>
    <w:rsid w:val="00993553"/>
    <w:rsid w:val="00994ADF"/>
    <w:rsid w:val="009970BF"/>
    <w:rsid w:val="00997123"/>
    <w:rsid w:val="009A0811"/>
    <w:rsid w:val="009A0B83"/>
    <w:rsid w:val="009A23FF"/>
    <w:rsid w:val="009A3904"/>
    <w:rsid w:val="009A3979"/>
    <w:rsid w:val="009A4D72"/>
    <w:rsid w:val="009A58CA"/>
    <w:rsid w:val="009A628E"/>
    <w:rsid w:val="009A65AB"/>
    <w:rsid w:val="009A72C4"/>
    <w:rsid w:val="009B00DF"/>
    <w:rsid w:val="009B20D3"/>
    <w:rsid w:val="009B2153"/>
    <w:rsid w:val="009B26FE"/>
    <w:rsid w:val="009B3800"/>
    <w:rsid w:val="009B4A4B"/>
    <w:rsid w:val="009B533E"/>
    <w:rsid w:val="009B7CCE"/>
    <w:rsid w:val="009C12B4"/>
    <w:rsid w:val="009C158A"/>
    <w:rsid w:val="009C18E3"/>
    <w:rsid w:val="009C1F1A"/>
    <w:rsid w:val="009C37DB"/>
    <w:rsid w:val="009C44BB"/>
    <w:rsid w:val="009C60D3"/>
    <w:rsid w:val="009C620E"/>
    <w:rsid w:val="009C6E98"/>
    <w:rsid w:val="009C7693"/>
    <w:rsid w:val="009C7ACF"/>
    <w:rsid w:val="009C7B67"/>
    <w:rsid w:val="009D04DC"/>
    <w:rsid w:val="009D22AC"/>
    <w:rsid w:val="009D3556"/>
    <w:rsid w:val="009D402D"/>
    <w:rsid w:val="009D4B12"/>
    <w:rsid w:val="009D50DB"/>
    <w:rsid w:val="009D5432"/>
    <w:rsid w:val="009D6A54"/>
    <w:rsid w:val="009D77FD"/>
    <w:rsid w:val="009E013C"/>
    <w:rsid w:val="009E0CA0"/>
    <w:rsid w:val="009E1C4E"/>
    <w:rsid w:val="009E21EE"/>
    <w:rsid w:val="009E22A0"/>
    <w:rsid w:val="009E3AF7"/>
    <w:rsid w:val="009E477E"/>
    <w:rsid w:val="009E58CC"/>
    <w:rsid w:val="009E58E7"/>
    <w:rsid w:val="009E68D8"/>
    <w:rsid w:val="009E6DF9"/>
    <w:rsid w:val="009F09B8"/>
    <w:rsid w:val="009F0B62"/>
    <w:rsid w:val="009F1EAF"/>
    <w:rsid w:val="009F20E5"/>
    <w:rsid w:val="009F36FB"/>
    <w:rsid w:val="009F46EB"/>
    <w:rsid w:val="009F4745"/>
    <w:rsid w:val="009F47DB"/>
    <w:rsid w:val="009F4E87"/>
    <w:rsid w:val="00A0036A"/>
    <w:rsid w:val="00A01A70"/>
    <w:rsid w:val="00A0206D"/>
    <w:rsid w:val="00A03A88"/>
    <w:rsid w:val="00A0496C"/>
    <w:rsid w:val="00A052E5"/>
    <w:rsid w:val="00A0590E"/>
    <w:rsid w:val="00A05E0B"/>
    <w:rsid w:val="00A108BE"/>
    <w:rsid w:val="00A10B3D"/>
    <w:rsid w:val="00A10E51"/>
    <w:rsid w:val="00A1107C"/>
    <w:rsid w:val="00A116ED"/>
    <w:rsid w:val="00A123E8"/>
    <w:rsid w:val="00A12815"/>
    <w:rsid w:val="00A12DC8"/>
    <w:rsid w:val="00A13022"/>
    <w:rsid w:val="00A1427D"/>
    <w:rsid w:val="00A15751"/>
    <w:rsid w:val="00A174F5"/>
    <w:rsid w:val="00A20851"/>
    <w:rsid w:val="00A20DB1"/>
    <w:rsid w:val="00A20E8E"/>
    <w:rsid w:val="00A21542"/>
    <w:rsid w:val="00A223B4"/>
    <w:rsid w:val="00A23C66"/>
    <w:rsid w:val="00A24BB6"/>
    <w:rsid w:val="00A25E23"/>
    <w:rsid w:val="00A2623B"/>
    <w:rsid w:val="00A26550"/>
    <w:rsid w:val="00A27DA1"/>
    <w:rsid w:val="00A30880"/>
    <w:rsid w:val="00A31872"/>
    <w:rsid w:val="00A33E7F"/>
    <w:rsid w:val="00A33FEF"/>
    <w:rsid w:val="00A355D9"/>
    <w:rsid w:val="00A36135"/>
    <w:rsid w:val="00A365EC"/>
    <w:rsid w:val="00A3713D"/>
    <w:rsid w:val="00A37938"/>
    <w:rsid w:val="00A4128F"/>
    <w:rsid w:val="00A429B8"/>
    <w:rsid w:val="00A4491B"/>
    <w:rsid w:val="00A45F30"/>
    <w:rsid w:val="00A4634F"/>
    <w:rsid w:val="00A466A7"/>
    <w:rsid w:val="00A46E1F"/>
    <w:rsid w:val="00A4716E"/>
    <w:rsid w:val="00A47847"/>
    <w:rsid w:val="00A50E3B"/>
    <w:rsid w:val="00A5102D"/>
    <w:rsid w:val="00A510FE"/>
    <w:rsid w:val="00A51257"/>
    <w:rsid w:val="00A5179C"/>
    <w:rsid w:val="00A51968"/>
    <w:rsid w:val="00A51B5E"/>
    <w:rsid w:val="00A51CF3"/>
    <w:rsid w:val="00A52DEA"/>
    <w:rsid w:val="00A52E93"/>
    <w:rsid w:val="00A546CF"/>
    <w:rsid w:val="00A54FB0"/>
    <w:rsid w:val="00A552D9"/>
    <w:rsid w:val="00A55D2B"/>
    <w:rsid w:val="00A5785C"/>
    <w:rsid w:val="00A614D7"/>
    <w:rsid w:val="00A61AF7"/>
    <w:rsid w:val="00A62FCD"/>
    <w:rsid w:val="00A6346A"/>
    <w:rsid w:val="00A63638"/>
    <w:rsid w:val="00A63A6E"/>
    <w:rsid w:val="00A63CD4"/>
    <w:rsid w:val="00A64090"/>
    <w:rsid w:val="00A64336"/>
    <w:rsid w:val="00A648FC"/>
    <w:rsid w:val="00A64D21"/>
    <w:rsid w:val="00A65341"/>
    <w:rsid w:val="00A6789B"/>
    <w:rsid w:val="00A7063D"/>
    <w:rsid w:val="00A708CE"/>
    <w:rsid w:val="00A71169"/>
    <w:rsid w:val="00A71F11"/>
    <w:rsid w:val="00A72F22"/>
    <w:rsid w:val="00A73D32"/>
    <w:rsid w:val="00A748A6"/>
    <w:rsid w:val="00A75573"/>
    <w:rsid w:val="00A77EF7"/>
    <w:rsid w:val="00A8171C"/>
    <w:rsid w:val="00A82457"/>
    <w:rsid w:val="00A82C48"/>
    <w:rsid w:val="00A83924"/>
    <w:rsid w:val="00A8424F"/>
    <w:rsid w:val="00A8473C"/>
    <w:rsid w:val="00A84794"/>
    <w:rsid w:val="00A852C8"/>
    <w:rsid w:val="00A85457"/>
    <w:rsid w:val="00A86513"/>
    <w:rsid w:val="00A87452"/>
    <w:rsid w:val="00A874CA"/>
    <w:rsid w:val="00A879A4"/>
    <w:rsid w:val="00A87E95"/>
    <w:rsid w:val="00A90E17"/>
    <w:rsid w:val="00A91877"/>
    <w:rsid w:val="00A92E29"/>
    <w:rsid w:val="00A940B7"/>
    <w:rsid w:val="00A943D2"/>
    <w:rsid w:val="00A945D5"/>
    <w:rsid w:val="00A9716A"/>
    <w:rsid w:val="00AA01FB"/>
    <w:rsid w:val="00AA0DDB"/>
    <w:rsid w:val="00AA1022"/>
    <w:rsid w:val="00AA114D"/>
    <w:rsid w:val="00AA128A"/>
    <w:rsid w:val="00AA1752"/>
    <w:rsid w:val="00AA204C"/>
    <w:rsid w:val="00AA3507"/>
    <w:rsid w:val="00AA524D"/>
    <w:rsid w:val="00AA5EBD"/>
    <w:rsid w:val="00AA66EE"/>
    <w:rsid w:val="00AA6783"/>
    <w:rsid w:val="00AA68CC"/>
    <w:rsid w:val="00AA6F16"/>
    <w:rsid w:val="00AA70FE"/>
    <w:rsid w:val="00AA72CC"/>
    <w:rsid w:val="00AA7BFA"/>
    <w:rsid w:val="00AA7ED5"/>
    <w:rsid w:val="00AB0013"/>
    <w:rsid w:val="00AB09F3"/>
    <w:rsid w:val="00AB0B2A"/>
    <w:rsid w:val="00AB1D1F"/>
    <w:rsid w:val="00AB3871"/>
    <w:rsid w:val="00AB3A70"/>
    <w:rsid w:val="00AB48EC"/>
    <w:rsid w:val="00AB4E84"/>
    <w:rsid w:val="00AB6EDF"/>
    <w:rsid w:val="00AB784C"/>
    <w:rsid w:val="00AB7AFD"/>
    <w:rsid w:val="00AB7CEC"/>
    <w:rsid w:val="00AC0C38"/>
    <w:rsid w:val="00AC3732"/>
    <w:rsid w:val="00AC3A8E"/>
    <w:rsid w:val="00AC3FC9"/>
    <w:rsid w:val="00AC50B2"/>
    <w:rsid w:val="00AC5239"/>
    <w:rsid w:val="00AC54D6"/>
    <w:rsid w:val="00AC5AE2"/>
    <w:rsid w:val="00AC5B9D"/>
    <w:rsid w:val="00AC5FDB"/>
    <w:rsid w:val="00AC602E"/>
    <w:rsid w:val="00AC6FDF"/>
    <w:rsid w:val="00AD0282"/>
    <w:rsid w:val="00AD09E9"/>
    <w:rsid w:val="00AD0BDC"/>
    <w:rsid w:val="00AD0DB8"/>
    <w:rsid w:val="00AD0E3E"/>
    <w:rsid w:val="00AD1EA2"/>
    <w:rsid w:val="00AD3611"/>
    <w:rsid w:val="00AD36DD"/>
    <w:rsid w:val="00AD3710"/>
    <w:rsid w:val="00AD37C1"/>
    <w:rsid w:val="00AD4991"/>
    <w:rsid w:val="00AD5D33"/>
    <w:rsid w:val="00AD6321"/>
    <w:rsid w:val="00AD6697"/>
    <w:rsid w:val="00AD69BC"/>
    <w:rsid w:val="00AD6C05"/>
    <w:rsid w:val="00AD6C59"/>
    <w:rsid w:val="00AD79B3"/>
    <w:rsid w:val="00AE01CF"/>
    <w:rsid w:val="00AE1456"/>
    <w:rsid w:val="00AE16A2"/>
    <w:rsid w:val="00AE16A3"/>
    <w:rsid w:val="00AE1B44"/>
    <w:rsid w:val="00AE1C55"/>
    <w:rsid w:val="00AE3183"/>
    <w:rsid w:val="00AE4E86"/>
    <w:rsid w:val="00AE5EDC"/>
    <w:rsid w:val="00AE64A9"/>
    <w:rsid w:val="00AF0576"/>
    <w:rsid w:val="00AF1C79"/>
    <w:rsid w:val="00AF1FAC"/>
    <w:rsid w:val="00AF3829"/>
    <w:rsid w:val="00AF3B51"/>
    <w:rsid w:val="00AF655D"/>
    <w:rsid w:val="00AF6AFB"/>
    <w:rsid w:val="00AF73A6"/>
    <w:rsid w:val="00B002AC"/>
    <w:rsid w:val="00B02B2C"/>
    <w:rsid w:val="00B037F0"/>
    <w:rsid w:val="00B049BE"/>
    <w:rsid w:val="00B05692"/>
    <w:rsid w:val="00B06EA7"/>
    <w:rsid w:val="00B0777E"/>
    <w:rsid w:val="00B07CF3"/>
    <w:rsid w:val="00B10AFF"/>
    <w:rsid w:val="00B10ED3"/>
    <w:rsid w:val="00B1302E"/>
    <w:rsid w:val="00B135D9"/>
    <w:rsid w:val="00B13E63"/>
    <w:rsid w:val="00B13F85"/>
    <w:rsid w:val="00B1475A"/>
    <w:rsid w:val="00B16006"/>
    <w:rsid w:val="00B160BF"/>
    <w:rsid w:val="00B1682B"/>
    <w:rsid w:val="00B17628"/>
    <w:rsid w:val="00B20220"/>
    <w:rsid w:val="00B20E0F"/>
    <w:rsid w:val="00B21A7B"/>
    <w:rsid w:val="00B21C6A"/>
    <w:rsid w:val="00B2327D"/>
    <w:rsid w:val="00B2412B"/>
    <w:rsid w:val="00B2493D"/>
    <w:rsid w:val="00B25732"/>
    <w:rsid w:val="00B25D93"/>
    <w:rsid w:val="00B260CF"/>
    <w:rsid w:val="00B264E0"/>
    <w:rsid w:val="00B265E4"/>
    <w:rsid w:val="00B2671C"/>
    <w:rsid w:val="00B2718F"/>
    <w:rsid w:val="00B30179"/>
    <w:rsid w:val="00B31CB8"/>
    <w:rsid w:val="00B31F2C"/>
    <w:rsid w:val="00B32720"/>
    <w:rsid w:val="00B3317B"/>
    <w:rsid w:val="00B334DC"/>
    <w:rsid w:val="00B3631A"/>
    <w:rsid w:val="00B363F6"/>
    <w:rsid w:val="00B3661B"/>
    <w:rsid w:val="00B36E4A"/>
    <w:rsid w:val="00B36F90"/>
    <w:rsid w:val="00B37D0A"/>
    <w:rsid w:val="00B37DB3"/>
    <w:rsid w:val="00B41416"/>
    <w:rsid w:val="00B41F78"/>
    <w:rsid w:val="00B4289B"/>
    <w:rsid w:val="00B43059"/>
    <w:rsid w:val="00B45659"/>
    <w:rsid w:val="00B462C1"/>
    <w:rsid w:val="00B4636E"/>
    <w:rsid w:val="00B465C4"/>
    <w:rsid w:val="00B46BDF"/>
    <w:rsid w:val="00B46F48"/>
    <w:rsid w:val="00B47988"/>
    <w:rsid w:val="00B47B75"/>
    <w:rsid w:val="00B505D9"/>
    <w:rsid w:val="00B50CD3"/>
    <w:rsid w:val="00B51288"/>
    <w:rsid w:val="00B523C8"/>
    <w:rsid w:val="00B53013"/>
    <w:rsid w:val="00B5319B"/>
    <w:rsid w:val="00B54322"/>
    <w:rsid w:val="00B54455"/>
    <w:rsid w:val="00B56148"/>
    <w:rsid w:val="00B56489"/>
    <w:rsid w:val="00B56B2A"/>
    <w:rsid w:val="00B5715E"/>
    <w:rsid w:val="00B57D90"/>
    <w:rsid w:val="00B57DA1"/>
    <w:rsid w:val="00B6298D"/>
    <w:rsid w:val="00B62C8A"/>
    <w:rsid w:val="00B63563"/>
    <w:rsid w:val="00B65870"/>
    <w:rsid w:val="00B67280"/>
    <w:rsid w:val="00B67F5E"/>
    <w:rsid w:val="00B700C7"/>
    <w:rsid w:val="00B703D8"/>
    <w:rsid w:val="00B7172A"/>
    <w:rsid w:val="00B71ED8"/>
    <w:rsid w:val="00B722C5"/>
    <w:rsid w:val="00B7235D"/>
    <w:rsid w:val="00B73E65"/>
    <w:rsid w:val="00B742C1"/>
    <w:rsid w:val="00B74863"/>
    <w:rsid w:val="00B74AD8"/>
    <w:rsid w:val="00B8074B"/>
    <w:rsid w:val="00B80B21"/>
    <w:rsid w:val="00B80F44"/>
    <w:rsid w:val="00B811F5"/>
    <w:rsid w:val="00B81E12"/>
    <w:rsid w:val="00B83C36"/>
    <w:rsid w:val="00B83E70"/>
    <w:rsid w:val="00B840E2"/>
    <w:rsid w:val="00B863C0"/>
    <w:rsid w:val="00B87110"/>
    <w:rsid w:val="00B877C8"/>
    <w:rsid w:val="00B913DE"/>
    <w:rsid w:val="00B9230F"/>
    <w:rsid w:val="00B93AD9"/>
    <w:rsid w:val="00B94425"/>
    <w:rsid w:val="00B94798"/>
    <w:rsid w:val="00B96366"/>
    <w:rsid w:val="00B96C58"/>
    <w:rsid w:val="00B96E29"/>
    <w:rsid w:val="00B97275"/>
    <w:rsid w:val="00B97679"/>
    <w:rsid w:val="00B97FA8"/>
    <w:rsid w:val="00BA0219"/>
    <w:rsid w:val="00BA0BD2"/>
    <w:rsid w:val="00BA16B4"/>
    <w:rsid w:val="00BA6EB0"/>
    <w:rsid w:val="00BB1A5E"/>
    <w:rsid w:val="00BB3754"/>
    <w:rsid w:val="00BB3FE5"/>
    <w:rsid w:val="00BB4C44"/>
    <w:rsid w:val="00BC1385"/>
    <w:rsid w:val="00BC443C"/>
    <w:rsid w:val="00BC494A"/>
    <w:rsid w:val="00BC52BB"/>
    <w:rsid w:val="00BC67B4"/>
    <w:rsid w:val="00BC74E9"/>
    <w:rsid w:val="00BC7BEB"/>
    <w:rsid w:val="00BC7ED7"/>
    <w:rsid w:val="00BD0D77"/>
    <w:rsid w:val="00BD1208"/>
    <w:rsid w:val="00BD2C9E"/>
    <w:rsid w:val="00BD31AD"/>
    <w:rsid w:val="00BD3F1E"/>
    <w:rsid w:val="00BD426D"/>
    <w:rsid w:val="00BD4D45"/>
    <w:rsid w:val="00BD5E23"/>
    <w:rsid w:val="00BD5E9E"/>
    <w:rsid w:val="00BE04A2"/>
    <w:rsid w:val="00BE157F"/>
    <w:rsid w:val="00BE224F"/>
    <w:rsid w:val="00BE27C0"/>
    <w:rsid w:val="00BE2ADD"/>
    <w:rsid w:val="00BE2ED0"/>
    <w:rsid w:val="00BE5875"/>
    <w:rsid w:val="00BE5B9F"/>
    <w:rsid w:val="00BE618E"/>
    <w:rsid w:val="00BE6510"/>
    <w:rsid w:val="00BE655C"/>
    <w:rsid w:val="00BE73B3"/>
    <w:rsid w:val="00BE7726"/>
    <w:rsid w:val="00BF086C"/>
    <w:rsid w:val="00BF1409"/>
    <w:rsid w:val="00BF2865"/>
    <w:rsid w:val="00BF2902"/>
    <w:rsid w:val="00BF2F4F"/>
    <w:rsid w:val="00BF3885"/>
    <w:rsid w:val="00BF4A71"/>
    <w:rsid w:val="00BF5785"/>
    <w:rsid w:val="00BF59F7"/>
    <w:rsid w:val="00BF5A03"/>
    <w:rsid w:val="00BF6ECC"/>
    <w:rsid w:val="00C00234"/>
    <w:rsid w:val="00C007F7"/>
    <w:rsid w:val="00C03617"/>
    <w:rsid w:val="00C04A93"/>
    <w:rsid w:val="00C06621"/>
    <w:rsid w:val="00C07839"/>
    <w:rsid w:val="00C113DA"/>
    <w:rsid w:val="00C126C0"/>
    <w:rsid w:val="00C14ECE"/>
    <w:rsid w:val="00C1576B"/>
    <w:rsid w:val="00C16330"/>
    <w:rsid w:val="00C16337"/>
    <w:rsid w:val="00C17572"/>
    <w:rsid w:val="00C175C2"/>
    <w:rsid w:val="00C17A0C"/>
    <w:rsid w:val="00C17E0A"/>
    <w:rsid w:val="00C211B0"/>
    <w:rsid w:val="00C2130C"/>
    <w:rsid w:val="00C217E7"/>
    <w:rsid w:val="00C21B42"/>
    <w:rsid w:val="00C221DA"/>
    <w:rsid w:val="00C23EEA"/>
    <w:rsid w:val="00C2418D"/>
    <w:rsid w:val="00C24693"/>
    <w:rsid w:val="00C2477C"/>
    <w:rsid w:val="00C24F53"/>
    <w:rsid w:val="00C25208"/>
    <w:rsid w:val="00C254BD"/>
    <w:rsid w:val="00C26DF7"/>
    <w:rsid w:val="00C27493"/>
    <w:rsid w:val="00C2770D"/>
    <w:rsid w:val="00C35020"/>
    <w:rsid w:val="00C354D1"/>
    <w:rsid w:val="00C355FA"/>
    <w:rsid w:val="00C35F0B"/>
    <w:rsid w:val="00C36413"/>
    <w:rsid w:val="00C375AF"/>
    <w:rsid w:val="00C411EB"/>
    <w:rsid w:val="00C41533"/>
    <w:rsid w:val="00C41D82"/>
    <w:rsid w:val="00C42998"/>
    <w:rsid w:val="00C43736"/>
    <w:rsid w:val="00C43E49"/>
    <w:rsid w:val="00C444DA"/>
    <w:rsid w:val="00C4571E"/>
    <w:rsid w:val="00C4583F"/>
    <w:rsid w:val="00C463DD"/>
    <w:rsid w:val="00C47317"/>
    <w:rsid w:val="00C476BD"/>
    <w:rsid w:val="00C5045C"/>
    <w:rsid w:val="00C50CC2"/>
    <w:rsid w:val="00C516F1"/>
    <w:rsid w:val="00C52590"/>
    <w:rsid w:val="00C5330E"/>
    <w:rsid w:val="00C5494E"/>
    <w:rsid w:val="00C5584A"/>
    <w:rsid w:val="00C558EF"/>
    <w:rsid w:val="00C56A9D"/>
    <w:rsid w:val="00C60BF9"/>
    <w:rsid w:val="00C61F52"/>
    <w:rsid w:val="00C62EE6"/>
    <w:rsid w:val="00C62F44"/>
    <w:rsid w:val="00C63654"/>
    <w:rsid w:val="00C64172"/>
    <w:rsid w:val="00C64458"/>
    <w:rsid w:val="00C6532C"/>
    <w:rsid w:val="00C6604B"/>
    <w:rsid w:val="00C67F48"/>
    <w:rsid w:val="00C70480"/>
    <w:rsid w:val="00C7077B"/>
    <w:rsid w:val="00C712E1"/>
    <w:rsid w:val="00C724A9"/>
    <w:rsid w:val="00C72EED"/>
    <w:rsid w:val="00C733C3"/>
    <w:rsid w:val="00C73542"/>
    <w:rsid w:val="00C73F24"/>
    <w:rsid w:val="00C745C3"/>
    <w:rsid w:val="00C74EF8"/>
    <w:rsid w:val="00C753E5"/>
    <w:rsid w:val="00C755C6"/>
    <w:rsid w:val="00C759CF"/>
    <w:rsid w:val="00C75DC3"/>
    <w:rsid w:val="00C771EE"/>
    <w:rsid w:val="00C81941"/>
    <w:rsid w:val="00C81D25"/>
    <w:rsid w:val="00C81E85"/>
    <w:rsid w:val="00C83127"/>
    <w:rsid w:val="00C84DA8"/>
    <w:rsid w:val="00C856FC"/>
    <w:rsid w:val="00C85E27"/>
    <w:rsid w:val="00C868ED"/>
    <w:rsid w:val="00C874F1"/>
    <w:rsid w:val="00C91B45"/>
    <w:rsid w:val="00C91D88"/>
    <w:rsid w:val="00C93EAF"/>
    <w:rsid w:val="00C9688C"/>
    <w:rsid w:val="00C9726D"/>
    <w:rsid w:val="00CA019A"/>
    <w:rsid w:val="00CA290F"/>
    <w:rsid w:val="00CA2A58"/>
    <w:rsid w:val="00CA6891"/>
    <w:rsid w:val="00CA6B37"/>
    <w:rsid w:val="00CA7D85"/>
    <w:rsid w:val="00CB1BA9"/>
    <w:rsid w:val="00CB1FF2"/>
    <w:rsid w:val="00CB2610"/>
    <w:rsid w:val="00CB266A"/>
    <w:rsid w:val="00CB5888"/>
    <w:rsid w:val="00CB68DC"/>
    <w:rsid w:val="00CB7EFD"/>
    <w:rsid w:val="00CC0B55"/>
    <w:rsid w:val="00CC0EF1"/>
    <w:rsid w:val="00CC235A"/>
    <w:rsid w:val="00CC55D4"/>
    <w:rsid w:val="00CC6E66"/>
    <w:rsid w:val="00CD1B7D"/>
    <w:rsid w:val="00CD1EE8"/>
    <w:rsid w:val="00CD2960"/>
    <w:rsid w:val="00CD32D0"/>
    <w:rsid w:val="00CD37BB"/>
    <w:rsid w:val="00CD3F1F"/>
    <w:rsid w:val="00CD4E02"/>
    <w:rsid w:val="00CD55BA"/>
    <w:rsid w:val="00CD6995"/>
    <w:rsid w:val="00CD7A77"/>
    <w:rsid w:val="00CD7E8E"/>
    <w:rsid w:val="00CE02A3"/>
    <w:rsid w:val="00CE3E28"/>
    <w:rsid w:val="00CE3F4E"/>
    <w:rsid w:val="00CE4A8F"/>
    <w:rsid w:val="00CE4D3B"/>
    <w:rsid w:val="00CE4E50"/>
    <w:rsid w:val="00CE4E9C"/>
    <w:rsid w:val="00CE565A"/>
    <w:rsid w:val="00CE5E15"/>
    <w:rsid w:val="00CF0214"/>
    <w:rsid w:val="00CF0E2F"/>
    <w:rsid w:val="00CF12C7"/>
    <w:rsid w:val="00CF1657"/>
    <w:rsid w:val="00CF20C7"/>
    <w:rsid w:val="00CF2567"/>
    <w:rsid w:val="00CF3D60"/>
    <w:rsid w:val="00CF4143"/>
    <w:rsid w:val="00CF586F"/>
    <w:rsid w:val="00CF7659"/>
    <w:rsid w:val="00CF7D43"/>
    <w:rsid w:val="00CF7DCB"/>
    <w:rsid w:val="00CF7F5C"/>
    <w:rsid w:val="00D01604"/>
    <w:rsid w:val="00D036D0"/>
    <w:rsid w:val="00D04478"/>
    <w:rsid w:val="00D051BA"/>
    <w:rsid w:val="00D05574"/>
    <w:rsid w:val="00D0724C"/>
    <w:rsid w:val="00D07272"/>
    <w:rsid w:val="00D0747E"/>
    <w:rsid w:val="00D076D2"/>
    <w:rsid w:val="00D078DC"/>
    <w:rsid w:val="00D07BF8"/>
    <w:rsid w:val="00D10033"/>
    <w:rsid w:val="00D10EC8"/>
    <w:rsid w:val="00D11129"/>
    <w:rsid w:val="00D11ED4"/>
    <w:rsid w:val="00D11FD2"/>
    <w:rsid w:val="00D1325D"/>
    <w:rsid w:val="00D137B3"/>
    <w:rsid w:val="00D13DBF"/>
    <w:rsid w:val="00D13F7B"/>
    <w:rsid w:val="00D141C3"/>
    <w:rsid w:val="00D16743"/>
    <w:rsid w:val="00D171AB"/>
    <w:rsid w:val="00D1792C"/>
    <w:rsid w:val="00D2031B"/>
    <w:rsid w:val="00D212CC"/>
    <w:rsid w:val="00D2144E"/>
    <w:rsid w:val="00D21CC1"/>
    <w:rsid w:val="00D22332"/>
    <w:rsid w:val="00D22D00"/>
    <w:rsid w:val="00D236E8"/>
    <w:rsid w:val="00D24ACE"/>
    <w:rsid w:val="00D25FE2"/>
    <w:rsid w:val="00D266FA"/>
    <w:rsid w:val="00D26B15"/>
    <w:rsid w:val="00D27618"/>
    <w:rsid w:val="00D27E43"/>
    <w:rsid w:val="00D27FFE"/>
    <w:rsid w:val="00D314E6"/>
    <w:rsid w:val="00D31773"/>
    <w:rsid w:val="00D32243"/>
    <w:rsid w:val="00D32C5A"/>
    <w:rsid w:val="00D32E48"/>
    <w:rsid w:val="00D337FC"/>
    <w:rsid w:val="00D355ED"/>
    <w:rsid w:val="00D3671D"/>
    <w:rsid w:val="00D40743"/>
    <w:rsid w:val="00D418A5"/>
    <w:rsid w:val="00D41E69"/>
    <w:rsid w:val="00D42769"/>
    <w:rsid w:val="00D42D9D"/>
    <w:rsid w:val="00D43252"/>
    <w:rsid w:val="00D43640"/>
    <w:rsid w:val="00D462BD"/>
    <w:rsid w:val="00D46627"/>
    <w:rsid w:val="00D509D9"/>
    <w:rsid w:val="00D523E6"/>
    <w:rsid w:val="00D52760"/>
    <w:rsid w:val="00D532B2"/>
    <w:rsid w:val="00D54853"/>
    <w:rsid w:val="00D54895"/>
    <w:rsid w:val="00D550F9"/>
    <w:rsid w:val="00D55BDB"/>
    <w:rsid w:val="00D562A4"/>
    <w:rsid w:val="00D56B0B"/>
    <w:rsid w:val="00D572B0"/>
    <w:rsid w:val="00D572BA"/>
    <w:rsid w:val="00D6065C"/>
    <w:rsid w:val="00D60BAB"/>
    <w:rsid w:val="00D619F3"/>
    <w:rsid w:val="00D62392"/>
    <w:rsid w:val="00D62E90"/>
    <w:rsid w:val="00D62EEF"/>
    <w:rsid w:val="00D63306"/>
    <w:rsid w:val="00D6345F"/>
    <w:rsid w:val="00D646A1"/>
    <w:rsid w:val="00D66ED2"/>
    <w:rsid w:val="00D66F08"/>
    <w:rsid w:val="00D7013D"/>
    <w:rsid w:val="00D710B8"/>
    <w:rsid w:val="00D726F4"/>
    <w:rsid w:val="00D76BE5"/>
    <w:rsid w:val="00D8123A"/>
    <w:rsid w:val="00D82453"/>
    <w:rsid w:val="00D849B7"/>
    <w:rsid w:val="00D861A1"/>
    <w:rsid w:val="00D861AA"/>
    <w:rsid w:val="00D86A80"/>
    <w:rsid w:val="00D929CE"/>
    <w:rsid w:val="00D92B99"/>
    <w:rsid w:val="00D9356B"/>
    <w:rsid w:val="00D94DDC"/>
    <w:rsid w:val="00D953AF"/>
    <w:rsid w:val="00D95A0C"/>
    <w:rsid w:val="00D95AAA"/>
    <w:rsid w:val="00D95C2D"/>
    <w:rsid w:val="00D96112"/>
    <w:rsid w:val="00D97224"/>
    <w:rsid w:val="00D978C6"/>
    <w:rsid w:val="00DA085D"/>
    <w:rsid w:val="00DA1164"/>
    <w:rsid w:val="00DA11A1"/>
    <w:rsid w:val="00DA11CB"/>
    <w:rsid w:val="00DA178F"/>
    <w:rsid w:val="00DA358A"/>
    <w:rsid w:val="00DA434D"/>
    <w:rsid w:val="00DA4B07"/>
    <w:rsid w:val="00DA51CD"/>
    <w:rsid w:val="00DA5560"/>
    <w:rsid w:val="00DA67AD"/>
    <w:rsid w:val="00DA720B"/>
    <w:rsid w:val="00DA73D0"/>
    <w:rsid w:val="00DA7E48"/>
    <w:rsid w:val="00DB086F"/>
    <w:rsid w:val="00DB174E"/>
    <w:rsid w:val="00DB18CE"/>
    <w:rsid w:val="00DB1C51"/>
    <w:rsid w:val="00DB24A0"/>
    <w:rsid w:val="00DB42B6"/>
    <w:rsid w:val="00DB5566"/>
    <w:rsid w:val="00DB5E7E"/>
    <w:rsid w:val="00DB681C"/>
    <w:rsid w:val="00DB6CB5"/>
    <w:rsid w:val="00DB6E76"/>
    <w:rsid w:val="00DC034F"/>
    <w:rsid w:val="00DC056D"/>
    <w:rsid w:val="00DC05B7"/>
    <w:rsid w:val="00DC0CF2"/>
    <w:rsid w:val="00DC155C"/>
    <w:rsid w:val="00DC2700"/>
    <w:rsid w:val="00DC2A08"/>
    <w:rsid w:val="00DC37CF"/>
    <w:rsid w:val="00DC380B"/>
    <w:rsid w:val="00DC50AC"/>
    <w:rsid w:val="00DC6A47"/>
    <w:rsid w:val="00DC6BC1"/>
    <w:rsid w:val="00DC74BA"/>
    <w:rsid w:val="00DC7785"/>
    <w:rsid w:val="00DC7C41"/>
    <w:rsid w:val="00DD04D4"/>
    <w:rsid w:val="00DD09C5"/>
    <w:rsid w:val="00DD170A"/>
    <w:rsid w:val="00DD301B"/>
    <w:rsid w:val="00DD37A6"/>
    <w:rsid w:val="00DD3E75"/>
    <w:rsid w:val="00DD5DBC"/>
    <w:rsid w:val="00DD6A61"/>
    <w:rsid w:val="00DD723C"/>
    <w:rsid w:val="00DE081D"/>
    <w:rsid w:val="00DE1779"/>
    <w:rsid w:val="00DE267A"/>
    <w:rsid w:val="00DE2D6F"/>
    <w:rsid w:val="00DE3EC0"/>
    <w:rsid w:val="00DE42A7"/>
    <w:rsid w:val="00DE6C5B"/>
    <w:rsid w:val="00DE7330"/>
    <w:rsid w:val="00DF3189"/>
    <w:rsid w:val="00DF3C68"/>
    <w:rsid w:val="00DF6B37"/>
    <w:rsid w:val="00E002C9"/>
    <w:rsid w:val="00E003A0"/>
    <w:rsid w:val="00E01444"/>
    <w:rsid w:val="00E0255F"/>
    <w:rsid w:val="00E04AAB"/>
    <w:rsid w:val="00E04AFB"/>
    <w:rsid w:val="00E04B41"/>
    <w:rsid w:val="00E055AD"/>
    <w:rsid w:val="00E05CCF"/>
    <w:rsid w:val="00E0600D"/>
    <w:rsid w:val="00E06A8E"/>
    <w:rsid w:val="00E07117"/>
    <w:rsid w:val="00E11593"/>
    <w:rsid w:val="00E11FA8"/>
    <w:rsid w:val="00E12657"/>
    <w:rsid w:val="00E1281B"/>
    <w:rsid w:val="00E12B6B"/>
    <w:rsid w:val="00E12CC8"/>
    <w:rsid w:val="00E130AB"/>
    <w:rsid w:val="00E136BD"/>
    <w:rsid w:val="00E144E5"/>
    <w:rsid w:val="00E14579"/>
    <w:rsid w:val="00E14692"/>
    <w:rsid w:val="00E147F0"/>
    <w:rsid w:val="00E1480D"/>
    <w:rsid w:val="00E15561"/>
    <w:rsid w:val="00E16E62"/>
    <w:rsid w:val="00E17C3C"/>
    <w:rsid w:val="00E17F1F"/>
    <w:rsid w:val="00E21440"/>
    <w:rsid w:val="00E24AA7"/>
    <w:rsid w:val="00E25072"/>
    <w:rsid w:val="00E26179"/>
    <w:rsid w:val="00E26750"/>
    <w:rsid w:val="00E268E5"/>
    <w:rsid w:val="00E26B6F"/>
    <w:rsid w:val="00E26D75"/>
    <w:rsid w:val="00E27A8E"/>
    <w:rsid w:val="00E3069C"/>
    <w:rsid w:val="00E34FA3"/>
    <w:rsid w:val="00E36180"/>
    <w:rsid w:val="00E3656A"/>
    <w:rsid w:val="00E378D2"/>
    <w:rsid w:val="00E42951"/>
    <w:rsid w:val="00E438D9"/>
    <w:rsid w:val="00E43EB2"/>
    <w:rsid w:val="00E44960"/>
    <w:rsid w:val="00E4762F"/>
    <w:rsid w:val="00E47774"/>
    <w:rsid w:val="00E477EE"/>
    <w:rsid w:val="00E479B8"/>
    <w:rsid w:val="00E505B5"/>
    <w:rsid w:val="00E54144"/>
    <w:rsid w:val="00E545EC"/>
    <w:rsid w:val="00E5644E"/>
    <w:rsid w:val="00E56C96"/>
    <w:rsid w:val="00E571EE"/>
    <w:rsid w:val="00E576B4"/>
    <w:rsid w:val="00E617FD"/>
    <w:rsid w:val="00E62355"/>
    <w:rsid w:val="00E6509A"/>
    <w:rsid w:val="00E652A8"/>
    <w:rsid w:val="00E65F27"/>
    <w:rsid w:val="00E66428"/>
    <w:rsid w:val="00E676EA"/>
    <w:rsid w:val="00E700DE"/>
    <w:rsid w:val="00E7099E"/>
    <w:rsid w:val="00E7138C"/>
    <w:rsid w:val="00E7158A"/>
    <w:rsid w:val="00E71C58"/>
    <w:rsid w:val="00E7260F"/>
    <w:rsid w:val="00E72C2B"/>
    <w:rsid w:val="00E7305F"/>
    <w:rsid w:val="00E732E2"/>
    <w:rsid w:val="00E7423F"/>
    <w:rsid w:val="00E74E54"/>
    <w:rsid w:val="00E76053"/>
    <w:rsid w:val="00E76C1B"/>
    <w:rsid w:val="00E779EB"/>
    <w:rsid w:val="00E806EE"/>
    <w:rsid w:val="00E8318E"/>
    <w:rsid w:val="00E83680"/>
    <w:rsid w:val="00E83A4B"/>
    <w:rsid w:val="00E84498"/>
    <w:rsid w:val="00E84C7C"/>
    <w:rsid w:val="00E856C1"/>
    <w:rsid w:val="00E85784"/>
    <w:rsid w:val="00E867A2"/>
    <w:rsid w:val="00E86A25"/>
    <w:rsid w:val="00E86F30"/>
    <w:rsid w:val="00E8706C"/>
    <w:rsid w:val="00E870A5"/>
    <w:rsid w:val="00E87EFE"/>
    <w:rsid w:val="00E911D1"/>
    <w:rsid w:val="00E91357"/>
    <w:rsid w:val="00E9322B"/>
    <w:rsid w:val="00E94308"/>
    <w:rsid w:val="00E94755"/>
    <w:rsid w:val="00E95CFB"/>
    <w:rsid w:val="00E96011"/>
    <w:rsid w:val="00E9603E"/>
    <w:rsid w:val="00E96630"/>
    <w:rsid w:val="00E96DEA"/>
    <w:rsid w:val="00E97526"/>
    <w:rsid w:val="00EA05C7"/>
    <w:rsid w:val="00EA09E0"/>
    <w:rsid w:val="00EA147F"/>
    <w:rsid w:val="00EA2254"/>
    <w:rsid w:val="00EA2D24"/>
    <w:rsid w:val="00EA315A"/>
    <w:rsid w:val="00EA32AC"/>
    <w:rsid w:val="00EA4549"/>
    <w:rsid w:val="00EA4F8F"/>
    <w:rsid w:val="00EA723C"/>
    <w:rsid w:val="00EA749D"/>
    <w:rsid w:val="00EA753F"/>
    <w:rsid w:val="00EA7828"/>
    <w:rsid w:val="00EB0B3B"/>
    <w:rsid w:val="00EB0FB9"/>
    <w:rsid w:val="00EB2966"/>
    <w:rsid w:val="00EB2C92"/>
    <w:rsid w:val="00EB3621"/>
    <w:rsid w:val="00EB3633"/>
    <w:rsid w:val="00EB3838"/>
    <w:rsid w:val="00EB4ED1"/>
    <w:rsid w:val="00EB537B"/>
    <w:rsid w:val="00EB58D3"/>
    <w:rsid w:val="00EB62A5"/>
    <w:rsid w:val="00EB69F4"/>
    <w:rsid w:val="00EB710B"/>
    <w:rsid w:val="00EB7A11"/>
    <w:rsid w:val="00EC04E4"/>
    <w:rsid w:val="00EC04FD"/>
    <w:rsid w:val="00EC13F2"/>
    <w:rsid w:val="00EC1C0D"/>
    <w:rsid w:val="00EC3102"/>
    <w:rsid w:val="00EC381A"/>
    <w:rsid w:val="00EC5BFE"/>
    <w:rsid w:val="00EC7225"/>
    <w:rsid w:val="00EC76EE"/>
    <w:rsid w:val="00EC7EA2"/>
    <w:rsid w:val="00ED0767"/>
    <w:rsid w:val="00ED0CA9"/>
    <w:rsid w:val="00ED114D"/>
    <w:rsid w:val="00ED1CEE"/>
    <w:rsid w:val="00ED27DB"/>
    <w:rsid w:val="00ED402C"/>
    <w:rsid w:val="00ED484D"/>
    <w:rsid w:val="00ED4AA4"/>
    <w:rsid w:val="00ED4F64"/>
    <w:rsid w:val="00ED5903"/>
    <w:rsid w:val="00ED6268"/>
    <w:rsid w:val="00ED63A7"/>
    <w:rsid w:val="00ED758D"/>
    <w:rsid w:val="00ED7A2A"/>
    <w:rsid w:val="00EE13D2"/>
    <w:rsid w:val="00EE2325"/>
    <w:rsid w:val="00EE2738"/>
    <w:rsid w:val="00EE53E9"/>
    <w:rsid w:val="00EE7249"/>
    <w:rsid w:val="00EE7ABC"/>
    <w:rsid w:val="00EF0722"/>
    <w:rsid w:val="00EF0931"/>
    <w:rsid w:val="00EF1D7F"/>
    <w:rsid w:val="00EF24E6"/>
    <w:rsid w:val="00EF284E"/>
    <w:rsid w:val="00EF35B1"/>
    <w:rsid w:val="00EF483C"/>
    <w:rsid w:val="00EF50E2"/>
    <w:rsid w:val="00EF5245"/>
    <w:rsid w:val="00EF55F9"/>
    <w:rsid w:val="00EF5BDB"/>
    <w:rsid w:val="00EF5D68"/>
    <w:rsid w:val="00EF6A03"/>
    <w:rsid w:val="00EF6D80"/>
    <w:rsid w:val="00EF710E"/>
    <w:rsid w:val="00EF7A3A"/>
    <w:rsid w:val="00EF7CCF"/>
    <w:rsid w:val="00F00E87"/>
    <w:rsid w:val="00F0130B"/>
    <w:rsid w:val="00F016ED"/>
    <w:rsid w:val="00F01BBE"/>
    <w:rsid w:val="00F02CCD"/>
    <w:rsid w:val="00F03590"/>
    <w:rsid w:val="00F054C8"/>
    <w:rsid w:val="00F06B40"/>
    <w:rsid w:val="00F071E2"/>
    <w:rsid w:val="00F07EDA"/>
    <w:rsid w:val="00F07FD9"/>
    <w:rsid w:val="00F10AC7"/>
    <w:rsid w:val="00F1131A"/>
    <w:rsid w:val="00F11971"/>
    <w:rsid w:val="00F11BA3"/>
    <w:rsid w:val="00F126F1"/>
    <w:rsid w:val="00F14436"/>
    <w:rsid w:val="00F20E94"/>
    <w:rsid w:val="00F21490"/>
    <w:rsid w:val="00F21570"/>
    <w:rsid w:val="00F218F5"/>
    <w:rsid w:val="00F21C2A"/>
    <w:rsid w:val="00F21D2C"/>
    <w:rsid w:val="00F228AA"/>
    <w:rsid w:val="00F23933"/>
    <w:rsid w:val="00F24119"/>
    <w:rsid w:val="00F2437F"/>
    <w:rsid w:val="00F24C93"/>
    <w:rsid w:val="00F24CE3"/>
    <w:rsid w:val="00F2523D"/>
    <w:rsid w:val="00F25B5A"/>
    <w:rsid w:val="00F26219"/>
    <w:rsid w:val="00F26BB4"/>
    <w:rsid w:val="00F27543"/>
    <w:rsid w:val="00F301C5"/>
    <w:rsid w:val="00F30B8A"/>
    <w:rsid w:val="00F30C8F"/>
    <w:rsid w:val="00F30D28"/>
    <w:rsid w:val="00F316B6"/>
    <w:rsid w:val="00F3278F"/>
    <w:rsid w:val="00F329C2"/>
    <w:rsid w:val="00F329F8"/>
    <w:rsid w:val="00F3340B"/>
    <w:rsid w:val="00F33DA6"/>
    <w:rsid w:val="00F344CA"/>
    <w:rsid w:val="00F35CA8"/>
    <w:rsid w:val="00F36E8F"/>
    <w:rsid w:val="00F40E75"/>
    <w:rsid w:val="00F40F23"/>
    <w:rsid w:val="00F420C8"/>
    <w:rsid w:val="00F42652"/>
    <w:rsid w:val="00F42CD9"/>
    <w:rsid w:val="00F42D41"/>
    <w:rsid w:val="00F42DC5"/>
    <w:rsid w:val="00F4314B"/>
    <w:rsid w:val="00F4548D"/>
    <w:rsid w:val="00F46C5D"/>
    <w:rsid w:val="00F47BD2"/>
    <w:rsid w:val="00F5229C"/>
    <w:rsid w:val="00F52936"/>
    <w:rsid w:val="00F54083"/>
    <w:rsid w:val="00F548CD"/>
    <w:rsid w:val="00F54EE8"/>
    <w:rsid w:val="00F5682E"/>
    <w:rsid w:val="00F56AF1"/>
    <w:rsid w:val="00F571B6"/>
    <w:rsid w:val="00F601D9"/>
    <w:rsid w:val="00F611B1"/>
    <w:rsid w:val="00F612EE"/>
    <w:rsid w:val="00F6185A"/>
    <w:rsid w:val="00F62F67"/>
    <w:rsid w:val="00F63BA8"/>
    <w:rsid w:val="00F651FF"/>
    <w:rsid w:val="00F65E81"/>
    <w:rsid w:val="00F67602"/>
    <w:rsid w:val="00F6776E"/>
    <w:rsid w:val="00F677CB"/>
    <w:rsid w:val="00F67B04"/>
    <w:rsid w:val="00F708DC"/>
    <w:rsid w:val="00F71378"/>
    <w:rsid w:val="00F71419"/>
    <w:rsid w:val="00F720E7"/>
    <w:rsid w:val="00F72149"/>
    <w:rsid w:val="00F726CD"/>
    <w:rsid w:val="00F73A2E"/>
    <w:rsid w:val="00F73D04"/>
    <w:rsid w:val="00F73EE0"/>
    <w:rsid w:val="00F75875"/>
    <w:rsid w:val="00F75A51"/>
    <w:rsid w:val="00F75F4E"/>
    <w:rsid w:val="00F76D0C"/>
    <w:rsid w:val="00F7764A"/>
    <w:rsid w:val="00F80719"/>
    <w:rsid w:val="00F80954"/>
    <w:rsid w:val="00F80AC9"/>
    <w:rsid w:val="00F81304"/>
    <w:rsid w:val="00F813E9"/>
    <w:rsid w:val="00F82818"/>
    <w:rsid w:val="00F828AE"/>
    <w:rsid w:val="00F849A2"/>
    <w:rsid w:val="00F85AE8"/>
    <w:rsid w:val="00F85D34"/>
    <w:rsid w:val="00F8672B"/>
    <w:rsid w:val="00F868EF"/>
    <w:rsid w:val="00F86AD4"/>
    <w:rsid w:val="00F877A5"/>
    <w:rsid w:val="00F87955"/>
    <w:rsid w:val="00F9151B"/>
    <w:rsid w:val="00F91E13"/>
    <w:rsid w:val="00F923C7"/>
    <w:rsid w:val="00F930C5"/>
    <w:rsid w:val="00F959FF"/>
    <w:rsid w:val="00F96E99"/>
    <w:rsid w:val="00F97E42"/>
    <w:rsid w:val="00F97FDF"/>
    <w:rsid w:val="00FA0A48"/>
    <w:rsid w:val="00FA1CCB"/>
    <w:rsid w:val="00FA33E1"/>
    <w:rsid w:val="00FA3C8E"/>
    <w:rsid w:val="00FA3D0D"/>
    <w:rsid w:val="00FA485F"/>
    <w:rsid w:val="00FA4924"/>
    <w:rsid w:val="00FA4EE1"/>
    <w:rsid w:val="00FA56A2"/>
    <w:rsid w:val="00FA7183"/>
    <w:rsid w:val="00FA79F9"/>
    <w:rsid w:val="00FA7A28"/>
    <w:rsid w:val="00FA7DF3"/>
    <w:rsid w:val="00FB0401"/>
    <w:rsid w:val="00FB1A7A"/>
    <w:rsid w:val="00FB26EE"/>
    <w:rsid w:val="00FB34D5"/>
    <w:rsid w:val="00FB4E0B"/>
    <w:rsid w:val="00FB6196"/>
    <w:rsid w:val="00FB79A7"/>
    <w:rsid w:val="00FC01D3"/>
    <w:rsid w:val="00FC05A9"/>
    <w:rsid w:val="00FC1440"/>
    <w:rsid w:val="00FC1FB3"/>
    <w:rsid w:val="00FC2CDA"/>
    <w:rsid w:val="00FC4217"/>
    <w:rsid w:val="00FC4BFB"/>
    <w:rsid w:val="00FC61FF"/>
    <w:rsid w:val="00FC68B7"/>
    <w:rsid w:val="00FC6F47"/>
    <w:rsid w:val="00FC6FA4"/>
    <w:rsid w:val="00FC709E"/>
    <w:rsid w:val="00FC7B14"/>
    <w:rsid w:val="00FC7BBD"/>
    <w:rsid w:val="00FD0A0D"/>
    <w:rsid w:val="00FD0BED"/>
    <w:rsid w:val="00FD283C"/>
    <w:rsid w:val="00FD3CCC"/>
    <w:rsid w:val="00FD3D05"/>
    <w:rsid w:val="00FD4C02"/>
    <w:rsid w:val="00FD5262"/>
    <w:rsid w:val="00FD5D4B"/>
    <w:rsid w:val="00FD6076"/>
    <w:rsid w:val="00FD651C"/>
    <w:rsid w:val="00FD7C12"/>
    <w:rsid w:val="00FE0470"/>
    <w:rsid w:val="00FE0C5D"/>
    <w:rsid w:val="00FE273C"/>
    <w:rsid w:val="00FE30FF"/>
    <w:rsid w:val="00FE65A5"/>
    <w:rsid w:val="00FE6E60"/>
    <w:rsid w:val="00FE7132"/>
    <w:rsid w:val="00FF0715"/>
    <w:rsid w:val="00FF0A82"/>
    <w:rsid w:val="00FF0DCE"/>
    <w:rsid w:val="00FF3A5D"/>
    <w:rsid w:val="00FF4BA0"/>
    <w:rsid w:val="00FF67E0"/>
    <w:rsid w:val="00FF73FE"/>
    <w:rsid w:val="0FB62616"/>
    <w:rsid w:val="16AB885B"/>
    <w:rsid w:val="18E10B04"/>
    <w:rsid w:val="1AFC2EDD"/>
    <w:rsid w:val="1C2EF472"/>
    <w:rsid w:val="1EDF7EBA"/>
    <w:rsid w:val="2186CF0F"/>
    <w:rsid w:val="23925D90"/>
    <w:rsid w:val="2EC1051A"/>
    <w:rsid w:val="37AE468A"/>
    <w:rsid w:val="393F8FC5"/>
    <w:rsid w:val="3BB59615"/>
    <w:rsid w:val="3D272B7B"/>
    <w:rsid w:val="3E7A6B59"/>
    <w:rsid w:val="3ED587EB"/>
    <w:rsid w:val="495DA115"/>
    <w:rsid w:val="4A047C6C"/>
    <w:rsid w:val="4E411AF8"/>
    <w:rsid w:val="55A41F6F"/>
    <w:rsid w:val="57897D6D"/>
    <w:rsid w:val="57E82165"/>
    <w:rsid w:val="587D7236"/>
    <w:rsid w:val="5B0D6A31"/>
    <w:rsid w:val="5E450AF3"/>
    <w:rsid w:val="5FC02DB4"/>
    <w:rsid w:val="602BB440"/>
    <w:rsid w:val="60498179"/>
    <w:rsid w:val="62D47E1F"/>
    <w:rsid w:val="7309BE93"/>
    <w:rsid w:val="74D39115"/>
    <w:rsid w:val="77D9D8DE"/>
    <w:rsid w:val="78F76466"/>
    <w:rsid w:val="7910FF29"/>
    <w:rsid w:val="7937FA43"/>
    <w:rsid w:val="7A916E5F"/>
    <w:rsid w:val="7ADE84AA"/>
    <w:rsid w:val="7D91FA72"/>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ACB90D"/>
  <w15:docId w15:val="{EF69E488-A74D-4513-AA7D-96303B3A0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uiPriority="9"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qFormat="1"/>
    <w:lsdException w:name="footer" w:semiHidden="1" w:uiPriority="99"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qFormat="1"/>
    <w:lsdException w:name="endnote reference" w:semiHidden="1" w:uiPriority="99" w:unhideWhenUsed="1" w:qFormat="1"/>
    <w:lsdException w:name="endnote text" w:semiHidden="1" w:uiPriority="99"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46924"/>
    <w:pPr>
      <w:suppressAutoHyphens/>
      <w:spacing w:line="240" w:lineRule="atLeast"/>
    </w:pPr>
    <w:rPr>
      <w:lang w:val="en-GB" w:eastAsia="en-US"/>
    </w:rPr>
  </w:style>
  <w:style w:type="paragraph" w:styleId="Heading1">
    <w:name w:val="heading 1"/>
    <w:aliases w:val="Table_G"/>
    <w:basedOn w:val="SingleTxtG"/>
    <w:next w:val="SingleTxtG"/>
    <w:link w:val="Heading1Char"/>
    <w:qFormat/>
    <w:rsid w:val="00CF0214"/>
    <w:pPr>
      <w:spacing w:after="0" w:line="240" w:lineRule="auto"/>
      <w:ind w:right="0"/>
      <w:jc w:val="left"/>
      <w:outlineLvl w:val="0"/>
    </w:pPr>
  </w:style>
  <w:style w:type="paragraph" w:styleId="Heading2">
    <w:name w:val="heading 2"/>
    <w:basedOn w:val="Normal"/>
    <w:next w:val="Normal"/>
    <w:link w:val="Heading2Char"/>
    <w:qFormat/>
    <w:rsid w:val="00CF0214"/>
    <w:pPr>
      <w:spacing w:line="240" w:lineRule="auto"/>
      <w:outlineLvl w:val="1"/>
    </w:pPr>
  </w:style>
  <w:style w:type="paragraph" w:styleId="Heading3">
    <w:name w:val="heading 3"/>
    <w:basedOn w:val="Normal"/>
    <w:next w:val="Normal"/>
    <w:link w:val="Heading3Char"/>
    <w:qFormat/>
    <w:rsid w:val="00CF0214"/>
    <w:pPr>
      <w:spacing w:line="240" w:lineRule="auto"/>
      <w:outlineLvl w:val="2"/>
    </w:pPr>
  </w:style>
  <w:style w:type="paragraph" w:styleId="Heading4">
    <w:name w:val="heading 4"/>
    <w:basedOn w:val="Normal"/>
    <w:next w:val="Normal"/>
    <w:link w:val="Heading4Char"/>
    <w:semiHidden/>
    <w:qFormat/>
    <w:rsid w:val="00CF0214"/>
    <w:pPr>
      <w:spacing w:line="240" w:lineRule="auto"/>
      <w:outlineLvl w:val="3"/>
    </w:pPr>
  </w:style>
  <w:style w:type="paragraph" w:styleId="Heading5">
    <w:name w:val="heading 5"/>
    <w:basedOn w:val="Normal"/>
    <w:next w:val="Normal"/>
    <w:link w:val="Heading5Char"/>
    <w:uiPriority w:val="9"/>
    <w:qFormat/>
    <w:rsid w:val="00CF0214"/>
    <w:pPr>
      <w:spacing w:line="240" w:lineRule="auto"/>
      <w:outlineLvl w:val="4"/>
    </w:pPr>
  </w:style>
  <w:style w:type="paragraph" w:styleId="Heading6">
    <w:name w:val="heading 6"/>
    <w:basedOn w:val="Normal"/>
    <w:next w:val="Normal"/>
    <w:link w:val="Heading6Char"/>
    <w:semiHidden/>
    <w:qFormat/>
    <w:rsid w:val="00CF0214"/>
    <w:pPr>
      <w:spacing w:line="240" w:lineRule="auto"/>
      <w:outlineLvl w:val="5"/>
    </w:pPr>
  </w:style>
  <w:style w:type="paragraph" w:styleId="Heading7">
    <w:name w:val="heading 7"/>
    <w:basedOn w:val="Normal"/>
    <w:next w:val="Normal"/>
    <w:link w:val="Heading7Char"/>
    <w:semiHidden/>
    <w:qFormat/>
    <w:rsid w:val="00CF0214"/>
    <w:pPr>
      <w:spacing w:line="240" w:lineRule="auto"/>
      <w:outlineLvl w:val="6"/>
    </w:pPr>
  </w:style>
  <w:style w:type="paragraph" w:styleId="Heading8">
    <w:name w:val="heading 8"/>
    <w:basedOn w:val="Normal"/>
    <w:next w:val="Normal"/>
    <w:link w:val="Heading8Char"/>
    <w:semiHidden/>
    <w:qFormat/>
    <w:rsid w:val="00CF0214"/>
    <w:pPr>
      <w:spacing w:line="240" w:lineRule="auto"/>
      <w:outlineLvl w:val="7"/>
    </w:pPr>
  </w:style>
  <w:style w:type="paragraph" w:styleId="Heading9">
    <w:name w:val="heading 9"/>
    <w:basedOn w:val="Normal"/>
    <w:next w:val="Normal"/>
    <w:link w:val="Heading9Char"/>
    <w:semiHidden/>
    <w:qFormat/>
    <w:rsid w:val="00CF0214"/>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link w:val="SingleTxtGChar"/>
    <w:qFormat/>
    <w:rsid w:val="00CF0214"/>
    <w:pPr>
      <w:spacing w:after="120"/>
      <w:ind w:left="1134" w:right="1134"/>
      <w:jc w:val="both"/>
    </w:pPr>
  </w:style>
  <w:style w:type="paragraph" w:customStyle="1" w:styleId="HMG">
    <w:name w:val="_ H __M_G"/>
    <w:basedOn w:val="Normal"/>
    <w:next w:val="Normal"/>
    <w:qFormat/>
    <w:rsid w:val="00CF0214"/>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qFormat/>
    <w:rsid w:val="00CF0214"/>
    <w:pPr>
      <w:keepNext/>
      <w:keepLines/>
      <w:tabs>
        <w:tab w:val="right" w:pos="851"/>
      </w:tabs>
      <w:spacing w:before="360" w:after="240" w:line="300" w:lineRule="exact"/>
      <w:ind w:left="1134" w:right="1134" w:hanging="1134"/>
    </w:pPr>
    <w:rPr>
      <w:b/>
      <w:sz w:val="28"/>
    </w:rPr>
  </w:style>
  <w:style w:type="character" w:styleId="FootnoteReference">
    <w:name w:val="footnote reference"/>
    <w:aliases w:val="4_G,Ref. de nota al pie 2,Texto de nota al pie,Footnotes refss,Appel note de bas de page,Footnote symbol,Footnote,Voetnootverwijzing,Times 10 Point,Exposant 3 Point,Footnote Ref,16 Point,Superscript 6 Point,ftref, BVI fnr,BVI fnr,fr"/>
    <w:basedOn w:val="DefaultParagraphFont"/>
    <w:link w:val="Char2"/>
    <w:uiPriority w:val="99"/>
    <w:qFormat/>
    <w:rsid w:val="00CF0214"/>
    <w:rPr>
      <w:rFonts w:ascii="Times New Roman" w:hAnsi="Times New Roman"/>
      <w:sz w:val="18"/>
      <w:vertAlign w:val="superscript"/>
    </w:rPr>
  </w:style>
  <w:style w:type="character" w:styleId="EndnoteReference">
    <w:name w:val="endnote reference"/>
    <w:aliases w:val="1_G"/>
    <w:basedOn w:val="FootnoteReference"/>
    <w:uiPriority w:val="99"/>
    <w:qFormat/>
    <w:rsid w:val="00CF0214"/>
    <w:rPr>
      <w:rFonts w:ascii="Times New Roman" w:hAnsi="Times New Roman"/>
      <w:sz w:val="18"/>
      <w:vertAlign w:val="superscript"/>
    </w:rPr>
  </w:style>
  <w:style w:type="paragraph" w:styleId="Header">
    <w:name w:val="header"/>
    <w:aliases w:val="6_G"/>
    <w:basedOn w:val="Normal"/>
    <w:link w:val="HeaderChar"/>
    <w:uiPriority w:val="99"/>
    <w:qFormat/>
    <w:rsid w:val="00CF0214"/>
    <w:pPr>
      <w:pBdr>
        <w:bottom w:val="single" w:sz="4" w:space="4" w:color="auto"/>
      </w:pBdr>
      <w:spacing w:line="240" w:lineRule="auto"/>
    </w:pPr>
    <w:rPr>
      <w:b/>
      <w:sz w:val="18"/>
    </w:rPr>
  </w:style>
  <w:style w:type="table" w:styleId="TableGrid">
    <w:name w:val="Table Grid"/>
    <w:basedOn w:val="TableNormal"/>
    <w:rsid w:val="00CF0214"/>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yperlink">
    <w:name w:val="Hyperlink"/>
    <w:basedOn w:val="DefaultParagraphFont"/>
    <w:uiPriority w:val="99"/>
    <w:rsid w:val="00CF0214"/>
    <w:rPr>
      <w:color w:val="auto"/>
      <w:u w:val="none"/>
    </w:rPr>
  </w:style>
  <w:style w:type="character" w:styleId="FollowedHyperlink">
    <w:name w:val="FollowedHyperlink"/>
    <w:basedOn w:val="DefaultParagraphFont"/>
    <w:uiPriority w:val="99"/>
    <w:rsid w:val="00CF0214"/>
    <w:rPr>
      <w:color w:val="auto"/>
      <w:u w:val="none"/>
    </w:rPr>
  </w:style>
  <w:style w:type="paragraph" w:customStyle="1" w:styleId="SMG">
    <w:name w:val="__S_M_G"/>
    <w:basedOn w:val="Normal"/>
    <w:next w:val="Normal"/>
    <w:rsid w:val="00CF0214"/>
    <w:pPr>
      <w:keepNext/>
      <w:keepLines/>
      <w:spacing w:before="240" w:after="240" w:line="420" w:lineRule="exact"/>
      <w:ind w:left="1134" w:right="1134"/>
    </w:pPr>
    <w:rPr>
      <w:b/>
      <w:sz w:val="40"/>
    </w:rPr>
  </w:style>
  <w:style w:type="paragraph" w:customStyle="1" w:styleId="SLG">
    <w:name w:val="__S_L_G"/>
    <w:basedOn w:val="Normal"/>
    <w:next w:val="Normal"/>
    <w:rsid w:val="00CF0214"/>
    <w:pPr>
      <w:keepNext/>
      <w:keepLines/>
      <w:spacing w:before="240" w:after="240" w:line="580" w:lineRule="exact"/>
      <w:ind w:left="1134" w:right="1134"/>
    </w:pPr>
    <w:rPr>
      <w:b/>
      <w:sz w:val="56"/>
    </w:rPr>
  </w:style>
  <w:style w:type="paragraph" w:customStyle="1" w:styleId="SSG">
    <w:name w:val="__S_S_G"/>
    <w:basedOn w:val="Normal"/>
    <w:next w:val="Normal"/>
    <w:rsid w:val="00CF0214"/>
    <w:pPr>
      <w:keepNext/>
      <w:keepLines/>
      <w:spacing w:before="240" w:after="240" w:line="300" w:lineRule="exact"/>
      <w:ind w:left="1134" w:right="1134"/>
    </w:pPr>
    <w:rPr>
      <w:b/>
      <w:sz w:val="28"/>
    </w:rPr>
  </w:style>
  <w:style w:type="paragraph" w:styleId="FootnoteText">
    <w:name w:val="footnote text"/>
    <w:aliases w:val="5_G,Footnote Text Char Char,Footnote Text Char1 Char Char,Footnote Text Char Char Char Char,Footnote Text Char Char1,Texto nota pie Car,Texto nota pie Car Car Car,Texto nota pie Car Car Car Car Car Car,Footnote text,Char,????? ?????? ????"/>
    <w:basedOn w:val="Normal"/>
    <w:link w:val="FootnoteTextChar"/>
    <w:uiPriority w:val="99"/>
    <w:qFormat/>
    <w:rsid w:val="00CF0214"/>
    <w:pPr>
      <w:tabs>
        <w:tab w:val="right" w:pos="1021"/>
      </w:tabs>
      <w:spacing w:line="220" w:lineRule="exact"/>
      <w:ind w:left="1134" w:right="1134" w:hanging="1134"/>
    </w:pPr>
    <w:rPr>
      <w:sz w:val="18"/>
    </w:rPr>
  </w:style>
  <w:style w:type="paragraph" w:styleId="EndnoteText">
    <w:name w:val="endnote text"/>
    <w:aliases w:val="2_G"/>
    <w:basedOn w:val="FootnoteText"/>
    <w:link w:val="EndnoteTextChar"/>
    <w:uiPriority w:val="99"/>
    <w:qFormat/>
    <w:rsid w:val="00CF0214"/>
  </w:style>
  <w:style w:type="character" w:styleId="PageNumber">
    <w:name w:val="page number"/>
    <w:aliases w:val="7_G"/>
    <w:basedOn w:val="DefaultParagraphFont"/>
    <w:qFormat/>
    <w:rsid w:val="00CF0214"/>
    <w:rPr>
      <w:rFonts w:ascii="Times New Roman" w:hAnsi="Times New Roman"/>
      <w:b/>
      <w:sz w:val="18"/>
    </w:rPr>
  </w:style>
  <w:style w:type="paragraph" w:customStyle="1" w:styleId="XLargeG">
    <w:name w:val="__XLarge_G"/>
    <w:basedOn w:val="Normal"/>
    <w:next w:val="Normal"/>
    <w:rsid w:val="00CF0214"/>
    <w:pPr>
      <w:keepNext/>
      <w:keepLines/>
      <w:spacing w:before="240" w:after="240" w:line="420" w:lineRule="exact"/>
      <w:ind w:left="1134" w:right="1134"/>
    </w:pPr>
    <w:rPr>
      <w:b/>
      <w:sz w:val="40"/>
    </w:rPr>
  </w:style>
  <w:style w:type="paragraph" w:customStyle="1" w:styleId="Bullet1G">
    <w:name w:val="_Bullet 1_G"/>
    <w:basedOn w:val="Normal"/>
    <w:qFormat/>
    <w:rsid w:val="00CF0214"/>
    <w:pPr>
      <w:numPr>
        <w:numId w:val="6"/>
      </w:numPr>
      <w:spacing w:after="120"/>
      <w:ind w:right="1134"/>
      <w:jc w:val="both"/>
    </w:pPr>
  </w:style>
  <w:style w:type="paragraph" w:styleId="Footer">
    <w:name w:val="footer"/>
    <w:aliases w:val="3_G"/>
    <w:basedOn w:val="Normal"/>
    <w:link w:val="FooterChar"/>
    <w:uiPriority w:val="99"/>
    <w:qFormat/>
    <w:rsid w:val="00CF0214"/>
    <w:pPr>
      <w:spacing w:line="240" w:lineRule="auto"/>
    </w:pPr>
    <w:rPr>
      <w:sz w:val="16"/>
    </w:rPr>
  </w:style>
  <w:style w:type="paragraph" w:customStyle="1" w:styleId="Bullet2G">
    <w:name w:val="_Bullet 2_G"/>
    <w:basedOn w:val="Normal"/>
    <w:qFormat/>
    <w:rsid w:val="00CF0214"/>
    <w:pPr>
      <w:numPr>
        <w:numId w:val="7"/>
      </w:numPr>
      <w:spacing w:after="120"/>
      <w:ind w:right="1134"/>
      <w:jc w:val="both"/>
    </w:pPr>
  </w:style>
  <w:style w:type="paragraph" w:customStyle="1" w:styleId="H1G">
    <w:name w:val="_ H_1_G"/>
    <w:basedOn w:val="Normal"/>
    <w:next w:val="Normal"/>
    <w:qFormat/>
    <w:rsid w:val="00CF0214"/>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qFormat/>
    <w:rsid w:val="00CF0214"/>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qFormat/>
    <w:rsid w:val="00CF0214"/>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qFormat/>
    <w:rsid w:val="00CF0214"/>
    <w:pPr>
      <w:keepNext/>
      <w:keepLines/>
      <w:tabs>
        <w:tab w:val="right" w:pos="851"/>
      </w:tabs>
      <w:spacing w:before="240" w:after="120" w:line="240" w:lineRule="exact"/>
      <w:ind w:left="1134" w:right="1134" w:hanging="1134"/>
    </w:pPr>
  </w:style>
  <w:style w:type="paragraph" w:styleId="BalloonText">
    <w:name w:val="Balloon Text"/>
    <w:basedOn w:val="Normal"/>
    <w:link w:val="BalloonTextChar"/>
    <w:uiPriority w:val="99"/>
    <w:semiHidden/>
    <w:rsid w:val="0094657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6575"/>
    <w:rPr>
      <w:rFonts w:ascii="Tahoma" w:hAnsi="Tahoma" w:cs="Tahoma"/>
      <w:sz w:val="16"/>
      <w:szCs w:val="16"/>
      <w:lang w:val="en-GB" w:eastAsia="en-US"/>
    </w:rPr>
  </w:style>
  <w:style w:type="paragraph" w:customStyle="1" w:styleId="ParNoG">
    <w:name w:val="_ParNo_G"/>
    <w:basedOn w:val="SingleTxtG"/>
    <w:qFormat/>
    <w:rsid w:val="005A0E16"/>
    <w:pPr>
      <w:numPr>
        <w:numId w:val="8"/>
      </w:numPr>
      <w:kinsoku w:val="0"/>
      <w:overflowPunct w:val="0"/>
      <w:autoSpaceDE w:val="0"/>
      <w:autoSpaceDN w:val="0"/>
      <w:adjustRightInd w:val="0"/>
      <w:snapToGrid w:val="0"/>
    </w:pPr>
  </w:style>
  <w:style w:type="paragraph" w:customStyle="1" w:styleId="7P">
    <w:name w:val="_ 7_ P"/>
    <w:basedOn w:val="Normal"/>
    <w:next w:val="Normal"/>
    <w:qFormat/>
    <w:rsid w:val="005D730C"/>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00" w:lineRule="exact"/>
      <w:ind w:left="1267" w:right="1267" w:hanging="1267"/>
      <w:outlineLvl w:val="3"/>
    </w:pPr>
    <w:rPr>
      <w:iCs/>
      <w:spacing w:val="3"/>
      <w:w w:val="103"/>
      <w:kern w:val="14"/>
      <w:sz w:val="14"/>
      <w:szCs w:val="24"/>
    </w:rPr>
  </w:style>
  <w:style w:type="paragraph" w:customStyle="1" w:styleId="H1">
    <w:name w:val="_ H_1"/>
    <w:basedOn w:val="Normal"/>
    <w:next w:val="SingleTxt"/>
    <w:rsid w:val="005D730C"/>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7" w:hanging="1267"/>
      <w:outlineLvl w:val="0"/>
    </w:pPr>
    <w:rPr>
      <w:rFonts w:eastAsia="Calibri"/>
      <w:b/>
      <w:spacing w:val="4"/>
      <w:w w:val="103"/>
      <w:kern w:val="14"/>
      <w:sz w:val="24"/>
    </w:rPr>
  </w:style>
  <w:style w:type="paragraph" w:customStyle="1" w:styleId="HCh">
    <w:name w:val="_ H _Ch"/>
    <w:basedOn w:val="H1"/>
    <w:next w:val="SingleTxt"/>
    <w:rsid w:val="005D730C"/>
    <w:pPr>
      <w:spacing w:line="300" w:lineRule="exact"/>
      <w:ind w:left="0" w:right="0" w:firstLine="0"/>
    </w:pPr>
    <w:rPr>
      <w:spacing w:val="-2"/>
      <w:sz w:val="28"/>
    </w:rPr>
  </w:style>
  <w:style w:type="paragraph" w:customStyle="1" w:styleId="HM">
    <w:name w:val="_ H __M"/>
    <w:basedOn w:val="HCh"/>
    <w:next w:val="Normal"/>
    <w:rsid w:val="005D730C"/>
    <w:pPr>
      <w:spacing w:line="360" w:lineRule="exact"/>
    </w:pPr>
    <w:rPr>
      <w:spacing w:val="-3"/>
      <w:w w:val="99"/>
      <w:sz w:val="34"/>
    </w:rPr>
  </w:style>
  <w:style w:type="paragraph" w:customStyle="1" w:styleId="H23">
    <w:name w:val="_ H_2/3"/>
    <w:basedOn w:val="Normal"/>
    <w:next w:val="Normal"/>
    <w:rsid w:val="005D730C"/>
    <w:pPr>
      <w:spacing w:line="240" w:lineRule="exact"/>
      <w:outlineLvl w:val="1"/>
    </w:pPr>
    <w:rPr>
      <w:rFonts w:eastAsia="Calibri"/>
      <w:b/>
      <w:spacing w:val="4"/>
      <w:w w:val="103"/>
      <w:kern w:val="14"/>
      <w:lang w:val="en-US"/>
    </w:rPr>
  </w:style>
  <w:style w:type="paragraph" w:customStyle="1" w:styleId="H4">
    <w:name w:val="_ H_4"/>
    <w:basedOn w:val="Normal"/>
    <w:next w:val="Normal"/>
    <w:rsid w:val="005D730C"/>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40" w:lineRule="exact"/>
      <w:ind w:left="1267" w:right="1267" w:hanging="1267"/>
      <w:outlineLvl w:val="3"/>
    </w:pPr>
    <w:rPr>
      <w:rFonts w:eastAsia="Calibri"/>
      <w:i/>
      <w:spacing w:val="3"/>
      <w:w w:val="103"/>
      <w:kern w:val="14"/>
    </w:rPr>
  </w:style>
  <w:style w:type="paragraph" w:customStyle="1" w:styleId="H56">
    <w:name w:val="_ H_5/6"/>
    <w:basedOn w:val="Normal"/>
    <w:next w:val="Normal"/>
    <w:rsid w:val="005D730C"/>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40" w:lineRule="exact"/>
      <w:ind w:left="1267" w:right="1267" w:hanging="1267"/>
      <w:outlineLvl w:val="4"/>
    </w:pPr>
    <w:rPr>
      <w:rFonts w:eastAsia="Calibri"/>
      <w:spacing w:val="4"/>
      <w:w w:val="103"/>
      <w:kern w:val="14"/>
    </w:rPr>
  </w:style>
  <w:style w:type="paragraph" w:customStyle="1" w:styleId="DualTxt">
    <w:name w:val="__Dual Txt"/>
    <w:basedOn w:val="Normal"/>
    <w:rsid w:val="005D730C"/>
    <w:pPr>
      <w:tabs>
        <w:tab w:val="left" w:pos="480"/>
        <w:tab w:val="left" w:pos="960"/>
        <w:tab w:val="left" w:pos="1440"/>
        <w:tab w:val="left" w:pos="1915"/>
        <w:tab w:val="left" w:pos="2405"/>
        <w:tab w:val="left" w:pos="2880"/>
        <w:tab w:val="left" w:pos="3355"/>
      </w:tabs>
      <w:spacing w:after="120" w:line="240" w:lineRule="exact"/>
      <w:jc w:val="both"/>
    </w:pPr>
    <w:rPr>
      <w:rFonts w:eastAsia="Calibri"/>
      <w:spacing w:val="4"/>
      <w:w w:val="103"/>
      <w:kern w:val="14"/>
    </w:rPr>
  </w:style>
  <w:style w:type="paragraph" w:customStyle="1" w:styleId="SM">
    <w:name w:val="__S_M"/>
    <w:basedOn w:val="Normal"/>
    <w:next w:val="Normal"/>
    <w:rsid w:val="005D730C"/>
    <w:pPr>
      <w:keepNext/>
      <w:keepLines/>
      <w:tabs>
        <w:tab w:val="right" w:leader="dot" w:pos="360"/>
      </w:tabs>
      <w:spacing w:line="390" w:lineRule="exact"/>
      <w:ind w:left="1267" w:right="1267"/>
      <w:outlineLvl w:val="0"/>
    </w:pPr>
    <w:rPr>
      <w:rFonts w:eastAsia="Calibri"/>
      <w:b/>
      <w:spacing w:val="-4"/>
      <w:w w:val="98"/>
      <w:kern w:val="14"/>
      <w:sz w:val="40"/>
    </w:rPr>
  </w:style>
  <w:style w:type="paragraph" w:customStyle="1" w:styleId="SL">
    <w:name w:val="__S_L"/>
    <w:basedOn w:val="SM"/>
    <w:next w:val="Normal"/>
    <w:rsid w:val="005D730C"/>
    <w:pPr>
      <w:spacing w:line="540" w:lineRule="exact"/>
    </w:pPr>
    <w:rPr>
      <w:spacing w:val="-8"/>
      <w:w w:val="96"/>
      <w:sz w:val="57"/>
    </w:rPr>
  </w:style>
  <w:style w:type="paragraph" w:customStyle="1" w:styleId="SS">
    <w:name w:val="__S_S"/>
    <w:basedOn w:val="HCh"/>
    <w:next w:val="Normal"/>
    <w:rsid w:val="005D730C"/>
    <w:pPr>
      <w:ind w:left="1267" w:right="1267"/>
    </w:pPr>
  </w:style>
  <w:style w:type="paragraph" w:customStyle="1" w:styleId="SingleTxt">
    <w:name w:val="__Single Txt"/>
    <w:basedOn w:val="Normal"/>
    <w:rsid w:val="005D730C"/>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267" w:right="1267"/>
      <w:jc w:val="both"/>
    </w:pPr>
    <w:rPr>
      <w:rFonts w:eastAsia="Calibri"/>
      <w:spacing w:val="4"/>
      <w:w w:val="103"/>
      <w:kern w:val="14"/>
    </w:rPr>
  </w:style>
  <w:style w:type="paragraph" w:customStyle="1" w:styleId="AgendaItemNormal">
    <w:name w:val="Agenda_Item_Normal"/>
    <w:next w:val="Normal"/>
    <w:qFormat/>
    <w:rsid w:val="005D730C"/>
    <w:pPr>
      <w:spacing w:line="240" w:lineRule="exact"/>
    </w:pPr>
    <w:rPr>
      <w:rFonts w:eastAsia="Calibri"/>
      <w:spacing w:val="4"/>
      <w:w w:val="103"/>
      <w:kern w:val="14"/>
      <w:lang w:val="en-GB" w:eastAsia="en-US"/>
    </w:rPr>
  </w:style>
  <w:style w:type="paragraph" w:customStyle="1" w:styleId="TitleH1">
    <w:name w:val="Title_H1"/>
    <w:basedOn w:val="Normal"/>
    <w:next w:val="SingleTxt"/>
    <w:qFormat/>
    <w:rsid w:val="005D730C"/>
    <w:pPr>
      <w:keepNext/>
      <w:keepLines/>
      <w:spacing w:line="270" w:lineRule="exact"/>
      <w:ind w:left="1267" w:right="1267" w:hanging="1267"/>
      <w:outlineLvl w:val="0"/>
    </w:pPr>
    <w:rPr>
      <w:rFonts w:eastAsia="Calibri"/>
      <w:b/>
      <w:spacing w:val="4"/>
      <w:w w:val="103"/>
      <w:kern w:val="14"/>
      <w:sz w:val="24"/>
    </w:rPr>
  </w:style>
  <w:style w:type="paragraph" w:customStyle="1" w:styleId="AgendaTitleH2">
    <w:name w:val="Agenda_Title_H2"/>
    <w:basedOn w:val="TitleH1"/>
    <w:next w:val="Normal"/>
    <w:qFormat/>
    <w:rsid w:val="005D730C"/>
    <w:pPr>
      <w:spacing w:line="240" w:lineRule="exact"/>
      <w:ind w:left="0" w:right="5040" w:firstLine="0"/>
      <w:outlineLvl w:val="1"/>
    </w:pPr>
    <w:rPr>
      <w:sz w:val="20"/>
    </w:rPr>
  </w:style>
  <w:style w:type="paragraph" w:customStyle="1" w:styleId="Bullet1">
    <w:name w:val="Bullet 1"/>
    <w:basedOn w:val="Normal"/>
    <w:qFormat/>
    <w:rsid w:val="005D730C"/>
    <w:pPr>
      <w:numPr>
        <w:numId w:val="11"/>
      </w:numPr>
      <w:tabs>
        <w:tab w:val="num" w:pos="360"/>
      </w:tabs>
      <w:spacing w:after="120"/>
      <w:ind w:left="360" w:right="1267"/>
      <w:jc w:val="both"/>
    </w:pPr>
    <w:rPr>
      <w:rFonts w:eastAsia="Calibri"/>
      <w:spacing w:val="4"/>
      <w:w w:val="103"/>
      <w:kern w:val="14"/>
    </w:rPr>
  </w:style>
  <w:style w:type="paragraph" w:customStyle="1" w:styleId="Bullet2">
    <w:name w:val="Bullet 2"/>
    <w:basedOn w:val="Normal"/>
    <w:qFormat/>
    <w:rsid w:val="005D730C"/>
    <w:pPr>
      <w:numPr>
        <w:numId w:val="9"/>
      </w:numPr>
      <w:tabs>
        <w:tab w:val="num" w:pos="1701"/>
      </w:tabs>
      <w:spacing w:after="120" w:line="240" w:lineRule="exact"/>
      <w:ind w:left="1701" w:right="1264" w:hanging="170"/>
      <w:jc w:val="both"/>
    </w:pPr>
    <w:rPr>
      <w:rFonts w:eastAsia="Calibri"/>
      <w:spacing w:val="4"/>
      <w:w w:val="103"/>
      <w:kern w:val="14"/>
    </w:rPr>
  </w:style>
  <w:style w:type="paragraph" w:customStyle="1" w:styleId="Bullet3">
    <w:name w:val="Bullet 3"/>
    <w:basedOn w:val="SingleTxt"/>
    <w:qFormat/>
    <w:rsid w:val="005D730C"/>
    <w:pPr>
      <w:numPr>
        <w:numId w:val="12"/>
      </w:numPr>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num" w:pos="360"/>
      </w:tabs>
      <w:ind w:left="360"/>
    </w:pPr>
  </w:style>
  <w:style w:type="paragraph" w:styleId="Caption">
    <w:name w:val="caption"/>
    <w:basedOn w:val="Normal"/>
    <w:next w:val="Normal"/>
    <w:uiPriority w:val="35"/>
    <w:semiHidden/>
    <w:unhideWhenUsed/>
    <w:rsid w:val="005D730C"/>
    <w:pPr>
      <w:spacing w:line="240" w:lineRule="auto"/>
    </w:pPr>
    <w:rPr>
      <w:rFonts w:eastAsia="Calibri"/>
      <w:b/>
      <w:bCs/>
      <w:color w:val="4F81BD"/>
      <w:spacing w:val="4"/>
      <w:w w:val="103"/>
      <w:kern w:val="14"/>
      <w:sz w:val="18"/>
      <w:szCs w:val="18"/>
    </w:rPr>
  </w:style>
  <w:style w:type="character" w:styleId="CommentReference">
    <w:name w:val="annotation reference"/>
    <w:uiPriority w:val="99"/>
    <w:semiHidden/>
    <w:rsid w:val="005D730C"/>
    <w:rPr>
      <w:sz w:val="6"/>
    </w:rPr>
  </w:style>
  <w:style w:type="paragraph" w:customStyle="1" w:styleId="Distribution">
    <w:name w:val="Distribution"/>
    <w:next w:val="Normal"/>
    <w:rsid w:val="005D730C"/>
    <w:pPr>
      <w:spacing w:before="240"/>
    </w:pPr>
    <w:rPr>
      <w:rFonts w:eastAsia="Calibri"/>
      <w:spacing w:val="4"/>
      <w:w w:val="103"/>
      <w:kern w:val="14"/>
      <w:lang w:val="en-GB" w:eastAsia="en-US"/>
    </w:rPr>
  </w:style>
  <w:style w:type="character" w:customStyle="1" w:styleId="FootnoteTextChar">
    <w:name w:val="Footnote Text Char"/>
    <w:aliases w:val="5_G Char,Footnote Text Char Char Char,Footnote Text Char1 Char Char Char,Footnote Text Char Char Char Char Char,Footnote Text Char Char1 Char,Texto nota pie Car Char,Texto nota pie Car Car Car Char,Footnote text Char,Char Char"/>
    <w:basedOn w:val="DefaultParagraphFont"/>
    <w:link w:val="FootnoteText"/>
    <w:uiPriority w:val="99"/>
    <w:qFormat/>
    <w:rsid w:val="005D730C"/>
    <w:rPr>
      <w:sz w:val="18"/>
      <w:lang w:val="en-GB" w:eastAsia="en-US"/>
    </w:rPr>
  </w:style>
  <w:style w:type="character" w:customStyle="1" w:styleId="EndnoteTextChar">
    <w:name w:val="Endnote Text Char"/>
    <w:aliases w:val="2_G Char"/>
    <w:basedOn w:val="DefaultParagraphFont"/>
    <w:link w:val="EndnoteText"/>
    <w:uiPriority w:val="99"/>
    <w:rsid w:val="005D730C"/>
    <w:rPr>
      <w:sz w:val="18"/>
      <w:lang w:val="en-GB" w:eastAsia="en-US"/>
    </w:rPr>
  </w:style>
  <w:style w:type="character" w:customStyle="1" w:styleId="FooterChar">
    <w:name w:val="Footer Char"/>
    <w:aliases w:val="3_G Char"/>
    <w:basedOn w:val="DefaultParagraphFont"/>
    <w:link w:val="Footer"/>
    <w:uiPriority w:val="99"/>
    <w:rsid w:val="005D730C"/>
    <w:rPr>
      <w:sz w:val="16"/>
      <w:lang w:val="en-GB" w:eastAsia="en-US"/>
    </w:rPr>
  </w:style>
  <w:style w:type="paragraph" w:customStyle="1" w:styleId="HdBanner">
    <w:name w:val="Hd Banner"/>
    <w:basedOn w:val="Normal"/>
    <w:next w:val="Normal"/>
    <w:qFormat/>
    <w:rsid w:val="005D730C"/>
    <w:pPr>
      <w:keepLines/>
      <w:shd w:val="pct10" w:color="auto" w:fill="FFFFFF"/>
      <w:tabs>
        <w:tab w:val="left" w:pos="2218"/>
      </w:tabs>
      <w:spacing w:line="360" w:lineRule="exact"/>
    </w:pPr>
    <w:rPr>
      <w:rFonts w:eastAsia="Calibri"/>
      <w:b/>
      <w:spacing w:val="1"/>
      <w:w w:val="103"/>
      <w:kern w:val="14"/>
      <w:position w:val="6"/>
      <w:sz w:val="24"/>
      <w:szCs w:val="24"/>
    </w:rPr>
  </w:style>
  <w:style w:type="paragraph" w:customStyle="1" w:styleId="HdChapterLt">
    <w:name w:val="Hd Chapter Lt"/>
    <w:basedOn w:val="Normal"/>
    <w:next w:val="Normal"/>
    <w:qFormat/>
    <w:rsid w:val="005D730C"/>
    <w:pPr>
      <w:keepNext/>
      <w:keepLines/>
      <w:tabs>
        <w:tab w:val="left" w:pos="2218"/>
      </w:tabs>
      <w:spacing w:before="300" w:line="300" w:lineRule="exact"/>
    </w:pPr>
    <w:rPr>
      <w:rFonts w:eastAsia="Calibri"/>
      <w:spacing w:val="2"/>
      <w:w w:val="96"/>
      <w:kern w:val="34"/>
      <w:sz w:val="28"/>
      <w:szCs w:val="28"/>
    </w:rPr>
  </w:style>
  <w:style w:type="paragraph" w:customStyle="1" w:styleId="HdChapterBD">
    <w:name w:val="Hd Chapter BD"/>
    <w:basedOn w:val="HdChapterLt"/>
    <w:next w:val="Normal"/>
    <w:qFormat/>
    <w:rsid w:val="005D730C"/>
    <w:pPr>
      <w:spacing w:before="240"/>
    </w:pPr>
    <w:rPr>
      <w:b/>
      <w:spacing w:val="-2"/>
      <w:w w:val="100"/>
    </w:rPr>
  </w:style>
  <w:style w:type="paragraph" w:customStyle="1" w:styleId="HdChapterBdLg">
    <w:name w:val="Hd Chapter Bd Lg"/>
    <w:basedOn w:val="HdChapterBD"/>
    <w:next w:val="Normal"/>
    <w:qFormat/>
    <w:rsid w:val="005D730C"/>
    <w:rPr>
      <w:spacing w:val="-3"/>
      <w:w w:val="99"/>
      <w:kern w:val="14"/>
      <w:sz w:val="34"/>
      <w:szCs w:val="34"/>
    </w:rPr>
  </w:style>
  <w:style w:type="character" w:customStyle="1" w:styleId="HeaderChar">
    <w:name w:val="Header Char"/>
    <w:aliases w:val="6_G Char"/>
    <w:basedOn w:val="DefaultParagraphFont"/>
    <w:link w:val="Header"/>
    <w:uiPriority w:val="99"/>
    <w:rsid w:val="005D730C"/>
    <w:rPr>
      <w:b/>
      <w:sz w:val="18"/>
      <w:lang w:val="en-GB" w:eastAsia="en-US"/>
    </w:rPr>
  </w:style>
  <w:style w:type="character" w:customStyle="1" w:styleId="Heading1Char">
    <w:name w:val="Heading 1 Char"/>
    <w:aliases w:val="Table_G Char"/>
    <w:link w:val="Heading1"/>
    <w:rsid w:val="005D730C"/>
    <w:rPr>
      <w:lang w:val="en-GB" w:eastAsia="en-US"/>
    </w:rPr>
  </w:style>
  <w:style w:type="character" w:customStyle="1" w:styleId="Heading2Char">
    <w:name w:val="Heading 2 Char"/>
    <w:link w:val="Heading2"/>
    <w:rsid w:val="005D730C"/>
    <w:rPr>
      <w:lang w:val="en-GB" w:eastAsia="en-US"/>
    </w:rPr>
  </w:style>
  <w:style w:type="character" w:customStyle="1" w:styleId="Heading3Char">
    <w:name w:val="Heading 3 Char"/>
    <w:link w:val="Heading3"/>
    <w:rsid w:val="005D730C"/>
    <w:rPr>
      <w:lang w:val="en-GB" w:eastAsia="en-US"/>
    </w:rPr>
  </w:style>
  <w:style w:type="character" w:customStyle="1" w:styleId="Heading4Char">
    <w:name w:val="Heading 4 Char"/>
    <w:link w:val="Heading4"/>
    <w:semiHidden/>
    <w:rsid w:val="005D730C"/>
    <w:rPr>
      <w:lang w:val="en-GB" w:eastAsia="en-US"/>
    </w:rPr>
  </w:style>
  <w:style w:type="character" w:customStyle="1" w:styleId="Heading5Char">
    <w:name w:val="Heading 5 Char"/>
    <w:link w:val="Heading5"/>
    <w:uiPriority w:val="9"/>
    <w:rsid w:val="005D730C"/>
    <w:rPr>
      <w:lang w:val="en-GB" w:eastAsia="en-US"/>
    </w:rPr>
  </w:style>
  <w:style w:type="character" w:customStyle="1" w:styleId="Heading6Char">
    <w:name w:val="Heading 6 Char"/>
    <w:link w:val="Heading6"/>
    <w:semiHidden/>
    <w:rsid w:val="005D730C"/>
    <w:rPr>
      <w:lang w:val="en-GB" w:eastAsia="en-US"/>
    </w:rPr>
  </w:style>
  <w:style w:type="character" w:customStyle="1" w:styleId="Heading7Char">
    <w:name w:val="Heading 7 Char"/>
    <w:link w:val="Heading7"/>
    <w:semiHidden/>
    <w:rsid w:val="005D730C"/>
    <w:rPr>
      <w:lang w:val="en-GB" w:eastAsia="en-US"/>
    </w:rPr>
  </w:style>
  <w:style w:type="character" w:customStyle="1" w:styleId="Heading8Char">
    <w:name w:val="Heading 8 Char"/>
    <w:link w:val="Heading8"/>
    <w:semiHidden/>
    <w:rsid w:val="005D730C"/>
    <w:rPr>
      <w:lang w:val="en-GB" w:eastAsia="en-US"/>
    </w:rPr>
  </w:style>
  <w:style w:type="character" w:customStyle="1" w:styleId="Heading9Char">
    <w:name w:val="Heading 9 Char"/>
    <w:link w:val="Heading9"/>
    <w:semiHidden/>
    <w:rsid w:val="005D730C"/>
    <w:rPr>
      <w:lang w:val="en-GB" w:eastAsia="en-US"/>
    </w:rPr>
  </w:style>
  <w:style w:type="paragraph" w:customStyle="1" w:styleId="JournalHeading1">
    <w:name w:val="Journal_Heading1"/>
    <w:basedOn w:val="Normal"/>
    <w:next w:val="Normal"/>
    <w:qFormat/>
    <w:rsid w:val="005D730C"/>
    <w:pPr>
      <w:keepNext/>
      <w:spacing w:before="190" w:line="270" w:lineRule="exact"/>
    </w:pPr>
    <w:rPr>
      <w:rFonts w:eastAsia="Calibri"/>
      <w:b/>
      <w:spacing w:val="4"/>
      <w:w w:val="103"/>
      <w:kern w:val="14"/>
      <w:sz w:val="24"/>
    </w:rPr>
  </w:style>
  <w:style w:type="paragraph" w:customStyle="1" w:styleId="JournalHeading2">
    <w:name w:val="Journal_Heading2"/>
    <w:basedOn w:val="Normal"/>
    <w:next w:val="Normal"/>
    <w:qFormat/>
    <w:rsid w:val="005D730C"/>
    <w:pPr>
      <w:keepNext/>
      <w:keepLines/>
      <w:spacing w:before="240" w:line="240" w:lineRule="exact"/>
      <w:outlineLvl w:val="1"/>
    </w:pPr>
    <w:rPr>
      <w:rFonts w:eastAsia="Calibri"/>
      <w:b/>
      <w:spacing w:val="2"/>
      <w:w w:val="103"/>
      <w:kern w:val="14"/>
    </w:rPr>
  </w:style>
  <w:style w:type="paragraph" w:customStyle="1" w:styleId="JournalHeading4">
    <w:name w:val="Journal_Heading4"/>
    <w:basedOn w:val="Normal"/>
    <w:next w:val="Normal"/>
    <w:qFormat/>
    <w:rsid w:val="005D730C"/>
    <w:pPr>
      <w:keepNext/>
      <w:keepLines/>
      <w:spacing w:before="240" w:line="240" w:lineRule="exact"/>
      <w:outlineLvl w:val="3"/>
    </w:pPr>
    <w:rPr>
      <w:rFonts w:eastAsia="Calibri"/>
      <w:i/>
      <w:spacing w:val="4"/>
      <w:w w:val="103"/>
      <w:kern w:val="14"/>
    </w:rPr>
  </w:style>
  <w:style w:type="character" w:styleId="LineNumber">
    <w:name w:val="line number"/>
    <w:rsid w:val="005D730C"/>
    <w:rPr>
      <w:sz w:val="14"/>
    </w:rPr>
  </w:style>
  <w:style w:type="paragraph" w:styleId="NoSpacing">
    <w:name w:val="No Spacing"/>
    <w:basedOn w:val="Normal"/>
    <w:uiPriority w:val="1"/>
    <w:rsid w:val="005D730C"/>
    <w:pPr>
      <w:spacing w:line="240" w:lineRule="auto"/>
    </w:pPr>
    <w:rPr>
      <w:rFonts w:eastAsia="Calibri"/>
      <w:spacing w:val="4"/>
      <w:w w:val="103"/>
      <w:kern w:val="14"/>
    </w:rPr>
  </w:style>
  <w:style w:type="paragraph" w:customStyle="1" w:styleId="NormalBullet">
    <w:name w:val="Normal Bullet"/>
    <w:basedOn w:val="Normal"/>
    <w:next w:val="Normal"/>
    <w:qFormat/>
    <w:rsid w:val="005D730C"/>
    <w:pPr>
      <w:keepLines/>
      <w:numPr>
        <w:numId w:val="10"/>
      </w:numPr>
      <w:tabs>
        <w:tab w:val="clear" w:pos="2376"/>
        <w:tab w:val="left" w:pos="2218"/>
        <w:tab w:val="num" w:pos="2268"/>
      </w:tabs>
      <w:spacing w:before="40" w:after="80" w:line="240" w:lineRule="exact"/>
      <w:ind w:left="2268" w:right="302" w:hanging="170"/>
    </w:pPr>
    <w:rPr>
      <w:rFonts w:eastAsia="Calibri"/>
      <w:spacing w:val="4"/>
      <w:w w:val="103"/>
      <w:kern w:val="14"/>
    </w:rPr>
  </w:style>
  <w:style w:type="paragraph" w:customStyle="1" w:styleId="NormalSchedule">
    <w:name w:val="Normal Schedule"/>
    <w:basedOn w:val="Normal"/>
    <w:next w:val="Normal"/>
    <w:qFormat/>
    <w:rsid w:val="005D730C"/>
    <w:pPr>
      <w:tabs>
        <w:tab w:val="left" w:leader="dot" w:pos="2218"/>
        <w:tab w:val="left" w:pos="2707"/>
        <w:tab w:val="right" w:leader="dot" w:pos="9835"/>
      </w:tabs>
      <w:spacing w:line="240" w:lineRule="exact"/>
    </w:pPr>
    <w:rPr>
      <w:rFonts w:eastAsia="Calibri"/>
      <w:spacing w:val="4"/>
      <w:w w:val="103"/>
      <w:kern w:val="14"/>
    </w:rPr>
  </w:style>
  <w:style w:type="paragraph" w:customStyle="1" w:styleId="Original">
    <w:name w:val="Original"/>
    <w:next w:val="Normal"/>
    <w:rsid w:val="005D730C"/>
    <w:rPr>
      <w:rFonts w:eastAsia="Calibri"/>
      <w:spacing w:val="4"/>
      <w:w w:val="103"/>
      <w:kern w:val="14"/>
      <w:lang w:val="en-GB" w:eastAsia="en-US"/>
    </w:rPr>
  </w:style>
  <w:style w:type="paragraph" w:customStyle="1" w:styleId="Publication">
    <w:name w:val="Publication"/>
    <w:next w:val="Normal"/>
    <w:rsid w:val="005D730C"/>
    <w:rPr>
      <w:rFonts w:eastAsia="Calibri"/>
      <w:spacing w:val="4"/>
      <w:w w:val="103"/>
      <w:kern w:val="14"/>
      <w:lang w:val="en-GB" w:eastAsia="en-US"/>
    </w:rPr>
  </w:style>
  <w:style w:type="paragraph" w:customStyle="1" w:styleId="ReleaseDate">
    <w:name w:val="ReleaseDate"/>
    <w:next w:val="Footer"/>
    <w:autoRedefine/>
    <w:qFormat/>
    <w:rsid w:val="005D730C"/>
    <w:rPr>
      <w:rFonts w:eastAsia="Calibri"/>
      <w:spacing w:val="4"/>
      <w:w w:val="103"/>
      <w:szCs w:val="22"/>
      <w:lang w:val="es-ES" w:eastAsia="en-US"/>
    </w:rPr>
  </w:style>
  <w:style w:type="paragraph" w:customStyle="1" w:styleId="Small">
    <w:name w:val="Small"/>
    <w:basedOn w:val="Normal"/>
    <w:next w:val="Normal"/>
    <w:rsid w:val="005D730C"/>
    <w:pPr>
      <w:tabs>
        <w:tab w:val="right" w:pos="9965"/>
      </w:tabs>
      <w:spacing w:line="210" w:lineRule="exact"/>
    </w:pPr>
    <w:rPr>
      <w:rFonts w:eastAsia="Calibri"/>
      <w:spacing w:val="5"/>
      <w:w w:val="104"/>
      <w:kern w:val="14"/>
      <w:sz w:val="17"/>
    </w:rPr>
  </w:style>
  <w:style w:type="paragraph" w:customStyle="1" w:styleId="SmallX">
    <w:name w:val="SmallX"/>
    <w:basedOn w:val="Small"/>
    <w:next w:val="Normal"/>
    <w:rsid w:val="005D730C"/>
    <w:pPr>
      <w:spacing w:line="180" w:lineRule="exact"/>
      <w:jc w:val="right"/>
    </w:pPr>
    <w:rPr>
      <w:spacing w:val="6"/>
      <w:w w:val="106"/>
      <w:sz w:val="14"/>
    </w:rPr>
  </w:style>
  <w:style w:type="paragraph" w:customStyle="1" w:styleId="TitleHCH">
    <w:name w:val="Title_H_CH"/>
    <w:basedOn w:val="H1"/>
    <w:next w:val="Normal"/>
    <w:qFormat/>
    <w:rsid w:val="005D730C"/>
    <w:pPr>
      <w:spacing w:line="300" w:lineRule="exact"/>
      <w:ind w:left="0" w:right="0" w:firstLine="0"/>
    </w:pPr>
    <w:rPr>
      <w:spacing w:val="-2"/>
      <w:sz w:val="28"/>
    </w:rPr>
  </w:style>
  <w:style w:type="paragraph" w:customStyle="1" w:styleId="TitleH2">
    <w:name w:val="Title_H2"/>
    <w:basedOn w:val="Normal"/>
    <w:next w:val="Normal"/>
    <w:qFormat/>
    <w:rsid w:val="005D730C"/>
    <w:pPr>
      <w:spacing w:line="240" w:lineRule="exact"/>
      <w:outlineLvl w:val="1"/>
    </w:pPr>
    <w:rPr>
      <w:rFonts w:eastAsia="Calibri"/>
      <w:b/>
      <w:spacing w:val="4"/>
      <w:w w:val="103"/>
      <w:kern w:val="14"/>
    </w:rPr>
  </w:style>
  <w:style w:type="paragraph" w:customStyle="1" w:styleId="TOCHeading1">
    <w:name w:val="TOC Heading1"/>
    <w:basedOn w:val="Heading1"/>
    <w:next w:val="Normal"/>
    <w:uiPriority w:val="39"/>
    <w:semiHidden/>
    <w:unhideWhenUsed/>
    <w:qFormat/>
    <w:rsid w:val="005D730C"/>
    <w:pPr>
      <w:keepNext/>
      <w:spacing w:before="240" w:after="60" w:line="240" w:lineRule="exact"/>
      <w:ind w:left="0"/>
      <w:outlineLvl w:val="9"/>
    </w:pPr>
    <w:rPr>
      <w:rFonts w:ascii="Arial" w:eastAsia="SimSun" w:hAnsi="Arial"/>
      <w:b/>
      <w:bCs/>
      <w:spacing w:val="4"/>
      <w:w w:val="103"/>
      <w:kern w:val="32"/>
      <w:sz w:val="32"/>
      <w:szCs w:val="28"/>
      <w:lang w:bidi="en-US"/>
    </w:rPr>
  </w:style>
  <w:style w:type="paragraph" w:customStyle="1" w:styleId="XLarge">
    <w:name w:val="XLarge"/>
    <w:basedOn w:val="HM"/>
    <w:rsid w:val="005D730C"/>
    <w:pPr>
      <w:spacing w:line="390" w:lineRule="exact"/>
    </w:pPr>
    <w:rPr>
      <w:spacing w:val="-4"/>
      <w:w w:val="98"/>
      <w:sz w:val="40"/>
    </w:rPr>
  </w:style>
  <w:style w:type="paragraph" w:styleId="PlainText">
    <w:name w:val="Plain Text"/>
    <w:basedOn w:val="Normal"/>
    <w:link w:val="PlainTextChar"/>
    <w:rsid w:val="005D730C"/>
    <w:pPr>
      <w:suppressAutoHyphens w:val="0"/>
      <w:spacing w:line="240" w:lineRule="auto"/>
    </w:pPr>
    <w:rPr>
      <w:rFonts w:ascii="Courier New" w:hAnsi="Courier New"/>
      <w:lang w:val="en-US" w:eastAsia="en-GB"/>
    </w:rPr>
  </w:style>
  <w:style w:type="character" w:customStyle="1" w:styleId="PlainTextChar">
    <w:name w:val="Plain Text Char"/>
    <w:basedOn w:val="DefaultParagraphFont"/>
    <w:link w:val="PlainText"/>
    <w:rsid w:val="005D730C"/>
    <w:rPr>
      <w:rFonts w:ascii="Courier New" w:hAnsi="Courier New"/>
      <w:lang w:val="en-US" w:eastAsia="en-GB"/>
    </w:rPr>
  </w:style>
  <w:style w:type="paragraph" w:customStyle="1" w:styleId="ReleaseDate0">
    <w:name w:val="Release Date"/>
    <w:next w:val="Footer"/>
    <w:rsid w:val="005D730C"/>
    <w:rPr>
      <w:rFonts w:eastAsia="Calibri"/>
      <w:spacing w:val="4"/>
      <w:w w:val="103"/>
      <w:kern w:val="14"/>
      <w:lang w:val="en-GB" w:eastAsia="en-US"/>
    </w:rPr>
  </w:style>
  <w:style w:type="paragraph" w:customStyle="1" w:styleId="Session">
    <w:name w:val="Session"/>
    <w:basedOn w:val="H23"/>
    <w:rsid w:val="005D730C"/>
  </w:style>
  <w:style w:type="table" w:customStyle="1" w:styleId="TableGrid1">
    <w:name w:val="Table Grid1"/>
    <w:basedOn w:val="TableNormal"/>
    <w:next w:val="TableGrid"/>
    <w:rsid w:val="005D730C"/>
    <w:pPr>
      <w:suppressAutoHyphens/>
      <w:spacing w:line="240" w:lineRule="exact"/>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onsors">
    <w:name w:val="Sponsors"/>
    <w:basedOn w:val="Normal"/>
    <w:next w:val="Normal"/>
    <w:qFormat/>
    <w:rsid w:val="005D730C"/>
    <w:pPr>
      <w:spacing w:line="240" w:lineRule="exact"/>
      <w:ind w:left="1267" w:right="1267" w:hanging="1267"/>
      <w:outlineLvl w:val="1"/>
    </w:pPr>
    <w:rPr>
      <w:rFonts w:eastAsia="Calibri"/>
      <w:b/>
      <w:spacing w:val="4"/>
      <w:w w:val="103"/>
      <w:kern w:val="14"/>
    </w:rPr>
  </w:style>
  <w:style w:type="paragraph" w:customStyle="1" w:styleId="STitleM">
    <w:name w:val="S_Title_M"/>
    <w:basedOn w:val="Normal"/>
    <w:next w:val="Normal"/>
    <w:qFormat/>
    <w:rsid w:val="005D730C"/>
    <w:pPr>
      <w:keepNext/>
      <w:keepLines/>
      <w:tabs>
        <w:tab w:val="right" w:leader="dot" w:pos="357"/>
      </w:tabs>
      <w:spacing w:line="390" w:lineRule="exact"/>
      <w:ind w:left="1264" w:right="1264"/>
      <w:outlineLvl w:val="0"/>
    </w:pPr>
    <w:rPr>
      <w:rFonts w:eastAsia="Calibri"/>
      <w:b/>
      <w:spacing w:val="-4"/>
      <w:w w:val="98"/>
      <w:kern w:val="14"/>
      <w:sz w:val="40"/>
    </w:rPr>
  </w:style>
  <w:style w:type="paragraph" w:customStyle="1" w:styleId="STitleS">
    <w:name w:val="S_Title_S"/>
    <w:basedOn w:val="HCh"/>
    <w:next w:val="Normal"/>
    <w:qFormat/>
    <w:rsid w:val="005D730C"/>
    <w:pPr>
      <w:ind w:left="1264" w:right="1264"/>
    </w:pPr>
  </w:style>
  <w:style w:type="paragraph" w:customStyle="1" w:styleId="STitleL">
    <w:name w:val="S_Title_L"/>
    <w:basedOn w:val="SM"/>
    <w:next w:val="Normal"/>
    <w:qFormat/>
    <w:rsid w:val="005D730C"/>
    <w:pPr>
      <w:spacing w:line="540" w:lineRule="exact"/>
    </w:pPr>
    <w:rPr>
      <w:rFonts w:eastAsia="SimSun"/>
      <w:spacing w:val="-8"/>
      <w:w w:val="96"/>
      <w:sz w:val="57"/>
      <w:lang w:eastAsia="zh-CN"/>
    </w:rPr>
  </w:style>
  <w:style w:type="paragraph" w:customStyle="1" w:styleId="SummaryRecord">
    <w:name w:val="SummaryRecord"/>
    <w:basedOn w:val="H23"/>
    <w:next w:val="Session"/>
    <w:qFormat/>
    <w:rsid w:val="005D730C"/>
  </w:style>
  <w:style w:type="paragraph" w:customStyle="1" w:styleId="SRMeetingInfo">
    <w:name w:val="SR_Meeting_Info"/>
    <w:next w:val="Normal"/>
    <w:qFormat/>
    <w:rsid w:val="005D730C"/>
    <w:pPr>
      <w:spacing w:line="240" w:lineRule="exact"/>
    </w:pPr>
    <w:rPr>
      <w:rFonts w:eastAsia="Calibri"/>
      <w:spacing w:val="4"/>
      <w:w w:val="103"/>
      <w:kern w:val="14"/>
      <w:lang w:val="en-US" w:eastAsia="en-US"/>
    </w:rPr>
  </w:style>
  <w:style w:type="paragraph" w:styleId="NormalWeb">
    <w:name w:val="Normal (Web)"/>
    <w:basedOn w:val="Normal"/>
    <w:uiPriority w:val="99"/>
    <w:unhideWhenUsed/>
    <w:rsid w:val="005D730C"/>
    <w:pPr>
      <w:spacing w:line="240" w:lineRule="exact"/>
    </w:pPr>
    <w:rPr>
      <w:rFonts w:eastAsia="Calibri"/>
      <w:spacing w:val="4"/>
      <w:w w:val="103"/>
      <w:kern w:val="14"/>
      <w:sz w:val="24"/>
      <w:szCs w:val="24"/>
    </w:rPr>
  </w:style>
  <w:style w:type="paragraph" w:customStyle="1" w:styleId="SRContents">
    <w:name w:val="SR_Contents"/>
    <w:basedOn w:val="Normal"/>
    <w:qFormat/>
    <w:rsid w:val="005D730C"/>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267" w:right="1267"/>
    </w:pPr>
    <w:rPr>
      <w:rFonts w:eastAsia="Calibri"/>
      <w:spacing w:val="4"/>
      <w:w w:val="103"/>
      <w:kern w:val="14"/>
    </w:rPr>
  </w:style>
  <w:style w:type="paragraph" w:customStyle="1" w:styleId="AgendaItemNumber">
    <w:name w:val="Agenda_Item_Number"/>
    <w:next w:val="Normal"/>
    <w:qFormat/>
    <w:rsid w:val="005D730C"/>
    <w:pPr>
      <w:spacing w:line="240" w:lineRule="exact"/>
    </w:pPr>
    <w:rPr>
      <w:rFonts w:eastAsia="Calibri"/>
      <w:spacing w:val="2"/>
      <w:w w:val="103"/>
      <w:kern w:val="14"/>
      <w:lang w:val="en-GB" w:eastAsia="en-US"/>
    </w:rPr>
  </w:style>
  <w:style w:type="paragraph" w:customStyle="1" w:styleId="AgendaItemTitle">
    <w:name w:val="Agenda_Item_Title"/>
    <w:basedOn w:val="TitleH1"/>
    <w:next w:val="Normal"/>
    <w:qFormat/>
    <w:rsid w:val="005D730C"/>
    <w:pPr>
      <w:spacing w:line="240" w:lineRule="exact"/>
      <w:ind w:left="0" w:right="5040" w:firstLine="0"/>
      <w:outlineLvl w:val="1"/>
    </w:pPr>
    <w:rPr>
      <w:sz w:val="20"/>
    </w:rPr>
  </w:style>
  <w:style w:type="paragraph" w:customStyle="1" w:styleId="DecisionNumber">
    <w:name w:val="DecisionNumber"/>
    <w:basedOn w:val="TitleH1"/>
    <w:next w:val="Normal"/>
    <w:qFormat/>
    <w:rsid w:val="005D730C"/>
    <w:pPr>
      <w:spacing w:line="240" w:lineRule="exact"/>
      <w:ind w:left="0" w:right="5040" w:firstLine="0"/>
      <w:outlineLvl w:val="1"/>
    </w:pPr>
    <w:rPr>
      <w:sz w:val="20"/>
    </w:rPr>
  </w:style>
  <w:style w:type="paragraph" w:customStyle="1" w:styleId="DecisionTitle">
    <w:name w:val="DecisionTitle"/>
    <w:basedOn w:val="TitleH1"/>
    <w:next w:val="Normal"/>
    <w:qFormat/>
    <w:rsid w:val="005D730C"/>
    <w:pPr>
      <w:spacing w:line="240" w:lineRule="exact"/>
      <w:ind w:left="0" w:right="5040" w:firstLine="0"/>
      <w:outlineLvl w:val="1"/>
    </w:pPr>
    <w:rPr>
      <w:sz w:val="20"/>
    </w:rPr>
  </w:style>
  <w:style w:type="paragraph" w:customStyle="1" w:styleId="MeetingNumber">
    <w:name w:val="MeetingNumber"/>
    <w:basedOn w:val="TitleH1"/>
    <w:next w:val="Normal"/>
    <w:qFormat/>
    <w:rsid w:val="005D730C"/>
    <w:pPr>
      <w:spacing w:line="240" w:lineRule="exact"/>
      <w:ind w:left="0" w:right="5040" w:firstLine="0"/>
      <w:outlineLvl w:val="1"/>
    </w:pPr>
    <w:rPr>
      <w:sz w:val="20"/>
    </w:rPr>
  </w:style>
  <w:style w:type="paragraph" w:styleId="CommentText">
    <w:name w:val="annotation text"/>
    <w:basedOn w:val="Normal"/>
    <w:link w:val="CommentTextChar"/>
    <w:uiPriority w:val="99"/>
    <w:unhideWhenUsed/>
    <w:rsid w:val="005D730C"/>
    <w:pPr>
      <w:spacing w:line="240" w:lineRule="auto"/>
    </w:pPr>
    <w:rPr>
      <w:rFonts w:eastAsia="Calibri"/>
      <w:spacing w:val="4"/>
      <w:w w:val="103"/>
      <w:kern w:val="14"/>
    </w:rPr>
  </w:style>
  <w:style w:type="character" w:customStyle="1" w:styleId="CommentTextChar">
    <w:name w:val="Comment Text Char"/>
    <w:basedOn w:val="DefaultParagraphFont"/>
    <w:link w:val="CommentText"/>
    <w:uiPriority w:val="99"/>
    <w:rsid w:val="005D730C"/>
    <w:rPr>
      <w:rFonts w:eastAsia="Calibri"/>
      <w:spacing w:val="4"/>
      <w:w w:val="103"/>
      <w:kern w:val="14"/>
      <w:lang w:val="en-GB" w:eastAsia="en-US"/>
    </w:rPr>
  </w:style>
  <w:style w:type="paragraph" w:styleId="CommentSubject">
    <w:name w:val="annotation subject"/>
    <w:basedOn w:val="CommentText"/>
    <w:next w:val="CommentText"/>
    <w:link w:val="CommentSubjectChar"/>
    <w:uiPriority w:val="99"/>
    <w:semiHidden/>
    <w:unhideWhenUsed/>
    <w:rsid w:val="005D730C"/>
    <w:rPr>
      <w:b/>
      <w:bCs/>
    </w:rPr>
  </w:style>
  <w:style w:type="character" w:customStyle="1" w:styleId="CommentSubjectChar">
    <w:name w:val="Comment Subject Char"/>
    <w:basedOn w:val="CommentTextChar"/>
    <w:link w:val="CommentSubject"/>
    <w:uiPriority w:val="99"/>
    <w:semiHidden/>
    <w:rsid w:val="005D730C"/>
    <w:rPr>
      <w:rFonts w:eastAsia="Calibri"/>
      <w:b/>
      <w:bCs/>
      <w:spacing w:val="4"/>
      <w:w w:val="103"/>
      <w:kern w:val="14"/>
      <w:lang w:val="en-GB" w:eastAsia="en-US"/>
    </w:rPr>
  </w:style>
  <w:style w:type="character" w:customStyle="1" w:styleId="UnresolvedMention1">
    <w:name w:val="Unresolved Mention1"/>
    <w:basedOn w:val="DefaultParagraphFont"/>
    <w:uiPriority w:val="99"/>
    <w:semiHidden/>
    <w:unhideWhenUsed/>
    <w:rsid w:val="005D730C"/>
    <w:rPr>
      <w:color w:val="605E5C"/>
      <w:shd w:val="clear" w:color="auto" w:fill="E1DFDD"/>
    </w:rPr>
  </w:style>
  <w:style w:type="paragraph" w:styleId="Revision">
    <w:name w:val="Revision"/>
    <w:hidden/>
    <w:uiPriority w:val="99"/>
    <w:semiHidden/>
    <w:rsid w:val="005D730C"/>
    <w:rPr>
      <w:rFonts w:eastAsia="Calibri"/>
      <w:spacing w:val="4"/>
      <w:w w:val="103"/>
      <w:kern w:val="14"/>
      <w:lang w:val="en-GB" w:eastAsia="en-US"/>
    </w:rPr>
  </w:style>
  <w:style w:type="character" w:customStyle="1" w:styleId="SingleTxtGChar">
    <w:name w:val="_ Single Txt_G Char"/>
    <w:link w:val="SingleTxtG"/>
    <w:locked/>
    <w:rsid w:val="005D730C"/>
    <w:rPr>
      <w:lang w:val="en-GB" w:eastAsia="en-US"/>
    </w:rPr>
  </w:style>
  <w:style w:type="paragraph" w:customStyle="1" w:styleId="Char2">
    <w:name w:val="Char2"/>
    <w:basedOn w:val="Normal"/>
    <w:link w:val="FootnoteReference"/>
    <w:rsid w:val="005D730C"/>
    <w:pPr>
      <w:suppressAutoHyphens w:val="0"/>
      <w:spacing w:after="160" w:line="240" w:lineRule="exact"/>
    </w:pPr>
    <w:rPr>
      <w:sz w:val="18"/>
      <w:vertAlign w:val="superscript"/>
      <w:lang w:val="fr-FR" w:eastAsia="fr-FR"/>
    </w:rPr>
  </w:style>
  <w:style w:type="paragraph" w:customStyle="1" w:styleId="Default">
    <w:name w:val="Default"/>
    <w:rsid w:val="005D730C"/>
    <w:pPr>
      <w:autoSpaceDE w:val="0"/>
      <w:autoSpaceDN w:val="0"/>
      <w:adjustRightInd w:val="0"/>
    </w:pPr>
    <w:rPr>
      <w:rFonts w:eastAsia="Calibri"/>
      <w:color w:val="000000"/>
      <w:sz w:val="24"/>
      <w:szCs w:val="24"/>
      <w:lang w:val="en-GB" w:eastAsia="zh-CN"/>
    </w:rPr>
  </w:style>
  <w:style w:type="paragraph" w:customStyle="1" w:styleId="ParaNoG">
    <w:name w:val="_ParaNo._G"/>
    <w:basedOn w:val="SingleTxtG"/>
    <w:qFormat/>
    <w:rsid w:val="005D730C"/>
    <w:pPr>
      <w:tabs>
        <w:tab w:val="num" w:pos="360"/>
      </w:tabs>
      <w:kinsoku w:val="0"/>
      <w:overflowPunct w:val="0"/>
      <w:autoSpaceDE w:val="0"/>
      <w:autoSpaceDN w:val="0"/>
      <w:adjustRightInd w:val="0"/>
      <w:snapToGrid w:val="0"/>
    </w:pPr>
    <w:rPr>
      <w:rFonts w:eastAsia="Calibri"/>
    </w:rPr>
  </w:style>
  <w:style w:type="character" w:customStyle="1" w:styleId="UnresolvedMention2">
    <w:name w:val="Unresolved Mention2"/>
    <w:basedOn w:val="DefaultParagraphFont"/>
    <w:uiPriority w:val="99"/>
    <w:semiHidden/>
    <w:unhideWhenUsed/>
    <w:rsid w:val="005D730C"/>
    <w:rPr>
      <w:color w:val="605E5C"/>
      <w:shd w:val="clear" w:color="auto" w:fill="E1DFDD"/>
    </w:rPr>
  </w:style>
  <w:style w:type="character" w:customStyle="1" w:styleId="Mention1">
    <w:name w:val="Mention1"/>
    <w:basedOn w:val="DefaultParagraphFont"/>
    <w:uiPriority w:val="99"/>
    <w:unhideWhenUsed/>
    <w:rsid w:val="005D730C"/>
    <w:rPr>
      <w:color w:val="2B579A"/>
      <w:shd w:val="clear" w:color="auto" w:fill="E6E6E6"/>
    </w:rPr>
  </w:style>
  <w:style w:type="character" w:customStyle="1" w:styleId="UnresolvedMention3">
    <w:name w:val="Unresolved Mention3"/>
    <w:basedOn w:val="DefaultParagraphFont"/>
    <w:uiPriority w:val="99"/>
    <w:unhideWhenUsed/>
    <w:rsid w:val="005D730C"/>
    <w:rPr>
      <w:color w:val="605E5C"/>
      <w:shd w:val="clear" w:color="auto" w:fill="E1DFDD"/>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Char Char Char Char Char Car Zchn, BVI fnr Car Zchn"/>
    <w:basedOn w:val="Normal"/>
    <w:uiPriority w:val="99"/>
    <w:rsid w:val="007E59E5"/>
    <w:pPr>
      <w:suppressAutoHyphens w:val="0"/>
      <w:spacing w:after="160" w:line="240" w:lineRule="exact"/>
      <w:jc w:val="both"/>
    </w:pPr>
    <w:rPr>
      <w:sz w:val="18"/>
      <w:vertAlign w:val="superscript"/>
      <w:lang w:val="fr-FR" w:eastAsia="fr-FR"/>
    </w:rPr>
  </w:style>
  <w:style w:type="paragraph" w:styleId="ListParagraph">
    <w:name w:val="List Paragraph"/>
    <w:basedOn w:val="Normal"/>
    <w:uiPriority w:val="34"/>
    <w:qFormat/>
    <w:rsid w:val="00730146"/>
    <w:pPr>
      <w:ind w:left="720"/>
      <w:contextualSpacing/>
    </w:pPr>
  </w:style>
  <w:style w:type="table" w:customStyle="1" w:styleId="TableGrid2">
    <w:name w:val="Table Grid2"/>
    <w:basedOn w:val="TableNormal"/>
    <w:next w:val="TableGrid"/>
    <w:rsid w:val="00730146"/>
    <w:pPr>
      <w:suppressAutoHyphens/>
      <w:spacing w:line="240" w:lineRule="atLeast"/>
    </w:pPr>
    <w:rPr>
      <w:rFonts w:eastAsia="Calibri"/>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customStyle="1" w:styleId="BookTitle1">
    <w:name w:val="Book Title1"/>
    <w:uiPriority w:val="33"/>
    <w:semiHidden/>
    <w:rsid w:val="00730146"/>
    <w:rPr>
      <w:b/>
      <w:bCs/>
      <w:smallCaps/>
      <w:spacing w:val="5"/>
    </w:rPr>
  </w:style>
  <w:style w:type="paragraph" w:customStyle="1" w:styleId="Revision1">
    <w:name w:val="Revision1"/>
    <w:hidden/>
    <w:uiPriority w:val="99"/>
    <w:semiHidden/>
    <w:rsid w:val="00730146"/>
    <w:rPr>
      <w:rFonts w:ascii="Calibri" w:eastAsia="Calibri" w:hAnsi="Calibri" w:cs="Arial"/>
      <w:sz w:val="24"/>
      <w:szCs w:val="24"/>
      <w:lang w:val="en-GB" w:eastAsia="en-US"/>
    </w:rPr>
  </w:style>
  <w:style w:type="paragraph" w:customStyle="1" w:styleId="pf0">
    <w:name w:val="pf0"/>
    <w:basedOn w:val="Normal"/>
    <w:rsid w:val="00730146"/>
    <w:pPr>
      <w:suppressAutoHyphens w:val="0"/>
      <w:spacing w:before="100" w:beforeAutospacing="1" w:after="100" w:afterAutospacing="1" w:line="240" w:lineRule="auto"/>
    </w:pPr>
    <w:rPr>
      <w:sz w:val="24"/>
      <w:szCs w:val="24"/>
      <w:lang w:eastAsia="en-GB"/>
    </w:rPr>
  </w:style>
  <w:style w:type="character" w:customStyle="1" w:styleId="cf01">
    <w:name w:val="cf01"/>
    <w:rsid w:val="00730146"/>
    <w:rPr>
      <w:rFonts w:ascii="Segoe UI" w:hAnsi="Segoe UI" w:cs="Segoe UI" w:hint="default"/>
      <w:sz w:val="18"/>
      <w:szCs w:val="18"/>
    </w:rPr>
  </w:style>
  <w:style w:type="paragraph" w:customStyle="1" w:styleId="footnotedescription">
    <w:name w:val="footnote description"/>
    <w:next w:val="Normal"/>
    <w:link w:val="footnotedescriptionChar"/>
    <w:rsid w:val="00730146"/>
    <w:pPr>
      <w:spacing w:line="259" w:lineRule="auto"/>
    </w:pPr>
    <w:rPr>
      <w:rFonts w:ascii="Calibri" w:eastAsia="Calibri" w:hAnsi="Calibri" w:cs="Calibri"/>
      <w:color w:val="0563C1"/>
      <w:sz w:val="16"/>
      <w:szCs w:val="22"/>
      <w:u w:val="single" w:color="0563C1"/>
      <w:lang w:val="en-GB" w:eastAsia="en-GB"/>
    </w:rPr>
  </w:style>
  <w:style w:type="character" w:customStyle="1" w:styleId="footnotedescriptionChar">
    <w:name w:val="footnote description Char"/>
    <w:link w:val="footnotedescription"/>
    <w:rsid w:val="00730146"/>
    <w:rPr>
      <w:rFonts w:ascii="Calibri" w:eastAsia="Calibri" w:hAnsi="Calibri" w:cs="Calibri"/>
      <w:color w:val="0563C1"/>
      <w:sz w:val="16"/>
      <w:szCs w:val="22"/>
      <w:u w:val="single" w:color="0563C1"/>
      <w:lang w:val="en-GB" w:eastAsia="en-GB"/>
    </w:rPr>
  </w:style>
  <w:style w:type="character" w:customStyle="1" w:styleId="footnotemark">
    <w:name w:val="footnote mark"/>
    <w:rsid w:val="00730146"/>
    <w:rPr>
      <w:rFonts w:ascii="Calibri" w:eastAsia="Calibri" w:hAnsi="Calibri" w:cs="Calibri"/>
      <w:color w:val="000000"/>
      <w:sz w:val="16"/>
      <w:vertAlign w:val="superscript"/>
    </w:rPr>
  </w:style>
  <w:style w:type="paragraph" w:customStyle="1" w:styleId="last">
    <w:name w:val="last"/>
    <w:basedOn w:val="Normal"/>
    <w:rsid w:val="00730146"/>
    <w:pPr>
      <w:suppressAutoHyphens w:val="0"/>
      <w:spacing w:before="100" w:beforeAutospacing="1" w:after="100" w:afterAutospacing="1" w:line="240" w:lineRule="auto"/>
    </w:pPr>
    <w:rPr>
      <w:sz w:val="24"/>
      <w:szCs w:val="24"/>
      <w:lang w:eastAsia="en-GB"/>
    </w:rPr>
  </w:style>
  <w:style w:type="character" w:customStyle="1" w:styleId="UnresolvedMention4">
    <w:name w:val="Unresolved Mention4"/>
    <w:uiPriority w:val="99"/>
    <w:semiHidden/>
    <w:unhideWhenUsed/>
    <w:rsid w:val="00730146"/>
    <w:rPr>
      <w:color w:val="605E5C"/>
      <w:shd w:val="clear" w:color="auto" w:fill="E1DFDD"/>
    </w:rPr>
  </w:style>
  <w:style w:type="character" w:customStyle="1" w:styleId="markedcontent">
    <w:name w:val="markedcontent"/>
    <w:basedOn w:val="DefaultParagraphFont"/>
    <w:rsid w:val="00730146"/>
  </w:style>
  <w:style w:type="character" w:customStyle="1" w:styleId="highlight">
    <w:name w:val="highlight"/>
    <w:basedOn w:val="DefaultParagraphFont"/>
    <w:rsid w:val="00730146"/>
  </w:style>
  <w:style w:type="character" w:customStyle="1" w:styleId="apple-converted-space">
    <w:name w:val="apple-converted-space"/>
    <w:basedOn w:val="DefaultParagraphFont"/>
    <w:rsid w:val="00730146"/>
  </w:style>
  <w:style w:type="paragraph" w:customStyle="1" w:styleId="BodyA">
    <w:name w:val="Body A"/>
    <w:rsid w:val="00730146"/>
    <w:pPr>
      <w:pBdr>
        <w:top w:val="nil"/>
        <w:left w:val="nil"/>
        <w:bottom w:val="nil"/>
        <w:right w:val="nil"/>
        <w:between w:val="nil"/>
        <w:bar w:val="nil"/>
      </w:pBdr>
    </w:pPr>
    <w:rPr>
      <w:rFonts w:ascii="Calibri" w:eastAsia="Arial Unicode MS" w:hAnsi="Calibri" w:cs="Arial Unicode MS"/>
      <w:color w:val="000000"/>
      <w:sz w:val="22"/>
      <w:szCs w:val="22"/>
      <w:u w:color="000000"/>
      <w:bdr w:val="nil"/>
      <w:lang w:val="en-US" w:eastAsia="en-US"/>
    </w:rPr>
  </w:style>
  <w:style w:type="character" w:styleId="UnresolvedMention">
    <w:name w:val="Unresolved Mention"/>
    <w:basedOn w:val="DefaultParagraphFont"/>
    <w:uiPriority w:val="99"/>
    <w:unhideWhenUsed/>
    <w:rsid w:val="007547D9"/>
    <w:rPr>
      <w:color w:val="605E5C"/>
      <w:shd w:val="clear" w:color="auto" w:fill="E1DFDD"/>
    </w:rPr>
  </w:style>
  <w:style w:type="character" w:styleId="Mention">
    <w:name w:val="Mention"/>
    <w:basedOn w:val="DefaultParagraphFont"/>
    <w:uiPriority w:val="99"/>
    <w:unhideWhenUsed/>
    <w:rsid w:val="008E56F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793027">
      <w:bodyDiv w:val="1"/>
      <w:marLeft w:val="0"/>
      <w:marRight w:val="0"/>
      <w:marTop w:val="0"/>
      <w:marBottom w:val="0"/>
      <w:divBdr>
        <w:top w:val="none" w:sz="0" w:space="0" w:color="auto"/>
        <w:left w:val="none" w:sz="0" w:space="0" w:color="auto"/>
        <w:bottom w:val="none" w:sz="0" w:space="0" w:color="auto"/>
        <w:right w:val="none" w:sz="0" w:space="0" w:color="auto"/>
      </w:divBdr>
    </w:div>
    <w:div w:id="125196596">
      <w:bodyDiv w:val="1"/>
      <w:marLeft w:val="0"/>
      <w:marRight w:val="0"/>
      <w:marTop w:val="0"/>
      <w:marBottom w:val="0"/>
      <w:divBdr>
        <w:top w:val="none" w:sz="0" w:space="0" w:color="auto"/>
        <w:left w:val="none" w:sz="0" w:space="0" w:color="auto"/>
        <w:bottom w:val="none" w:sz="0" w:space="0" w:color="auto"/>
        <w:right w:val="none" w:sz="0" w:space="0" w:color="auto"/>
      </w:divBdr>
    </w:div>
    <w:div w:id="705832934">
      <w:bodyDiv w:val="1"/>
      <w:marLeft w:val="0"/>
      <w:marRight w:val="0"/>
      <w:marTop w:val="0"/>
      <w:marBottom w:val="0"/>
      <w:divBdr>
        <w:top w:val="none" w:sz="0" w:space="0" w:color="auto"/>
        <w:left w:val="none" w:sz="0" w:space="0" w:color="auto"/>
        <w:bottom w:val="none" w:sz="0" w:space="0" w:color="auto"/>
        <w:right w:val="none" w:sz="0" w:space="0" w:color="auto"/>
      </w:divBdr>
    </w:div>
    <w:div w:id="713776540">
      <w:bodyDiv w:val="1"/>
      <w:marLeft w:val="0"/>
      <w:marRight w:val="0"/>
      <w:marTop w:val="0"/>
      <w:marBottom w:val="0"/>
      <w:divBdr>
        <w:top w:val="none" w:sz="0" w:space="0" w:color="auto"/>
        <w:left w:val="none" w:sz="0" w:space="0" w:color="auto"/>
        <w:bottom w:val="none" w:sz="0" w:space="0" w:color="auto"/>
        <w:right w:val="none" w:sz="0" w:space="0" w:color="auto"/>
      </w:divBdr>
    </w:div>
    <w:div w:id="820005900">
      <w:bodyDiv w:val="1"/>
      <w:marLeft w:val="0"/>
      <w:marRight w:val="0"/>
      <w:marTop w:val="0"/>
      <w:marBottom w:val="0"/>
      <w:divBdr>
        <w:top w:val="none" w:sz="0" w:space="0" w:color="auto"/>
        <w:left w:val="none" w:sz="0" w:space="0" w:color="auto"/>
        <w:bottom w:val="none" w:sz="0" w:space="0" w:color="auto"/>
        <w:right w:val="none" w:sz="0" w:space="0" w:color="auto"/>
      </w:divBdr>
    </w:div>
    <w:div w:id="1438329264">
      <w:bodyDiv w:val="1"/>
      <w:marLeft w:val="0"/>
      <w:marRight w:val="0"/>
      <w:marTop w:val="0"/>
      <w:marBottom w:val="0"/>
      <w:divBdr>
        <w:top w:val="none" w:sz="0" w:space="0" w:color="auto"/>
        <w:left w:val="none" w:sz="0" w:space="0" w:color="auto"/>
        <w:bottom w:val="none" w:sz="0" w:space="0" w:color="auto"/>
        <w:right w:val="none" w:sz="0" w:space="0" w:color="auto"/>
      </w:divBdr>
    </w:div>
    <w:div w:id="1491554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file:///C:/Users/Andres.Perez/Library/Containers/com.apple.mail/Data/Library/Mail%20Downloads/443834EF-A600-425E-A5F5-976BEFC90174/documents/atrocity-crimes/Doc.1_Convention%20on%20the%20Prevention%20and%20Punishment%20of%20the%20Crime%20of%20Genocide.pdf"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undocs.org/Home/Mobile?FinalSymbol=A%2FRES%2F96(I)&amp;Language=E&amp;DeviceType=Desktop&amp;LangRequested=False"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3" Type="http://schemas.openxmlformats.org/officeDocument/2006/relationships/hyperlink" Target="https://www.un.org/en/genocideprevention/documents/publications-and-resources/22-00041_OSAPG_CombatingDenial_PolicyPaper.pdf" TargetMode="External"/><Relationship Id="rId18" Type="http://schemas.openxmlformats.org/officeDocument/2006/relationships/hyperlink" Target="https://documents-dds-ny.un.org/doc/UNDOC/GEN/G13/101/48/PDF/G1310148.pdf?OpenElement" TargetMode="External"/><Relationship Id="rId26" Type="http://schemas.openxmlformats.org/officeDocument/2006/relationships/hyperlink" Target="https://indonesia.un.org/en/236014-our-common-agenda-policy-brief-8-information-integrity-digital-platforms" TargetMode="External"/><Relationship Id="rId39" Type="http://schemas.openxmlformats.org/officeDocument/2006/relationships/hyperlink" Target="https://www.ohchr.org/en/publications/policy-and-methodological-publications/berkeley-protocol-digital-open-source" TargetMode="External"/><Relationship Id="rId21" Type="http://schemas.openxmlformats.org/officeDocument/2006/relationships/hyperlink" Target="https://www.brookings.edu/articles/the-role-of-technology-in-online-misinformation/" TargetMode="External"/><Relationship Id="rId34" Type="http://schemas.openxmlformats.org/officeDocument/2006/relationships/hyperlink" Target="http://proceedings.mlr.press/v81/buolamwini18a/buolamwini18a.pdf" TargetMode="External"/><Relationship Id="rId42" Type="http://schemas.openxmlformats.org/officeDocument/2006/relationships/hyperlink" Target="https://www.un.org/en/genocideprevention/documents/publications-and-resources/22-00041_OSAPG_CombatingDenial_PolicyPaper.pdf" TargetMode="External"/><Relationship Id="rId47" Type="http://schemas.openxmlformats.org/officeDocument/2006/relationships/hyperlink" Target="https://www.ohchr.org/Documents/Issues/Minorities/SR/A_HRC_46_57.docx" TargetMode="External"/><Relationship Id="rId7" Type="http://schemas.openxmlformats.org/officeDocument/2006/relationships/hyperlink" Target="https://onu.delegfrance.org/IMG/pdf/2015_08_07_veto_political_declaration_en.pdf" TargetMode="External"/><Relationship Id="rId2" Type="http://schemas.openxmlformats.org/officeDocument/2006/relationships/hyperlink" Target="https://unitednations.sharepoint.com/sites/EOSG_DRI/InternalDRI/DRI%20Documents/F2300871-OHCHR/A/HRC/41/24" TargetMode="External"/><Relationship Id="rId16" Type="http://schemas.openxmlformats.org/officeDocument/2006/relationships/hyperlink" Target="https://www.un.org/en/genocideprevention/documents/advising-and-mobilizing/Action_plan_on_hate_speech_EN.pdf" TargetMode="External"/><Relationship Id="rId29" Type="http://schemas.openxmlformats.org/officeDocument/2006/relationships/hyperlink" Target="https://ainowinstitute.org/publication/discriminating-systems-gender-race-and-power-in-ai-2" TargetMode="External"/><Relationship Id="rId1" Type="http://schemas.openxmlformats.org/officeDocument/2006/relationships/hyperlink" Target="https://documents-dds-ny.un.org/doc/UNDOC/GEN/G19/299/76/PDF/G1929976.pdf?OpenElement" TargetMode="External"/><Relationship Id="rId6" Type="http://schemas.openxmlformats.org/officeDocument/2006/relationships/hyperlink" Target="https://documents-dds-ny.un.org/doc/UNDOC/GEN/N15/433/57/PDF/N1543357.pdf?OpenElement" TargetMode="External"/><Relationship Id="rId11" Type="http://schemas.openxmlformats.org/officeDocument/2006/relationships/hyperlink" Target="https://documents-dds-ny.un.org/doc/UNDOC/GEN/N20/185/66/PDF/N2018566.pdf?OpenElement" TargetMode="External"/><Relationship Id="rId24" Type="http://schemas.openxmlformats.org/officeDocument/2006/relationships/hyperlink" Target="https://documents-dds-ny.un.org/doc/UNDOC/GEN/N22/459/24/PDF/N2245924.pdf?OpenElement" TargetMode="External"/><Relationship Id="rId32" Type="http://schemas.openxmlformats.org/officeDocument/2006/relationships/hyperlink" Target="https://www.undocs.org/Home/Mobile?FinalSymbol=A%2FHRC%2F44%2F57&amp;Language=E&amp;DeviceType=Desktop&amp;LangRequested=False" TargetMode="External"/><Relationship Id="rId37" Type="http://schemas.openxmlformats.org/officeDocument/2006/relationships/hyperlink" Target="https://documents-dds-ny.un.org/doc/UNDOC/GEN/G21/054/14/PDF/G2105414.pdf?OpenElement" TargetMode="External"/><Relationship Id="rId40" Type="http://schemas.openxmlformats.org/officeDocument/2006/relationships/hyperlink" Target="https://digitallibrary.un.org/record/3865925?ln=en" TargetMode="External"/><Relationship Id="rId45" Type="http://schemas.openxmlformats.org/officeDocument/2006/relationships/hyperlink" Target="https://indonesia.un.org/en/236014-our-common-agenda-policy-brief-8-information-integrity-digital-platforms" TargetMode="External"/><Relationship Id="rId5" Type="http://schemas.openxmlformats.org/officeDocument/2006/relationships/hyperlink" Target="https://www.un.org/en/genocideprevention/documents/advising-and-mobilizing/Action_plan_on_hate_speech_EN.pdf" TargetMode="External"/><Relationship Id="rId15" Type="http://schemas.openxmlformats.org/officeDocument/2006/relationships/hyperlink" Target="https://www.un.org/en/genocideprevention/documents/publications-and-resources/Addressing_hate_speech_through_education_A_guide_for_policy_makers.pdf" TargetMode="External"/><Relationship Id="rId23" Type="http://schemas.openxmlformats.org/officeDocument/2006/relationships/hyperlink" Target="https://ap.ohchr.org/documents/dpage_e.aspx?si=A/HRC/39/64" TargetMode="External"/><Relationship Id="rId28" Type="http://schemas.openxmlformats.org/officeDocument/2006/relationships/hyperlink" Target="https://documents-dds-ny.un.org/doc/UNDOC/GEN/G20/349/50/pdf/G2034950.pdf?OpenElement" TargetMode="External"/><Relationship Id="rId36" Type="http://schemas.openxmlformats.org/officeDocument/2006/relationships/hyperlink" Target="https://documents-dds-ny.un.org/doc/UNDOC/GEN/G18/184/58/PDF/G1818458.pdf?OpenElement" TargetMode="External"/><Relationship Id="rId10" Type="http://schemas.openxmlformats.org/officeDocument/2006/relationships/hyperlink" Target="https://documents-dds-ny.un.org/doc/UNDOC/GEN/G22/341/55/PDF/G2234155.pdf?OpenElement" TargetMode="External"/><Relationship Id="rId19" Type="http://schemas.openxmlformats.org/officeDocument/2006/relationships/hyperlink" Target="https://indonesia.un.org/en/236014-our-common-agenda-policy-brief-8-information-integrity-digital-platforms" TargetMode="External"/><Relationship Id="rId31" Type="http://schemas.openxmlformats.org/officeDocument/2006/relationships/hyperlink" Target="https://www.ohchr.org/en/documents/thematic-reports/ahrc4831-right-privacy-digital-age-report-united-nations-high" TargetMode="External"/><Relationship Id="rId44" Type="http://schemas.openxmlformats.org/officeDocument/2006/relationships/hyperlink" Target="https://undocs.org/Home/Mobile?FinalSymbol=A%2F75%2F982&amp;Language=E&amp;DeviceType=Desktop&amp;LangRequested=False" TargetMode="External"/><Relationship Id="rId4" Type="http://schemas.openxmlformats.org/officeDocument/2006/relationships/hyperlink" Target="https://digitallibrary.un.org/record/821715?ln=en" TargetMode="External"/><Relationship Id="rId9" Type="http://schemas.openxmlformats.org/officeDocument/2006/relationships/hyperlink" Target="https://documents-dds-ny.un.org/doc/UNDOC/GEN/G22/535/29/PDF/G2253529.pdf?OpenElement" TargetMode="External"/><Relationship Id="rId14" Type="http://schemas.openxmlformats.org/officeDocument/2006/relationships/hyperlink" Target="https://www.un.org/en/genocideprevention/documents/The_Role_of_Sports_in_Countering_Hate_Speech_booklet_April_2023.pdf" TargetMode="External"/><Relationship Id="rId22" Type="http://schemas.openxmlformats.org/officeDocument/2006/relationships/hyperlink" Target="https://protectionapproaches.sharepoint.com/staff/Shared%20Documents/Atrocity%20Prevention%20Working%20Group/Joint%20activities/The%20Role%20of%20Technology%20in%20Online%20Misinformation" TargetMode="External"/><Relationship Id="rId27" Type="http://schemas.openxmlformats.org/officeDocument/2006/relationships/hyperlink" Target="https://documents-dds-ny.un.org/doc/UNDOC/GEN/G20/151/06/PDF/G2015106.pdf?OpenElement" TargetMode="External"/><Relationship Id="rId30" Type="http://schemas.openxmlformats.org/officeDocument/2006/relationships/hyperlink" Target="https://documents-dds-ny.un.org/doc/UNDOC/GEN/N19/312/13/PDF/N1931213.pdf?OpenElement" TargetMode="External"/><Relationship Id="rId35" Type="http://schemas.openxmlformats.org/officeDocument/2006/relationships/hyperlink" Target="https://www.amnesty.ca/surveillance/racial-bias-in-facial-recognition-algorithms/" TargetMode="External"/><Relationship Id="rId43" Type="http://schemas.openxmlformats.org/officeDocument/2006/relationships/hyperlink" Target="https://www.un.org/sg/sites/www.un.org.sg/files/atoms/files/The_Highest_Asperation_A_Call_To_Action_For_Human_Right_English.pdf" TargetMode="External"/><Relationship Id="rId48" Type="http://schemas.openxmlformats.org/officeDocument/2006/relationships/hyperlink" Target="https://www.ohchr.org/en/documents/thematic-reports/a77288-disinformation-and-freedom-opinion-and-expression-during-armed" TargetMode="External"/><Relationship Id="rId8" Type="http://schemas.openxmlformats.org/officeDocument/2006/relationships/hyperlink" Target="https://documents-dds-ny.un.org/doc/UNDOC/GEN/G19/299/76/PDF/G1929976.pdf?OpenElement" TargetMode="External"/><Relationship Id="rId3" Type="http://schemas.openxmlformats.org/officeDocument/2006/relationships/hyperlink" Target="https://unitednations.sharepoint.com/sites/EOSG_DRI/InternalDRI/DRI%20Documents/F2300871-OHCHR/A/HRC/41/24" TargetMode="External"/><Relationship Id="rId12" Type="http://schemas.openxmlformats.org/officeDocument/2006/relationships/hyperlink" Target="https://www.un.org/en/genocideprevention/documents/advising-and-mobilizing/Action_plan_on_hate_speech_EN.pdf" TargetMode="External"/><Relationship Id="rId17" Type="http://schemas.openxmlformats.org/officeDocument/2006/relationships/hyperlink" Target="https://www2.ohchr.org/english/bodies/hrc/docs/gc34.pdf" TargetMode="External"/><Relationship Id="rId25" Type="http://schemas.openxmlformats.org/officeDocument/2006/relationships/hyperlink" Target="https://documents-dds-ny.un.org/doc/UNDOC/GEN/N22/459/24/PDF/N2245924.pdf?OpenElement" TargetMode="External"/><Relationship Id="rId33" Type="http://schemas.openxmlformats.org/officeDocument/2006/relationships/hyperlink" Target="https://undocs.org/Home/Mobile?FinalSymbol=A%2F73%2F348&amp;Language=E&amp;DeviceType=Desktop&amp;LangRequested=False" TargetMode="External"/><Relationship Id="rId38" Type="http://schemas.openxmlformats.org/officeDocument/2006/relationships/hyperlink" Target="https://documents-dds-ny.un.org/doc/UNDOC/GEN/G18/274/54/PDF/G1827454.pdf?OpenElement" TargetMode="External"/><Relationship Id="rId46" Type="http://schemas.openxmlformats.org/officeDocument/2006/relationships/hyperlink" Target="https://undocs.org/A/HRC/47/52" TargetMode="External"/><Relationship Id="rId20" Type="http://schemas.openxmlformats.org/officeDocument/2006/relationships/hyperlink" Target="https://protectionapproaches.sharepoint.com/staff/Shared%20Documents/Atrocity%20Prevention%20Working%20Group/Joint%20activities/The%20Role%20of%20Technology%20in%20Online%20Misinformation" TargetMode="External"/><Relationship Id="rId41" Type="http://schemas.openxmlformats.org/officeDocument/2006/relationships/hyperlink" Target="https://undocs.org/Home/Mobile?FinalSymbol=A%2F74%2F821&amp;Language=E&amp;DeviceType=Desktop&amp;LangRequested=Fals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N-Docs2017\Templates\A\A_E.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452c1c78-db6e-4c21-967d-f32ecbe94f88">
      <UserInfo>
        <DisplayName>Cecely Richard-Carvajal</DisplayName>
        <AccountId>1644</AccountId>
        <AccountType/>
      </UserInfo>
      <UserInfo>
        <DisplayName>Ivana Minoska</DisplayName>
        <AccountId>478</AccountId>
        <AccountType/>
      </UserInfo>
      <UserInfo>
        <DisplayName>Lisa Chukwuma</DisplayName>
        <AccountId>1534</AccountId>
        <AccountType/>
      </UserInfo>
      <UserInfo>
        <DisplayName>Giorgia Passarelli</DisplayName>
        <AccountId>1069</AccountId>
        <AccountType/>
      </UserInfo>
      <UserInfo>
        <DisplayName>Heidi Kuttab</DisplayName>
        <AccountId>42</AccountId>
        <AccountType/>
      </UserInfo>
      <UserInfo>
        <DisplayName>Tiyanjana Mphepo</DisplayName>
        <AccountId>147</AccountId>
        <AccountType/>
      </UserInfo>
      <UserInfo>
        <DisplayName>Katrin Hett</DisplayName>
        <AccountId>56</AccountId>
        <AccountType/>
      </UserInfo>
      <UserInfo>
        <DisplayName>Timothy Wilson</DisplayName>
        <AccountId>1276</AccountId>
        <AccountType/>
      </UserInfo>
      <UserInfo>
        <DisplayName>Eihab Omaish</DisplayName>
        <AccountId>66</AccountId>
        <AccountType/>
      </UserInfo>
    </SharedWithUsers>
    <_Flow_SignoffStatus xmlns="db45806d-a62c-41bf-9916-5b8cbc5ef133" xsi:nil="true"/>
    <LinkToDocument xmlns="db45806d-a62c-41bf-9916-5b8cbc5ef133">
      <Url xsi:nil="true"/>
      <Description xsi:nil="true"/>
    </LinkToDocument>
  </documentManagement>
</p:properties>
</file>

<file path=customXml/item3.xml><?xml version="1.0" encoding="utf-8"?>
<?mso-contentType ?>
<FormTemplates xmlns="http://schemas.microsoft.com/sharepoint/v3/contenttype/forms"/>
</file>

<file path=customXml/item4.xml><?xml version="1.0" encoding="utf-8"?>
<ct:contentTypeSchema xmlns:ct="http://schemas.microsoft.com/office/2006/metadata/contentType" xmlns:ma="http://schemas.microsoft.com/office/2006/metadata/properties/metaAttributes" ct:_="" ma:_="" ma:contentTypeName="Document" ma:contentTypeID="0x0101009EE848344484DD42903BBB9E99F6B211" ma:contentTypeVersion="15" ma:contentTypeDescription="Create a new document." ma:contentTypeScope="" ma:versionID="dd4c632ba2017833b6827e43060bd824">
  <xsd:schema xmlns:xsd="http://www.w3.org/2001/XMLSchema" xmlns:xs="http://www.w3.org/2001/XMLSchema" xmlns:p="http://schemas.microsoft.com/office/2006/metadata/properties" xmlns:ns2="db45806d-a62c-41bf-9916-5b8cbc5ef133" xmlns:ns3="452c1c78-db6e-4c21-967d-f32ecbe94f88" targetNamespace="http://schemas.microsoft.com/office/2006/metadata/properties" ma:root="true" ma:fieldsID="c407e42bf126c6cff8d9c2d32e120275" ns2:_="" ns3:_="">
    <xsd:import namespace="db45806d-a62c-41bf-9916-5b8cbc5ef133"/>
    <xsd:import namespace="452c1c78-db6e-4c21-967d-f32ecbe94f88"/>
    <xsd:element name="properties">
      <xsd:complexType>
        <xsd:sequence>
          <xsd:element name="documentManagement">
            <xsd:complexType>
              <xsd:all>
                <xsd:element ref="ns2:MediaServiceMetadata" minOccurs="0"/>
                <xsd:element ref="ns2:MediaServiceFastMetadata" minOccurs="0"/>
                <xsd:element ref="ns2:LinkToDocument" minOccurs="0"/>
                <xsd:element ref="ns3:SharedWithUsers" minOccurs="0"/>
                <xsd:element ref="ns3:SharedWithDetails" minOccurs="0"/>
                <xsd:element ref="ns2:MediaServiceDateTaken" minOccurs="0"/>
                <xsd:element ref="ns2:MediaServiceAutoTags" minOccurs="0"/>
                <xsd:element ref="ns2:MediaServiceOCR" minOccurs="0"/>
                <xsd:element ref="ns2:MediaServiceAutoKeyPoints" minOccurs="0"/>
                <xsd:element ref="ns2:MediaServiceKeyPoints" minOccurs="0"/>
                <xsd:element ref="ns2:_Flow_SignoffStatu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45806d-a62c-41bf-9916-5b8cbc5ef1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inkToDocument" ma:index="10" nillable="true" ma:displayName="LinkToDocument" ma:format="Hyperlink" ma:internalName="LinkToDocument">
      <xsd:complexType>
        <xsd:complexContent>
          <xsd:extension base="dms:URL">
            <xsd:sequence>
              <xsd:element name="Url" type="dms:ValidUrl" minOccurs="0" nillable="true"/>
              <xsd:element name="Description" type="xsd:string" nillable="true"/>
            </xsd:sequence>
          </xsd:extension>
        </xsd:complexContent>
      </xsd:complex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_Flow_SignoffStatus" ma:index="18" nillable="true" ma:displayName="Sign-off status" ma:internalName="Sign_x002d_off_x0020_status">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2c1c78-db6e-4c21-967d-f32ecbe94f88" elementFormDefault="qualified">
    <xsd:import namespace="http://schemas.microsoft.com/office/2006/documentManagement/types"/>
    <xsd:import namespace="http://schemas.microsoft.com/office/infopath/2007/PartnerControls"/>
    <xsd:element name="SharedWithUsers" ma:index="11"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8F3549-94EA-4E11-9D9A-007EA5E6EFA2}">
  <ds:schemaRefs>
    <ds:schemaRef ds:uri="http://schemas.openxmlformats.org/officeDocument/2006/bibliography"/>
  </ds:schemaRefs>
</ds:datastoreItem>
</file>

<file path=customXml/itemProps2.xml><?xml version="1.0" encoding="utf-8"?>
<ds:datastoreItem xmlns:ds="http://schemas.openxmlformats.org/officeDocument/2006/customXml" ds:itemID="{FC493E0C-791F-4F7D-9276-13A634F0CF62}">
  <ds:schemaRefs>
    <ds:schemaRef ds:uri="http://schemas.microsoft.com/office/2006/metadata/properties"/>
    <ds:schemaRef ds:uri="http://purl.org/dc/dcmitype/"/>
    <ds:schemaRef ds:uri="http://schemas.openxmlformats.org/package/2006/metadata/core-properties"/>
    <ds:schemaRef ds:uri="http://schemas.microsoft.com/office/2006/documentManagement/types"/>
    <ds:schemaRef ds:uri="452c1c78-db6e-4c21-967d-f32ecbe94f88"/>
    <ds:schemaRef ds:uri="http://www.w3.org/XML/1998/namespace"/>
    <ds:schemaRef ds:uri="db45806d-a62c-41bf-9916-5b8cbc5ef133"/>
    <ds:schemaRef ds:uri="http://purl.org/dc/terms/"/>
    <ds:schemaRef ds:uri="http://schemas.microsoft.com/office/infopath/2007/PartnerControls"/>
    <ds:schemaRef ds:uri="http://purl.org/dc/elements/1.1/"/>
  </ds:schemaRefs>
</ds:datastoreItem>
</file>

<file path=customXml/itemProps3.xml><?xml version="1.0" encoding="utf-8"?>
<ds:datastoreItem xmlns:ds="http://schemas.openxmlformats.org/officeDocument/2006/customXml" ds:itemID="{94FBE8EE-97B0-431F-A795-A42DF56A5AFB}">
  <ds:schemaRefs>
    <ds:schemaRef ds:uri="http://schemas.microsoft.com/sharepoint/v3/contenttype/forms"/>
  </ds:schemaRefs>
</ds:datastoreItem>
</file>

<file path=customXml/itemProps4.xml><?xml version="1.0" encoding="utf-8"?>
<ds:datastoreItem xmlns:ds="http://schemas.openxmlformats.org/officeDocument/2006/customXml" ds:itemID="{E563C1A3-2AC0-418B-9B29-F700DB6F2B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45806d-a62c-41bf-9916-5b8cbc5ef133"/>
    <ds:schemaRef ds:uri="452c1c78-db6e-4c21-967d-f32ecbe94f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A_E.dotm</Template>
  <TotalTime>1</TotalTime>
  <Pages>15</Pages>
  <Words>7839</Words>
  <Characters>45628</Characters>
  <Application>Microsoft Office Word</Application>
  <DocSecurity>0</DocSecurity>
  <Lines>681</Lines>
  <Paragraphs>151</Paragraphs>
  <ScaleCrop>false</ScaleCrop>
  <HeadingPairs>
    <vt:vector size="2" baseType="variant">
      <vt:variant>
        <vt:lpstr>Title</vt:lpstr>
      </vt:variant>
      <vt:variant>
        <vt:i4>1</vt:i4>
      </vt:variant>
    </vt:vector>
  </HeadingPairs>
  <TitlesOfParts>
    <vt:vector size="1" baseType="lpstr">
      <vt:lpstr>A/77/2203026</vt:lpstr>
    </vt:vector>
  </TitlesOfParts>
  <Company>CSD</Company>
  <LinksUpToDate>false</LinksUpToDate>
  <CharactersWithSpaces>53316</CharactersWithSpaces>
  <SharedDoc>false</SharedDoc>
  <HLinks>
    <vt:vector size="408" baseType="variant">
      <vt:variant>
        <vt:i4>458846</vt:i4>
      </vt:variant>
      <vt:variant>
        <vt:i4>9</vt:i4>
      </vt:variant>
      <vt:variant>
        <vt:i4>0</vt:i4>
      </vt:variant>
      <vt:variant>
        <vt:i4>5</vt:i4>
      </vt:variant>
      <vt:variant>
        <vt:lpwstr>https://www.un.org/en/genocideprevention/documents/publications-and-resources/The_Role_of_Sports_in_Countering_Hate_Speech_booklet_April_2023.pdf</vt:lpwstr>
      </vt:variant>
      <vt:variant>
        <vt:lpwstr/>
      </vt:variant>
      <vt:variant>
        <vt:i4>6160429</vt:i4>
      </vt:variant>
      <vt:variant>
        <vt:i4>6</vt:i4>
      </vt:variant>
      <vt:variant>
        <vt:i4>0</vt:i4>
      </vt:variant>
      <vt:variant>
        <vt:i4>5</vt:i4>
      </vt:variant>
      <vt:variant>
        <vt:lpwstr>C:\Users\Andres.Perez\Library\Containers\com.apple.mail\Data\Library\Mail Downloads\443834EF-A600-425E-A5F5-976BEFC90174\documents\atrocity-crimes\Doc.1_Convention on the Prevention and Punishment of the Crime of Genocide.pdf</vt:lpwstr>
      </vt:variant>
      <vt:variant>
        <vt:lpwstr/>
      </vt:variant>
      <vt:variant>
        <vt:i4>2031624</vt:i4>
      </vt:variant>
      <vt:variant>
        <vt:i4>0</vt:i4>
      </vt:variant>
      <vt:variant>
        <vt:i4>0</vt:i4>
      </vt:variant>
      <vt:variant>
        <vt:i4>5</vt:i4>
      </vt:variant>
      <vt:variant>
        <vt:lpwstr>https://undocs.org/Home/Mobile?FinalSymbol=A%2FRES%2F96(I)&amp;Language=E&amp;DeviceType=Desktop&amp;LangRequested=False</vt:lpwstr>
      </vt:variant>
      <vt:variant>
        <vt:lpwstr/>
      </vt:variant>
      <vt:variant>
        <vt:i4>131141</vt:i4>
      </vt:variant>
      <vt:variant>
        <vt:i4>204</vt:i4>
      </vt:variant>
      <vt:variant>
        <vt:i4>0</vt:i4>
      </vt:variant>
      <vt:variant>
        <vt:i4>5</vt:i4>
      </vt:variant>
      <vt:variant>
        <vt:lpwstr>https://www.ohchr.org/en/documents/thematic-reports/a77288-disinformation-and-freedom-opinion-and-expression-during-armed</vt:lpwstr>
      </vt:variant>
      <vt:variant>
        <vt:lpwstr/>
      </vt:variant>
      <vt:variant>
        <vt:i4>6684680</vt:i4>
      </vt:variant>
      <vt:variant>
        <vt:i4>201</vt:i4>
      </vt:variant>
      <vt:variant>
        <vt:i4>0</vt:i4>
      </vt:variant>
      <vt:variant>
        <vt:i4>5</vt:i4>
      </vt:variant>
      <vt:variant>
        <vt:lpwstr>https://www.ohchr.org/Documents/Issues/Minorities/SR/A_HRC_46_57.docx</vt:lpwstr>
      </vt:variant>
      <vt:variant>
        <vt:lpwstr/>
      </vt:variant>
      <vt:variant>
        <vt:i4>2621489</vt:i4>
      </vt:variant>
      <vt:variant>
        <vt:i4>198</vt:i4>
      </vt:variant>
      <vt:variant>
        <vt:i4>0</vt:i4>
      </vt:variant>
      <vt:variant>
        <vt:i4>5</vt:i4>
      </vt:variant>
      <vt:variant>
        <vt:lpwstr>https://undocs.org/A/HRC/47/52</vt:lpwstr>
      </vt:variant>
      <vt:variant>
        <vt:lpwstr/>
      </vt:variant>
      <vt:variant>
        <vt:i4>7929981</vt:i4>
      </vt:variant>
      <vt:variant>
        <vt:i4>195</vt:i4>
      </vt:variant>
      <vt:variant>
        <vt:i4>0</vt:i4>
      </vt:variant>
      <vt:variant>
        <vt:i4>5</vt:i4>
      </vt:variant>
      <vt:variant>
        <vt:lpwstr>https://indonesia.un.org/en/236014-our-common-agenda-policy-brief-8-information-integrity-digital-platforms</vt:lpwstr>
      </vt:variant>
      <vt:variant>
        <vt:lpwstr/>
      </vt:variant>
      <vt:variant>
        <vt:i4>5177359</vt:i4>
      </vt:variant>
      <vt:variant>
        <vt:i4>192</vt:i4>
      </vt:variant>
      <vt:variant>
        <vt:i4>0</vt:i4>
      </vt:variant>
      <vt:variant>
        <vt:i4>5</vt:i4>
      </vt:variant>
      <vt:variant>
        <vt:lpwstr>https://undocs.org/Home/Mobile?FinalSymbol=A%2F75%2F982&amp;Language=E&amp;DeviceType=Desktop&amp;LangRequested=False</vt:lpwstr>
      </vt:variant>
      <vt:variant>
        <vt:lpwstr/>
      </vt:variant>
      <vt:variant>
        <vt:i4>720912</vt:i4>
      </vt:variant>
      <vt:variant>
        <vt:i4>189</vt:i4>
      </vt:variant>
      <vt:variant>
        <vt:i4>0</vt:i4>
      </vt:variant>
      <vt:variant>
        <vt:i4>5</vt:i4>
      </vt:variant>
      <vt:variant>
        <vt:lpwstr>https://www.un.org/sg/sites/www.un.org.sg/files/atoms/files/The_Highest_Asperation_A_Call_To_Action_For_Human_Right_English.pdf</vt:lpwstr>
      </vt:variant>
      <vt:variant>
        <vt:lpwstr/>
      </vt:variant>
      <vt:variant>
        <vt:i4>4784191</vt:i4>
      </vt:variant>
      <vt:variant>
        <vt:i4>186</vt:i4>
      </vt:variant>
      <vt:variant>
        <vt:i4>0</vt:i4>
      </vt:variant>
      <vt:variant>
        <vt:i4>5</vt:i4>
      </vt:variant>
      <vt:variant>
        <vt:lpwstr>https://www.un.org/en/genocideprevention/documents/publications-and-resources/22-00041_OSAPG_CombatingDenial_PolicyPaper.pdf</vt:lpwstr>
      </vt:variant>
      <vt:variant>
        <vt:lpwstr/>
      </vt:variant>
      <vt:variant>
        <vt:i4>4521996</vt:i4>
      </vt:variant>
      <vt:variant>
        <vt:i4>183</vt:i4>
      </vt:variant>
      <vt:variant>
        <vt:i4>0</vt:i4>
      </vt:variant>
      <vt:variant>
        <vt:i4>5</vt:i4>
      </vt:variant>
      <vt:variant>
        <vt:lpwstr>https://undocs.org/Home/Mobile?FinalSymbol=A%2F74%2F821&amp;Language=E&amp;DeviceType=Desktop&amp;LangRequested=False</vt:lpwstr>
      </vt:variant>
      <vt:variant>
        <vt:lpwstr/>
      </vt:variant>
      <vt:variant>
        <vt:i4>3670077</vt:i4>
      </vt:variant>
      <vt:variant>
        <vt:i4>180</vt:i4>
      </vt:variant>
      <vt:variant>
        <vt:i4>0</vt:i4>
      </vt:variant>
      <vt:variant>
        <vt:i4>5</vt:i4>
      </vt:variant>
      <vt:variant>
        <vt:lpwstr>https://digitallibrary.un.org/record/3865925?ln=en</vt:lpwstr>
      </vt:variant>
      <vt:variant>
        <vt:lpwstr/>
      </vt:variant>
      <vt:variant>
        <vt:i4>2883646</vt:i4>
      </vt:variant>
      <vt:variant>
        <vt:i4>177</vt:i4>
      </vt:variant>
      <vt:variant>
        <vt:i4>0</vt:i4>
      </vt:variant>
      <vt:variant>
        <vt:i4>5</vt:i4>
      </vt:variant>
      <vt:variant>
        <vt:lpwstr>https://www.ohchr.org/en/publications/policy-and-methodological-publications/berkeley-protocol-digital-open-source</vt:lpwstr>
      </vt:variant>
      <vt:variant>
        <vt:lpwstr/>
      </vt:variant>
      <vt:variant>
        <vt:i4>5767176</vt:i4>
      </vt:variant>
      <vt:variant>
        <vt:i4>174</vt:i4>
      </vt:variant>
      <vt:variant>
        <vt:i4>0</vt:i4>
      </vt:variant>
      <vt:variant>
        <vt:i4>5</vt:i4>
      </vt:variant>
      <vt:variant>
        <vt:lpwstr>https://documents-dds-ny.un.org/doc/UNDOC/GEN/G18/274/54/PDF/G1827454.pdf?OpenElement</vt:lpwstr>
      </vt:variant>
      <vt:variant>
        <vt:lpwstr/>
      </vt:variant>
      <vt:variant>
        <vt:i4>5636102</vt:i4>
      </vt:variant>
      <vt:variant>
        <vt:i4>171</vt:i4>
      </vt:variant>
      <vt:variant>
        <vt:i4>0</vt:i4>
      </vt:variant>
      <vt:variant>
        <vt:i4>5</vt:i4>
      </vt:variant>
      <vt:variant>
        <vt:lpwstr>https://documents-dds-ny.un.org/doc/UNDOC/GEN/G21/054/14/PDF/G2105414.pdf?OpenElement</vt:lpwstr>
      </vt:variant>
      <vt:variant>
        <vt:lpwstr/>
      </vt:variant>
      <vt:variant>
        <vt:i4>5505028</vt:i4>
      </vt:variant>
      <vt:variant>
        <vt:i4>168</vt:i4>
      </vt:variant>
      <vt:variant>
        <vt:i4>0</vt:i4>
      </vt:variant>
      <vt:variant>
        <vt:i4>5</vt:i4>
      </vt:variant>
      <vt:variant>
        <vt:lpwstr>https://documents-dds-ny.un.org/doc/UNDOC/GEN/G18/184/58/PDF/G1818458.pdf?OpenElement</vt:lpwstr>
      </vt:variant>
      <vt:variant>
        <vt:lpwstr/>
      </vt:variant>
      <vt:variant>
        <vt:i4>1048598</vt:i4>
      </vt:variant>
      <vt:variant>
        <vt:i4>165</vt:i4>
      </vt:variant>
      <vt:variant>
        <vt:i4>0</vt:i4>
      </vt:variant>
      <vt:variant>
        <vt:i4>5</vt:i4>
      </vt:variant>
      <vt:variant>
        <vt:lpwstr>https://www.amnesty.ca/surveillance/racial-bias-in-facial-recognition-algorithms/</vt:lpwstr>
      </vt:variant>
      <vt:variant>
        <vt:lpwstr/>
      </vt:variant>
      <vt:variant>
        <vt:i4>67</vt:i4>
      </vt:variant>
      <vt:variant>
        <vt:i4>162</vt:i4>
      </vt:variant>
      <vt:variant>
        <vt:i4>0</vt:i4>
      </vt:variant>
      <vt:variant>
        <vt:i4>5</vt:i4>
      </vt:variant>
      <vt:variant>
        <vt:lpwstr>http://proceedings.mlr.press/v81/buolamwini18a/buolamwini18a.pdf</vt:lpwstr>
      </vt:variant>
      <vt:variant>
        <vt:lpwstr/>
      </vt:variant>
      <vt:variant>
        <vt:i4>4390921</vt:i4>
      </vt:variant>
      <vt:variant>
        <vt:i4>159</vt:i4>
      </vt:variant>
      <vt:variant>
        <vt:i4>0</vt:i4>
      </vt:variant>
      <vt:variant>
        <vt:i4>5</vt:i4>
      </vt:variant>
      <vt:variant>
        <vt:lpwstr>https://undocs.org/Home/Mobile?FinalSymbol=A%2F73%2F348&amp;Language=E&amp;DeviceType=Desktop&amp;LangRequested=False</vt:lpwstr>
      </vt:variant>
      <vt:variant>
        <vt:lpwstr/>
      </vt:variant>
      <vt:variant>
        <vt:i4>3407987</vt:i4>
      </vt:variant>
      <vt:variant>
        <vt:i4>156</vt:i4>
      </vt:variant>
      <vt:variant>
        <vt:i4>0</vt:i4>
      </vt:variant>
      <vt:variant>
        <vt:i4>5</vt:i4>
      </vt:variant>
      <vt:variant>
        <vt:lpwstr>https://www.undocs.org/Home/Mobile?FinalSymbol=A%2FHRC%2F44%2F57&amp;Language=E&amp;DeviceType=Desktop&amp;LangRequested=False</vt:lpwstr>
      </vt:variant>
      <vt:variant>
        <vt:lpwstr/>
      </vt:variant>
      <vt:variant>
        <vt:i4>1048600</vt:i4>
      </vt:variant>
      <vt:variant>
        <vt:i4>150</vt:i4>
      </vt:variant>
      <vt:variant>
        <vt:i4>0</vt:i4>
      </vt:variant>
      <vt:variant>
        <vt:i4>5</vt:i4>
      </vt:variant>
      <vt:variant>
        <vt:lpwstr>https://www.ohchr.org/en/documents/thematic-reports/ahrc4831-right-privacy-digital-age-report-united-nations-high</vt:lpwstr>
      </vt:variant>
      <vt:variant>
        <vt:lpwstr/>
      </vt:variant>
      <vt:variant>
        <vt:i4>5439491</vt:i4>
      </vt:variant>
      <vt:variant>
        <vt:i4>147</vt:i4>
      </vt:variant>
      <vt:variant>
        <vt:i4>0</vt:i4>
      </vt:variant>
      <vt:variant>
        <vt:i4>5</vt:i4>
      </vt:variant>
      <vt:variant>
        <vt:lpwstr>https://documents-dds-ny.un.org/doc/UNDOC/GEN/N19/312/13/PDF/N1931213.pdf?OpenElement</vt:lpwstr>
      </vt:variant>
      <vt:variant>
        <vt:lpwstr/>
      </vt:variant>
      <vt:variant>
        <vt:i4>7602292</vt:i4>
      </vt:variant>
      <vt:variant>
        <vt:i4>144</vt:i4>
      </vt:variant>
      <vt:variant>
        <vt:i4>0</vt:i4>
      </vt:variant>
      <vt:variant>
        <vt:i4>5</vt:i4>
      </vt:variant>
      <vt:variant>
        <vt:lpwstr>https://ainowinstitute.org/publication/discriminating-systems-gender-race-and-power-in-ai-2</vt:lpwstr>
      </vt:variant>
      <vt:variant>
        <vt:lpwstr/>
      </vt:variant>
      <vt:variant>
        <vt:i4>5701639</vt:i4>
      </vt:variant>
      <vt:variant>
        <vt:i4>141</vt:i4>
      </vt:variant>
      <vt:variant>
        <vt:i4>0</vt:i4>
      </vt:variant>
      <vt:variant>
        <vt:i4>5</vt:i4>
      </vt:variant>
      <vt:variant>
        <vt:lpwstr>https://documents-dds-ny.un.org/doc/UNDOC/GEN/G20/349/50/pdf/G2034950.pdf?OpenElement</vt:lpwstr>
      </vt:variant>
      <vt:variant>
        <vt:lpwstr/>
      </vt:variant>
      <vt:variant>
        <vt:i4>5505028</vt:i4>
      </vt:variant>
      <vt:variant>
        <vt:i4>138</vt:i4>
      </vt:variant>
      <vt:variant>
        <vt:i4>0</vt:i4>
      </vt:variant>
      <vt:variant>
        <vt:i4>5</vt:i4>
      </vt:variant>
      <vt:variant>
        <vt:lpwstr>https://documents-dds-ny.un.org/doc/UNDOC/GEN/G20/151/06/PDF/G2015106.pdf?OpenElement</vt:lpwstr>
      </vt:variant>
      <vt:variant>
        <vt:lpwstr/>
      </vt:variant>
      <vt:variant>
        <vt:i4>7929981</vt:i4>
      </vt:variant>
      <vt:variant>
        <vt:i4>135</vt:i4>
      </vt:variant>
      <vt:variant>
        <vt:i4>0</vt:i4>
      </vt:variant>
      <vt:variant>
        <vt:i4>5</vt:i4>
      </vt:variant>
      <vt:variant>
        <vt:lpwstr>https://indonesia.un.org/en/236014-our-common-agenda-policy-brief-8-information-integrity-digital-platforms</vt:lpwstr>
      </vt:variant>
      <vt:variant>
        <vt:lpwstr/>
      </vt:variant>
      <vt:variant>
        <vt:i4>6225935</vt:i4>
      </vt:variant>
      <vt:variant>
        <vt:i4>132</vt:i4>
      </vt:variant>
      <vt:variant>
        <vt:i4>0</vt:i4>
      </vt:variant>
      <vt:variant>
        <vt:i4>5</vt:i4>
      </vt:variant>
      <vt:variant>
        <vt:lpwstr>https://documents-dds-ny.un.org/doc/UNDOC/GEN/N22/459/24/PDF/N2245924.pdf?OpenElement</vt:lpwstr>
      </vt:variant>
      <vt:variant>
        <vt:lpwstr/>
      </vt:variant>
      <vt:variant>
        <vt:i4>6225935</vt:i4>
      </vt:variant>
      <vt:variant>
        <vt:i4>129</vt:i4>
      </vt:variant>
      <vt:variant>
        <vt:i4>0</vt:i4>
      </vt:variant>
      <vt:variant>
        <vt:i4>5</vt:i4>
      </vt:variant>
      <vt:variant>
        <vt:lpwstr>https://documents-dds-ny.un.org/doc/UNDOC/GEN/N22/459/24/PDF/N2245924.pdf?OpenElement</vt:lpwstr>
      </vt:variant>
      <vt:variant>
        <vt:lpwstr/>
      </vt:variant>
      <vt:variant>
        <vt:i4>6291462</vt:i4>
      </vt:variant>
      <vt:variant>
        <vt:i4>126</vt:i4>
      </vt:variant>
      <vt:variant>
        <vt:i4>0</vt:i4>
      </vt:variant>
      <vt:variant>
        <vt:i4>5</vt:i4>
      </vt:variant>
      <vt:variant>
        <vt:lpwstr>https://ap.ohchr.org/documents/dpage_e.aspx?si=A/HRC/39/64</vt:lpwstr>
      </vt:variant>
      <vt:variant>
        <vt:lpwstr/>
      </vt:variant>
      <vt:variant>
        <vt:i4>786519</vt:i4>
      </vt:variant>
      <vt:variant>
        <vt:i4>114</vt:i4>
      </vt:variant>
      <vt:variant>
        <vt:i4>0</vt:i4>
      </vt:variant>
      <vt:variant>
        <vt:i4>5</vt:i4>
      </vt:variant>
      <vt:variant>
        <vt:lpwstr>https://protectionapproaches.sharepoint.com/staff/Shared Documents/Atrocity Prevention Working Group/Joint activities/The Role of Technology in Online Misinformation</vt:lpwstr>
      </vt:variant>
      <vt:variant>
        <vt:lpwstr/>
      </vt:variant>
      <vt:variant>
        <vt:i4>8192033</vt:i4>
      </vt:variant>
      <vt:variant>
        <vt:i4>111</vt:i4>
      </vt:variant>
      <vt:variant>
        <vt:i4>0</vt:i4>
      </vt:variant>
      <vt:variant>
        <vt:i4>5</vt:i4>
      </vt:variant>
      <vt:variant>
        <vt:lpwstr>https://www.brookings.edu/articles/the-role-of-technology-in-online-misinformation/</vt:lpwstr>
      </vt:variant>
      <vt:variant>
        <vt:lpwstr/>
      </vt:variant>
      <vt:variant>
        <vt:i4>786519</vt:i4>
      </vt:variant>
      <vt:variant>
        <vt:i4>108</vt:i4>
      </vt:variant>
      <vt:variant>
        <vt:i4>0</vt:i4>
      </vt:variant>
      <vt:variant>
        <vt:i4>5</vt:i4>
      </vt:variant>
      <vt:variant>
        <vt:lpwstr>https://protectionapproaches.sharepoint.com/staff/Shared Documents/Atrocity Prevention Working Group/Joint activities/The Role of Technology in Online Misinformation</vt:lpwstr>
      </vt:variant>
      <vt:variant>
        <vt:lpwstr/>
      </vt:variant>
      <vt:variant>
        <vt:i4>7929981</vt:i4>
      </vt:variant>
      <vt:variant>
        <vt:i4>105</vt:i4>
      </vt:variant>
      <vt:variant>
        <vt:i4>0</vt:i4>
      </vt:variant>
      <vt:variant>
        <vt:i4>5</vt:i4>
      </vt:variant>
      <vt:variant>
        <vt:lpwstr>https://indonesia.un.org/en/236014-our-common-agenda-policy-brief-8-information-integrity-digital-platforms</vt:lpwstr>
      </vt:variant>
      <vt:variant>
        <vt:lpwstr/>
      </vt:variant>
      <vt:variant>
        <vt:i4>6160398</vt:i4>
      </vt:variant>
      <vt:variant>
        <vt:i4>102</vt:i4>
      </vt:variant>
      <vt:variant>
        <vt:i4>0</vt:i4>
      </vt:variant>
      <vt:variant>
        <vt:i4>5</vt:i4>
      </vt:variant>
      <vt:variant>
        <vt:lpwstr>https://documents-dds-ny.un.org/doc/UNDOC/GEN/G13/101/48/PDF/G1310148.pdf?OpenElement</vt:lpwstr>
      </vt:variant>
      <vt:variant>
        <vt:lpwstr/>
      </vt:variant>
      <vt:variant>
        <vt:i4>3276850</vt:i4>
      </vt:variant>
      <vt:variant>
        <vt:i4>99</vt:i4>
      </vt:variant>
      <vt:variant>
        <vt:i4>0</vt:i4>
      </vt:variant>
      <vt:variant>
        <vt:i4>5</vt:i4>
      </vt:variant>
      <vt:variant>
        <vt:lpwstr>https://www2.ohchr.org/english/bodies/hrc/docs/gc34.pdf</vt:lpwstr>
      </vt:variant>
      <vt:variant>
        <vt:lpwstr/>
      </vt:variant>
      <vt:variant>
        <vt:i4>3932237</vt:i4>
      </vt:variant>
      <vt:variant>
        <vt:i4>96</vt:i4>
      </vt:variant>
      <vt:variant>
        <vt:i4>0</vt:i4>
      </vt:variant>
      <vt:variant>
        <vt:i4>5</vt:i4>
      </vt:variant>
      <vt:variant>
        <vt:lpwstr>https://www.un.org/en/genocideprevention/documents/advising-and-mobilizing/Action_plan_on_hate_speech_EN.pdf</vt:lpwstr>
      </vt:variant>
      <vt:variant>
        <vt:lpwstr/>
      </vt:variant>
      <vt:variant>
        <vt:i4>6160421</vt:i4>
      </vt:variant>
      <vt:variant>
        <vt:i4>93</vt:i4>
      </vt:variant>
      <vt:variant>
        <vt:i4>0</vt:i4>
      </vt:variant>
      <vt:variant>
        <vt:i4>5</vt:i4>
      </vt:variant>
      <vt:variant>
        <vt:lpwstr>https://www.un.org/en/genocideprevention/documents/publications-and-resources/Addressing_hate_speech_through_education_A_guide_for_policy_makers.pdf</vt:lpwstr>
      </vt:variant>
      <vt:variant>
        <vt:lpwstr/>
      </vt:variant>
      <vt:variant>
        <vt:i4>7667832</vt:i4>
      </vt:variant>
      <vt:variant>
        <vt:i4>90</vt:i4>
      </vt:variant>
      <vt:variant>
        <vt:i4>0</vt:i4>
      </vt:variant>
      <vt:variant>
        <vt:i4>5</vt:i4>
      </vt:variant>
      <vt:variant>
        <vt:lpwstr>https://www.un.org/en/genocideprevention/documents/The_Role_of_Sports_in_Countering_Hate_Speech_booklet_April_2023.pdf</vt:lpwstr>
      </vt:variant>
      <vt:variant>
        <vt:lpwstr/>
      </vt:variant>
      <vt:variant>
        <vt:i4>4784191</vt:i4>
      </vt:variant>
      <vt:variant>
        <vt:i4>87</vt:i4>
      </vt:variant>
      <vt:variant>
        <vt:i4>0</vt:i4>
      </vt:variant>
      <vt:variant>
        <vt:i4>5</vt:i4>
      </vt:variant>
      <vt:variant>
        <vt:lpwstr>https://www.un.org/en/genocideprevention/documents/publications-and-resources/22-00041_OSAPG_CombatingDenial_PolicyPaper.pdf</vt:lpwstr>
      </vt:variant>
      <vt:variant>
        <vt:lpwstr/>
      </vt:variant>
      <vt:variant>
        <vt:i4>6160421</vt:i4>
      </vt:variant>
      <vt:variant>
        <vt:i4>84</vt:i4>
      </vt:variant>
      <vt:variant>
        <vt:i4>0</vt:i4>
      </vt:variant>
      <vt:variant>
        <vt:i4>5</vt:i4>
      </vt:variant>
      <vt:variant>
        <vt:lpwstr>https://www.un.org/en/genocideprevention/documents/publications-and-resources/Addressing_hate_speech_through_education_A_guide_for_policy_makers.pdf</vt:lpwstr>
      </vt:variant>
      <vt:variant>
        <vt:lpwstr/>
      </vt:variant>
      <vt:variant>
        <vt:i4>4784191</vt:i4>
      </vt:variant>
      <vt:variant>
        <vt:i4>81</vt:i4>
      </vt:variant>
      <vt:variant>
        <vt:i4>0</vt:i4>
      </vt:variant>
      <vt:variant>
        <vt:i4>5</vt:i4>
      </vt:variant>
      <vt:variant>
        <vt:lpwstr>https://www.un.org/en/genocideprevention/documents/publications-and-resources/22-00041_OSAPG_CombatingDenial_PolicyPaper.pdf</vt:lpwstr>
      </vt:variant>
      <vt:variant>
        <vt:lpwstr/>
      </vt:variant>
      <vt:variant>
        <vt:i4>3932237</vt:i4>
      </vt:variant>
      <vt:variant>
        <vt:i4>78</vt:i4>
      </vt:variant>
      <vt:variant>
        <vt:i4>0</vt:i4>
      </vt:variant>
      <vt:variant>
        <vt:i4>5</vt:i4>
      </vt:variant>
      <vt:variant>
        <vt:lpwstr>https://www.un.org/en/genocideprevention/documents/advising-and-mobilizing/Action_plan_on_hate_speech_EN.pdf</vt:lpwstr>
      </vt:variant>
      <vt:variant>
        <vt:lpwstr/>
      </vt:variant>
      <vt:variant>
        <vt:i4>7405608</vt:i4>
      </vt:variant>
      <vt:variant>
        <vt:i4>75</vt:i4>
      </vt:variant>
      <vt:variant>
        <vt:i4>0</vt:i4>
      </vt:variant>
      <vt:variant>
        <vt:i4>5</vt:i4>
      </vt:variant>
      <vt:variant>
        <vt:lpwstr>https://daccess-ods.un.org/access.nsf/Get?OpenAgent&amp;DS=A/77/178&amp;Lang=E</vt:lpwstr>
      </vt:variant>
      <vt:variant>
        <vt:lpwstr/>
      </vt:variant>
      <vt:variant>
        <vt:i4>5963787</vt:i4>
      </vt:variant>
      <vt:variant>
        <vt:i4>72</vt:i4>
      </vt:variant>
      <vt:variant>
        <vt:i4>0</vt:i4>
      </vt:variant>
      <vt:variant>
        <vt:i4>5</vt:i4>
      </vt:variant>
      <vt:variant>
        <vt:lpwstr>https://documents-dds-ny.un.org/doc/UNDOC/GEN/N20/185/66/PDF/N2018566.pdf?OpenElement</vt:lpwstr>
      </vt:variant>
      <vt:variant>
        <vt:lpwstr/>
      </vt:variant>
      <vt:variant>
        <vt:i4>5242880</vt:i4>
      </vt:variant>
      <vt:variant>
        <vt:i4>69</vt:i4>
      </vt:variant>
      <vt:variant>
        <vt:i4>0</vt:i4>
      </vt:variant>
      <vt:variant>
        <vt:i4>5</vt:i4>
      </vt:variant>
      <vt:variant>
        <vt:lpwstr>https://documents-dds-ny.un.org/doc/UNDOC/GEN/G22/341/55/PDF/G2234155.pdf?OpenElement</vt:lpwstr>
      </vt:variant>
      <vt:variant>
        <vt:lpwstr/>
      </vt:variant>
      <vt:variant>
        <vt:i4>1245201</vt:i4>
      </vt:variant>
      <vt:variant>
        <vt:i4>66</vt:i4>
      </vt:variant>
      <vt:variant>
        <vt:i4>0</vt:i4>
      </vt:variant>
      <vt:variant>
        <vt:i4>5</vt:i4>
      </vt:variant>
      <vt:variant>
        <vt:lpwstr>https://undocs.org/A/RES/75/1</vt:lpwstr>
      </vt:variant>
      <vt:variant>
        <vt:lpwstr/>
      </vt:variant>
      <vt:variant>
        <vt:i4>2097279</vt:i4>
      </vt:variant>
      <vt:variant>
        <vt:i4>57</vt:i4>
      </vt:variant>
      <vt:variant>
        <vt:i4>0</vt:i4>
      </vt:variant>
      <vt:variant>
        <vt:i4>5</vt:i4>
      </vt:variant>
      <vt:variant>
        <vt:lpwstr>https://undocs.org/Home/Mobile?FinalSymbol=A%2FHRC%2FWG.6%2F38%2FSOM%2F1&amp;Language=E&amp;DeviceType=Desktop&amp;LangRequested=False</vt:lpwstr>
      </vt:variant>
      <vt:variant>
        <vt:lpwstr/>
      </vt:variant>
      <vt:variant>
        <vt:i4>3539058</vt:i4>
      </vt:variant>
      <vt:variant>
        <vt:i4>54</vt:i4>
      </vt:variant>
      <vt:variant>
        <vt:i4>0</vt:i4>
      </vt:variant>
      <vt:variant>
        <vt:i4>5</vt:i4>
      </vt:variant>
      <vt:variant>
        <vt:lpwstr>https://undocs.org/Home/Mobile?FinalSymbol=A%2FHRC%2FWG.6%2F42%2FPER%2F1&amp;Language=E&amp;DeviceType=Desktop&amp;LangRequested=False</vt:lpwstr>
      </vt:variant>
      <vt:variant>
        <vt:lpwstr/>
      </vt:variant>
      <vt:variant>
        <vt:i4>3342432</vt:i4>
      </vt:variant>
      <vt:variant>
        <vt:i4>51</vt:i4>
      </vt:variant>
      <vt:variant>
        <vt:i4>0</vt:i4>
      </vt:variant>
      <vt:variant>
        <vt:i4>5</vt:i4>
      </vt:variant>
      <vt:variant>
        <vt:lpwstr>https://undocs.org/Home/Mobile?FinalSymbol=A%2FHRC%2FWG.6%2F37%2FNPL%2F1&amp;Language=E&amp;DeviceType=Desktop&amp;LangRequested=False</vt:lpwstr>
      </vt:variant>
      <vt:variant>
        <vt:lpwstr/>
      </vt:variant>
      <vt:variant>
        <vt:i4>3276901</vt:i4>
      </vt:variant>
      <vt:variant>
        <vt:i4>48</vt:i4>
      </vt:variant>
      <vt:variant>
        <vt:i4>0</vt:i4>
      </vt:variant>
      <vt:variant>
        <vt:i4>5</vt:i4>
      </vt:variant>
      <vt:variant>
        <vt:lpwstr>https://undocs.org/Home/Mobile?FinalSymbol=A%2FHRC%2FWG.6%2F42%2FARG%2F1&amp;Language=E&amp;DeviceType=Desktop&amp;LangRequested=False</vt:lpwstr>
      </vt:variant>
      <vt:variant>
        <vt:lpwstr/>
      </vt:variant>
      <vt:variant>
        <vt:i4>5963787</vt:i4>
      </vt:variant>
      <vt:variant>
        <vt:i4>45</vt:i4>
      </vt:variant>
      <vt:variant>
        <vt:i4>0</vt:i4>
      </vt:variant>
      <vt:variant>
        <vt:i4>5</vt:i4>
      </vt:variant>
      <vt:variant>
        <vt:lpwstr>https://documents-dds-ny.un.org/doc/UNDOC/GEN/G22/535/29/PDF/G2253529.pdf?OpenElement</vt:lpwstr>
      </vt:variant>
      <vt:variant>
        <vt:lpwstr/>
      </vt:variant>
      <vt:variant>
        <vt:i4>2752610</vt:i4>
      </vt:variant>
      <vt:variant>
        <vt:i4>42</vt:i4>
      </vt:variant>
      <vt:variant>
        <vt:i4>0</vt:i4>
      </vt:variant>
      <vt:variant>
        <vt:i4>5</vt:i4>
      </vt:variant>
      <vt:variant>
        <vt:lpwstr>https://undocs.org/Home/Mobile?FinalSymbol=A%2FHRC%2FWG.6%2F37%2FNRU%2F1&amp;Language=E&amp;DeviceType=Desktop&amp;LangRequested=False</vt:lpwstr>
      </vt:variant>
      <vt:variant>
        <vt:lpwstr/>
      </vt:variant>
      <vt:variant>
        <vt:i4>5570565</vt:i4>
      </vt:variant>
      <vt:variant>
        <vt:i4>39</vt:i4>
      </vt:variant>
      <vt:variant>
        <vt:i4>0</vt:i4>
      </vt:variant>
      <vt:variant>
        <vt:i4>5</vt:i4>
      </vt:variant>
      <vt:variant>
        <vt:lpwstr>https://documents-dds-ny.un.org/doc/UNDOC/GEN/G22/576/36/PDF/G2257636.pdf?OpenElement</vt:lpwstr>
      </vt:variant>
      <vt:variant>
        <vt:lpwstr/>
      </vt:variant>
      <vt:variant>
        <vt:i4>5832713</vt:i4>
      </vt:variant>
      <vt:variant>
        <vt:i4>36</vt:i4>
      </vt:variant>
      <vt:variant>
        <vt:i4>0</vt:i4>
      </vt:variant>
      <vt:variant>
        <vt:i4>5</vt:i4>
      </vt:variant>
      <vt:variant>
        <vt:lpwstr>https://documents-dds-ny.un.org/doc/UNDOC/GEN/G19/299/76/PDF/G1929976.pdf?OpenElement</vt:lpwstr>
      </vt:variant>
      <vt:variant>
        <vt:lpwstr/>
      </vt:variant>
      <vt:variant>
        <vt:i4>5832725</vt:i4>
      </vt:variant>
      <vt:variant>
        <vt:i4>33</vt:i4>
      </vt:variant>
      <vt:variant>
        <vt:i4>0</vt:i4>
      </vt:variant>
      <vt:variant>
        <vt:i4>5</vt:i4>
      </vt:variant>
      <vt:variant>
        <vt:lpwstr>https://onu.delegfrance.org/IMG/pdf/2015_08_07_veto_political_declaration_en.pdf</vt:lpwstr>
      </vt:variant>
      <vt:variant>
        <vt:lpwstr/>
      </vt:variant>
      <vt:variant>
        <vt:i4>6225935</vt:i4>
      </vt:variant>
      <vt:variant>
        <vt:i4>30</vt:i4>
      </vt:variant>
      <vt:variant>
        <vt:i4>0</vt:i4>
      </vt:variant>
      <vt:variant>
        <vt:i4>5</vt:i4>
      </vt:variant>
      <vt:variant>
        <vt:lpwstr>https://documents-dds-ny.un.org/doc/UNDOC/GEN/N15/433/57/PDF/N1543357.pdf?OpenElement</vt:lpwstr>
      </vt:variant>
      <vt:variant>
        <vt:lpwstr/>
      </vt:variant>
      <vt:variant>
        <vt:i4>3932237</vt:i4>
      </vt:variant>
      <vt:variant>
        <vt:i4>24</vt:i4>
      </vt:variant>
      <vt:variant>
        <vt:i4>0</vt:i4>
      </vt:variant>
      <vt:variant>
        <vt:i4>5</vt:i4>
      </vt:variant>
      <vt:variant>
        <vt:lpwstr>https://www.un.org/en/genocideprevention/documents/advising-and-mobilizing/Action_plan_on_hate_speech_EN.pdf</vt:lpwstr>
      </vt:variant>
      <vt:variant>
        <vt:lpwstr/>
      </vt:variant>
      <vt:variant>
        <vt:i4>5636162</vt:i4>
      </vt:variant>
      <vt:variant>
        <vt:i4>18</vt:i4>
      </vt:variant>
      <vt:variant>
        <vt:i4>0</vt:i4>
      </vt:variant>
      <vt:variant>
        <vt:i4>5</vt:i4>
      </vt:variant>
      <vt:variant>
        <vt:lpwstr>https://digitallibrary.un.org/record/821715?ln=en</vt:lpwstr>
      </vt:variant>
      <vt:variant>
        <vt:lpwstr>record-files-collapse-header</vt:lpwstr>
      </vt:variant>
      <vt:variant>
        <vt:i4>2883673</vt:i4>
      </vt:variant>
      <vt:variant>
        <vt:i4>9</vt:i4>
      </vt:variant>
      <vt:variant>
        <vt:i4>0</vt:i4>
      </vt:variant>
      <vt:variant>
        <vt:i4>5</vt:i4>
      </vt:variant>
      <vt:variant>
        <vt:lpwstr>https://unitednations.sharepoint.com/sites/EOSG_DRI/InternalDRI/DRI Documents/F2300871-OHCHR/A/HRC/41/24</vt:lpwstr>
      </vt:variant>
      <vt:variant>
        <vt:lpwstr/>
      </vt:variant>
      <vt:variant>
        <vt:i4>2883673</vt:i4>
      </vt:variant>
      <vt:variant>
        <vt:i4>3</vt:i4>
      </vt:variant>
      <vt:variant>
        <vt:i4>0</vt:i4>
      </vt:variant>
      <vt:variant>
        <vt:i4>5</vt:i4>
      </vt:variant>
      <vt:variant>
        <vt:lpwstr>https://unitednations.sharepoint.com/sites/EOSG_DRI/InternalDRI/DRI Documents/F2300871-OHCHR/A/HRC/41/24</vt:lpwstr>
      </vt:variant>
      <vt:variant>
        <vt:lpwstr/>
      </vt:variant>
      <vt:variant>
        <vt:i4>5832713</vt:i4>
      </vt:variant>
      <vt:variant>
        <vt:i4>0</vt:i4>
      </vt:variant>
      <vt:variant>
        <vt:i4>0</vt:i4>
      </vt:variant>
      <vt:variant>
        <vt:i4>5</vt:i4>
      </vt:variant>
      <vt:variant>
        <vt:lpwstr>https://documents-dds-ny.un.org/doc/UNDOC/GEN/G19/299/76/PDF/G1929976.pdf?OpenElement</vt:lpwstr>
      </vt:variant>
      <vt:variant>
        <vt:lpwstr/>
      </vt:variant>
      <vt:variant>
        <vt:i4>4194381</vt:i4>
      </vt:variant>
      <vt:variant>
        <vt:i4>18</vt:i4>
      </vt:variant>
      <vt:variant>
        <vt:i4>0</vt:i4>
      </vt:variant>
      <vt:variant>
        <vt:i4>5</vt:i4>
      </vt:variant>
      <vt:variant>
        <vt:lpwstr>https://www.un.org/sg/en/content/sg/speeches/2023-02-06/secretary-generals-briefing-the-general-assembly-priorities-for-2023</vt:lpwstr>
      </vt:variant>
      <vt:variant>
        <vt:lpwstr/>
      </vt:variant>
      <vt:variant>
        <vt:i4>4194381</vt:i4>
      </vt:variant>
      <vt:variant>
        <vt:i4>15</vt:i4>
      </vt:variant>
      <vt:variant>
        <vt:i4>0</vt:i4>
      </vt:variant>
      <vt:variant>
        <vt:i4>5</vt:i4>
      </vt:variant>
      <vt:variant>
        <vt:lpwstr>https://www.un.org/sg/en/content/sg/speeches/2023-02-06/secretary-generals-briefing-the-general-assembly-priorities-for-2023</vt:lpwstr>
      </vt:variant>
      <vt:variant>
        <vt:lpwstr/>
      </vt:variant>
      <vt:variant>
        <vt:i4>7143439</vt:i4>
      </vt:variant>
      <vt:variant>
        <vt:i4>12</vt:i4>
      </vt:variant>
      <vt:variant>
        <vt:i4>0</vt:i4>
      </vt:variant>
      <vt:variant>
        <vt:i4>5</vt:i4>
      </vt:variant>
      <vt:variant>
        <vt:lpwstr>mailto:lisa.chukwuma@un.org</vt:lpwstr>
      </vt:variant>
      <vt:variant>
        <vt:lpwstr/>
      </vt:variant>
      <vt:variant>
        <vt:i4>2359383</vt:i4>
      </vt:variant>
      <vt:variant>
        <vt:i4>9</vt:i4>
      </vt:variant>
      <vt:variant>
        <vt:i4>0</vt:i4>
      </vt:variant>
      <vt:variant>
        <vt:i4>5</vt:i4>
      </vt:variant>
      <vt:variant>
        <vt:lpwstr>mailto:timothy.wilson@un.org</vt:lpwstr>
      </vt:variant>
      <vt:variant>
        <vt:lpwstr/>
      </vt:variant>
      <vt:variant>
        <vt:i4>4784192</vt:i4>
      </vt:variant>
      <vt:variant>
        <vt:i4>6</vt:i4>
      </vt:variant>
      <vt:variant>
        <vt:i4>0</vt:i4>
      </vt:variant>
      <vt:variant>
        <vt:i4>5</vt:i4>
      </vt:variant>
      <vt:variant>
        <vt:lpwstr>https://www/</vt:lpwstr>
      </vt:variant>
      <vt:variant>
        <vt:lpwstr/>
      </vt:variant>
      <vt:variant>
        <vt:i4>196645</vt:i4>
      </vt:variant>
      <vt:variant>
        <vt:i4>3</vt:i4>
      </vt:variant>
      <vt:variant>
        <vt:i4>0</vt:i4>
      </vt:variant>
      <vt:variant>
        <vt:i4>5</vt:i4>
      </vt:variant>
      <vt:variant>
        <vt:lpwstr>https://www.ohchr.org/sites/default/files/Documents/Publications/Amnesties_en.pdf</vt:lpwstr>
      </vt:variant>
      <vt:variant>
        <vt:lpwstr/>
      </vt:variant>
      <vt:variant>
        <vt:i4>6029326</vt:i4>
      </vt:variant>
      <vt:variant>
        <vt:i4>0</vt:i4>
      </vt:variant>
      <vt:variant>
        <vt:i4>0</vt:i4>
      </vt:variant>
      <vt:variant>
        <vt:i4>5</vt:i4>
      </vt:variant>
      <vt:variant>
        <vt:lpwstr>https://treaties.un.org/Pages/ViewDetails.aspx?src=TREATY&amp;mtdsg_no=IV-1&amp;chapter=4&amp;clang=_en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A/77/2203026</dc:title>
  <dc:subject/>
  <dc:creator>LANEL Ian</dc:creator>
  <cp:keywords/>
  <cp:lastModifiedBy>Veronique</cp:lastModifiedBy>
  <cp:revision>2</cp:revision>
  <cp:lastPrinted>2008-01-29T14:30:00Z</cp:lastPrinted>
  <dcterms:created xsi:type="dcterms:W3CDTF">2023-07-12T12:11:00Z</dcterms:created>
  <dcterms:modified xsi:type="dcterms:W3CDTF">2023-07-12T12:11:00Z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0x0101009EE848344484DD42903BBB9E99F6B211</vt:lpwstr>
  </property>
  <property fmtid="{D5CDD505-2E9C-101B-9397-08002B2CF9AE}" pid="3" name="MediaServiceImageTags">
    <vt:lpwstr/>
  </property>
  <property fmtid="{D5CDD505-2E9C-101B-9397-08002B2CF9AE}" pid="4" name="GrammarlyDocumentId">
    <vt:lpwstr>4bf3fa7054e557e3e2be09842b981af943af2ac03c7e8742fff80902452c3000</vt:lpwstr>
  </property>
</Properties>
</file>