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5" w:tblpY="285"/>
        <w:tblOverlap w:val="never"/>
        <w:bidiVisual/>
        <w:tblW w:w="9639" w:type="dxa"/>
        <w:tblBorders>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274"/>
        <w:gridCol w:w="4963"/>
        <w:gridCol w:w="3402"/>
      </w:tblGrid>
      <w:tr w:rsidR="006B3E27" w:rsidRPr="00ED7442" w14:paraId="3A704E14" w14:textId="77777777" w:rsidTr="00281242">
        <w:trPr>
          <w:trHeight w:hRule="exact" w:val="851"/>
        </w:trPr>
        <w:tc>
          <w:tcPr>
            <w:tcW w:w="1274" w:type="dxa"/>
            <w:tcBorders>
              <w:bottom w:val="single" w:sz="4" w:space="0" w:color="auto"/>
            </w:tcBorders>
            <w:shd w:val="clear" w:color="auto" w:fill="auto"/>
          </w:tcPr>
          <w:p w14:paraId="6D59217A" w14:textId="77777777" w:rsidR="006B3E27" w:rsidRPr="003E159A" w:rsidRDefault="006B3E27" w:rsidP="00281242">
            <w:pPr>
              <w:pStyle w:val="Roman1GA"/>
            </w:pPr>
          </w:p>
        </w:tc>
        <w:tc>
          <w:tcPr>
            <w:tcW w:w="4963" w:type="dxa"/>
            <w:tcBorders>
              <w:bottom w:val="single" w:sz="4" w:space="0" w:color="auto"/>
            </w:tcBorders>
            <w:shd w:val="clear" w:color="auto" w:fill="auto"/>
            <w:vAlign w:val="bottom"/>
          </w:tcPr>
          <w:p w14:paraId="0F663C89" w14:textId="211BC33A" w:rsidR="006B3E27" w:rsidRPr="00281242" w:rsidRDefault="006B3E27" w:rsidP="00281242">
            <w:pPr>
              <w:spacing w:after="80" w:line="480" w:lineRule="exact"/>
              <w:jc w:val="left"/>
              <w:rPr>
                <w:sz w:val="40"/>
                <w:szCs w:val="40"/>
                <w:rtl/>
              </w:rPr>
            </w:pPr>
          </w:p>
        </w:tc>
        <w:tc>
          <w:tcPr>
            <w:tcW w:w="3402" w:type="dxa"/>
            <w:tcBorders>
              <w:bottom w:val="single" w:sz="4" w:space="0" w:color="auto"/>
            </w:tcBorders>
            <w:shd w:val="clear" w:color="auto" w:fill="auto"/>
            <w:vAlign w:val="bottom"/>
          </w:tcPr>
          <w:p w14:paraId="602D06F2" w14:textId="4862130C" w:rsidR="006B3E27" w:rsidRPr="00281242" w:rsidRDefault="00A31529" w:rsidP="00BE69D6">
            <w:pPr>
              <w:bidi w:val="0"/>
              <w:spacing w:after="20"/>
              <w:jc w:val="left"/>
              <w:rPr>
                <w:szCs w:val="20"/>
                <w:rtl/>
              </w:rPr>
            </w:pPr>
            <w:r w:rsidRPr="00483428">
              <w:rPr>
                <w:sz w:val="40"/>
              </w:rPr>
              <w:t>A</w:t>
            </w:r>
            <w:r>
              <w:t>/HRC/</w:t>
            </w:r>
            <w:r w:rsidR="00BE69D6" w:rsidRPr="00BE69D6">
              <w:t>52/4/Add.1</w:t>
            </w:r>
          </w:p>
        </w:tc>
      </w:tr>
      <w:tr w:rsidR="006B3E27" w:rsidRPr="00ED7442" w14:paraId="2588D2E1" w14:textId="77777777" w:rsidTr="00281242">
        <w:trPr>
          <w:trHeight w:hRule="exact" w:val="2835"/>
        </w:trPr>
        <w:tc>
          <w:tcPr>
            <w:tcW w:w="1274" w:type="dxa"/>
            <w:tcBorders>
              <w:top w:val="single" w:sz="4" w:space="0" w:color="auto"/>
              <w:bottom w:val="single" w:sz="12" w:space="0" w:color="auto"/>
            </w:tcBorders>
            <w:shd w:val="clear" w:color="auto" w:fill="auto"/>
          </w:tcPr>
          <w:p w14:paraId="017018C8" w14:textId="6E738AD7" w:rsidR="006B3E27" w:rsidRPr="00281242" w:rsidRDefault="006B3E27" w:rsidP="00281242">
            <w:pPr>
              <w:jc w:val="center"/>
              <w:rPr>
                <w:sz w:val="56"/>
                <w:szCs w:val="56"/>
                <w:rtl/>
              </w:rPr>
            </w:pPr>
          </w:p>
        </w:tc>
        <w:tc>
          <w:tcPr>
            <w:tcW w:w="4963" w:type="dxa"/>
            <w:tcBorders>
              <w:top w:val="single" w:sz="4" w:space="0" w:color="auto"/>
              <w:bottom w:val="single" w:sz="12" w:space="0" w:color="auto"/>
            </w:tcBorders>
            <w:shd w:val="clear" w:color="auto" w:fill="auto"/>
          </w:tcPr>
          <w:p w14:paraId="44735705" w14:textId="3252A433" w:rsidR="006B3E27" w:rsidRPr="00281242" w:rsidRDefault="005C6E66" w:rsidP="00281242">
            <w:pPr>
              <w:spacing w:before="120" w:after="40" w:line="640" w:lineRule="exact"/>
              <w:jc w:val="left"/>
              <w:rPr>
                <w:b/>
                <w:bCs/>
                <w:sz w:val="56"/>
                <w:szCs w:val="56"/>
              </w:rPr>
            </w:pPr>
            <w:r>
              <w:rPr>
                <w:rFonts w:hint="cs"/>
                <w:b/>
                <w:bCs/>
                <w:sz w:val="56"/>
                <w:szCs w:val="56"/>
                <w:rtl/>
              </w:rPr>
              <w:t>Advance Version</w:t>
            </w:r>
            <w:bookmarkStart w:id="0" w:name="_GoBack"/>
            <w:bookmarkEnd w:id="0"/>
          </w:p>
        </w:tc>
        <w:tc>
          <w:tcPr>
            <w:tcW w:w="3402" w:type="dxa"/>
            <w:tcBorders>
              <w:top w:val="single" w:sz="4" w:space="0" w:color="auto"/>
              <w:bottom w:val="single" w:sz="12" w:space="0" w:color="auto"/>
            </w:tcBorders>
            <w:shd w:val="clear" w:color="auto" w:fill="auto"/>
          </w:tcPr>
          <w:p w14:paraId="17CA4A47" w14:textId="77777777" w:rsidR="00A31A27" w:rsidRDefault="00A31A27" w:rsidP="00A31A27">
            <w:pPr>
              <w:bidi w:val="0"/>
              <w:spacing w:before="240"/>
            </w:pPr>
            <w:r>
              <w:t>Distr.: General</w:t>
            </w:r>
          </w:p>
          <w:p w14:paraId="46903705" w14:textId="1D208A5D" w:rsidR="00A31A27" w:rsidRPr="00BE69D6" w:rsidRDefault="00BE69D6" w:rsidP="00A31A27">
            <w:pPr>
              <w:bidi w:val="0"/>
            </w:pPr>
            <w:r w:rsidRPr="00BE69D6">
              <w:t>16 February 2023</w:t>
            </w:r>
          </w:p>
          <w:p w14:paraId="675FE992" w14:textId="77777777" w:rsidR="00BE69D6" w:rsidRDefault="00BE69D6" w:rsidP="00A31A27">
            <w:pPr>
              <w:bidi w:val="0"/>
              <w:jc w:val="left"/>
            </w:pPr>
          </w:p>
          <w:p w14:paraId="1534CC28" w14:textId="66331E4E" w:rsidR="00A31529" w:rsidRPr="00281242" w:rsidRDefault="00A31A27" w:rsidP="00BE69D6">
            <w:pPr>
              <w:bidi w:val="0"/>
              <w:jc w:val="left"/>
              <w:rPr>
                <w:szCs w:val="20"/>
              </w:rPr>
            </w:pPr>
            <w:r>
              <w:t xml:space="preserve">Original: </w:t>
            </w:r>
            <w:r w:rsidR="00BE69D6" w:rsidRPr="00BE69D6">
              <w:t>Arabic</w:t>
            </w:r>
          </w:p>
        </w:tc>
      </w:tr>
    </w:tbl>
    <w:p w14:paraId="173A166A" w14:textId="77777777" w:rsidR="00BE69D6" w:rsidRPr="00890BC9" w:rsidRDefault="00BE69D6" w:rsidP="00BE69D6">
      <w:pPr>
        <w:pStyle w:val="H1"/>
        <w:rPr>
          <w:rtl/>
        </w:rPr>
      </w:pPr>
      <w:r w:rsidRPr="00890BC9">
        <w:rPr>
          <w:rFonts w:hint="cs"/>
          <w:rtl/>
        </w:rPr>
        <w:t>مجلس</w:t>
      </w:r>
      <w:r w:rsidRPr="00890BC9">
        <w:rPr>
          <w:rtl/>
        </w:rPr>
        <w:t xml:space="preserve"> حقوق الإنسان</w:t>
      </w:r>
    </w:p>
    <w:p w14:paraId="2A7AB0C2" w14:textId="77777777" w:rsidR="00BE69D6" w:rsidRDefault="00BE69D6" w:rsidP="00BE69D6">
      <w:pPr>
        <w:spacing w:line="380" w:lineRule="exact"/>
        <w:rPr>
          <w:b/>
          <w:bCs/>
          <w:rtl/>
        </w:rPr>
      </w:pPr>
      <w:r w:rsidRPr="00676923">
        <w:rPr>
          <w:b/>
          <w:bCs/>
          <w:rtl/>
        </w:rPr>
        <w:t>الدورة الثانية والخمسون</w:t>
      </w:r>
    </w:p>
    <w:p w14:paraId="3FDBCA8F" w14:textId="77777777" w:rsidR="00BE69D6" w:rsidRPr="000276DF" w:rsidRDefault="00BE69D6" w:rsidP="00BE69D6">
      <w:pPr>
        <w:spacing w:line="380" w:lineRule="exact"/>
        <w:textDirection w:val="tbRlV"/>
        <w:rPr>
          <w:rtl/>
          <w:lang w:val="ar-SA" w:eastAsia="zh-TW"/>
        </w:rPr>
      </w:pPr>
      <w:r w:rsidRPr="00676923">
        <w:rPr>
          <w:rtl/>
          <w:lang w:val="ar-SA" w:eastAsia="zh-TW"/>
        </w:rPr>
        <w:t>27 شباط/فبراير - 31 آذار/مارس 2023</w:t>
      </w:r>
    </w:p>
    <w:p w14:paraId="6DF69FBF" w14:textId="77777777" w:rsidR="00BE69D6" w:rsidRPr="00890BC9" w:rsidRDefault="00BE69D6" w:rsidP="00BE69D6">
      <w:pPr>
        <w:spacing w:line="380" w:lineRule="exact"/>
        <w:rPr>
          <w:rtl/>
        </w:rPr>
      </w:pPr>
      <w:r w:rsidRPr="00890BC9">
        <w:rPr>
          <w:rFonts w:hint="cs"/>
          <w:rtl/>
        </w:rPr>
        <w:t>البند 6 من جدول الأعمال</w:t>
      </w:r>
    </w:p>
    <w:p w14:paraId="295B4D63" w14:textId="77777777" w:rsidR="00BE69D6" w:rsidRPr="00890BC9" w:rsidRDefault="00BE69D6" w:rsidP="00BE69D6">
      <w:pPr>
        <w:spacing w:after="240" w:line="380" w:lineRule="exact"/>
        <w:rPr>
          <w:b/>
          <w:bCs/>
          <w:rtl/>
        </w:rPr>
      </w:pPr>
      <w:r w:rsidRPr="00890BC9">
        <w:rPr>
          <w:rFonts w:hint="cs"/>
          <w:b/>
          <w:bCs/>
          <w:rtl/>
        </w:rPr>
        <w:t>الاستعراض الدوري الشامل</w:t>
      </w:r>
    </w:p>
    <w:p w14:paraId="2EB49121" w14:textId="77777777" w:rsidR="00BE69D6" w:rsidRPr="00507A65" w:rsidRDefault="00BE69D6" w:rsidP="00BE69D6">
      <w:pPr>
        <w:framePr w:w="9792" w:h="432" w:hSpace="187" w:wrap="around" w:hAnchor="page" w:x="1196" w:yAlign="bottom"/>
        <w:spacing w:line="240" w:lineRule="auto"/>
        <w:rPr>
          <w:szCs w:val="10"/>
          <w:rtl/>
        </w:rPr>
      </w:pPr>
    </w:p>
    <w:p w14:paraId="60306160" w14:textId="77777777" w:rsidR="00BE69D6" w:rsidRPr="00507A65" w:rsidRDefault="00BE69D6" w:rsidP="00BE69D6">
      <w:pPr>
        <w:framePr w:w="9792" w:h="432" w:hSpace="187" w:wrap="around" w:hAnchor="page" w:x="1196" w:yAlign="bottom"/>
        <w:spacing w:line="240" w:lineRule="auto"/>
        <w:rPr>
          <w:szCs w:val="6"/>
          <w:rtl/>
        </w:rPr>
      </w:pPr>
      <w:r w:rsidRPr="00507A65">
        <w:rPr>
          <w:noProof/>
          <w:szCs w:val="6"/>
          <w:rtl/>
          <w:lang w:val="en-GB" w:eastAsia="en-GB"/>
        </w:rPr>
        <mc:AlternateContent>
          <mc:Choice Requires="wps">
            <w:drawing>
              <wp:anchor distT="0" distB="0" distL="114300" distR="114300" simplePos="0" relativeHeight="251658240" behindDoc="0" locked="0" layoutInCell="1" allowOverlap="1" wp14:anchorId="15E3666A" wp14:editId="4FDCA3D5">
                <wp:simplePos x="0" y="0"/>
                <wp:positionH relativeFrom="column">
                  <wp:posOffset>5029327</wp:posOffset>
                </wp:positionH>
                <wp:positionV relativeFrom="paragraph">
                  <wp:posOffset>-12700</wp:posOffset>
                </wp:positionV>
                <wp:extent cx="914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EDE740A" id="Straight Connector 5"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96pt,-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" strokecolor="#010000"/>
            </w:pict>
          </mc:Fallback>
        </mc:AlternateContent>
      </w:r>
    </w:p>
    <w:p w14:paraId="3B14772B" w14:textId="77777777" w:rsidR="00BE69D6" w:rsidRPr="00507A65" w:rsidRDefault="00BE69D6" w:rsidP="00BE69D6">
      <w:pPr>
        <w:framePr w:w="9792" w:h="432" w:hSpace="187" w:wrap="around" w:hAnchor="page" w:x="1196" w:yAlign="bottom"/>
        <w:tabs>
          <w:tab w:val="right" w:pos="996"/>
          <w:tab w:val="left" w:pos="1267"/>
        </w:tabs>
        <w:spacing w:after="80" w:line="300" w:lineRule="exact"/>
        <w:ind w:left="1267" w:right="1267" w:hanging="547"/>
        <w:rPr>
          <w:sz w:val="17"/>
          <w:szCs w:val="26"/>
        </w:rPr>
      </w:pPr>
      <w:r>
        <w:rPr>
          <w:rFonts w:hint="cs"/>
          <w:sz w:val="17"/>
          <w:szCs w:val="26"/>
          <w:rtl/>
        </w:rPr>
        <w:tab/>
        <w:t>*</w:t>
      </w:r>
      <w:r>
        <w:rPr>
          <w:sz w:val="17"/>
          <w:szCs w:val="26"/>
          <w:rtl/>
        </w:rPr>
        <w:tab/>
      </w:r>
      <w:r w:rsidRPr="007B5558">
        <w:rPr>
          <w:rFonts w:hint="cs"/>
          <w:sz w:val="17"/>
          <w:szCs w:val="26"/>
          <w:rtl/>
        </w:rPr>
        <w:t>تصدر هذه الوثيقة من دون تحرير رسمي.</w:t>
      </w:r>
    </w:p>
    <w:p w14:paraId="1B2C778D" w14:textId="77777777" w:rsidR="00BE69D6" w:rsidRPr="00890BC9" w:rsidRDefault="00BE69D6" w:rsidP="00BE69D6">
      <w:pPr>
        <w:pStyle w:val="HMGA"/>
        <w:rPr>
          <w:rtl/>
        </w:rPr>
      </w:pPr>
      <w:r w:rsidRPr="00890BC9">
        <w:rPr>
          <w:rtl/>
        </w:rPr>
        <w:tab/>
      </w:r>
      <w:r w:rsidRPr="00890BC9">
        <w:rPr>
          <w:rFonts w:hint="cs"/>
          <w:rtl/>
        </w:rPr>
        <w:tab/>
        <w:t>تقرير الفريق العامل المعني بالاستعراض الدوري الشامل</w:t>
      </w:r>
      <w:r>
        <w:rPr>
          <w:rFonts w:hint="cs"/>
          <w:rtl/>
        </w:rPr>
        <w:t>*</w:t>
      </w:r>
    </w:p>
    <w:p w14:paraId="13F32847" w14:textId="77777777" w:rsidR="00BE69D6" w:rsidRDefault="00BE69D6" w:rsidP="00BE69D6">
      <w:pPr>
        <w:pStyle w:val="HMGA"/>
        <w:rPr>
          <w:rtl/>
        </w:rPr>
      </w:pPr>
      <w:r w:rsidRPr="00890BC9">
        <w:rPr>
          <w:rtl/>
        </w:rPr>
        <w:tab/>
      </w:r>
      <w:r w:rsidRPr="00890BC9">
        <w:rPr>
          <w:rFonts w:hint="cs"/>
          <w:rtl/>
        </w:rPr>
        <w:tab/>
      </w:r>
      <w:r w:rsidRPr="00676923">
        <w:rPr>
          <w:rtl/>
        </w:rPr>
        <w:t>البحرين</w:t>
      </w:r>
    </w:p>
    <w:p w14:paraId="725CED47" w14:textId="77777777" w:rsidR="00BE69D6" w:rsidRPr="00890BC9" w:rsidRDefault="00BE69D6" w:rsidP="00BE69D6">
      <w:pPr>
        <w:pStyle w:val="H23GA"/>
        <w:rPr>
          <w:rtl/>
        </w:rPr>
      </w:pPr>
      <w:r w:rsidRPr="00890BC9">
        <w:rPr>
          <w:rtl/>
        </w:rPr>
        <w:tab/>
      </w:r>
      <w:r w:rsidRPr="00890BC9">
        <w:rPr>
          <w:rFonts w:hint="cs"/>
          <w:rtl/>
        </w:rPr>
        <w:tab/>
        <w:t>إضافة</w:t>
      </w:r>
    </w:p>
    <w:p w14:paraId="7207B38D" w14:textId="77777777" w:rsidR="00BE69D6" w:rsidRDefault="00BE69D6" w:rsidP="00BE69D6">
      <w:pPr>
        <w:pStyle w:val="HChGA"/>
        <w:rPr>
          <w:rtl/>
        </w:rPr>
      </w:pPr>
      <w:r w:rsidRPr="00890BC9">
        <w:rPr>
          <w:rtl/>
        </w:rPr>
        <w:tab/>
      </w:r>
      <w:r w:rsidRPr="00890BC9">
        <w:rPr>
          <w:rFonts w:hint="cs"/>
          <w:rtl/>
        </w:rPr>
        <w:tab/>
        <w:t>آراء بشأن الاستنتاجات و/أو التوصيات، والالتزامات الطوعية والردود المقدمة من الدولة موضع الاستعراض</w:t>
      </w:r>
    </w:p>
    <w:p w14:paraId="4B0BF5CF" w14:textId="74E7B36C" w:rsidR="00BE69D6" w:rsidRPr="00DC7062" w:rsidRDefault="00BE69D6" w:rsidP="00BE69D6">
      <w:pPr>
        <w:pStyle w:val="SingleTxtGA"/>
        <w:rPr>
          <w:lang w:bidi="ar-BH"/>
        </w:rPr>
      </w:pPr>
      <w:r>
        <w:rPr>
          <w:rtl/>
        </w:rPr>
        <w:br w:type="page"/>
      </w:r>
      <w:r>
        <w:rPr>
          <w:rFonts w:hint="cs"/>
          <w:rtl/>
          <w:lang w:val="fr-FR" w:bidi="ar-EG"/>
        </w:rPr>
        <w:lastRenderedPageBreak/>
        <w:t>1</w:t>
      </w:r>
      <w:bookmarkStart w:id="1" w:name="_Hlk127439473"/>
      <w:r w:rsidRPr="00890BC9">
        <w:rPr>
          <w:rtl/>
          <w:lang w:val="fr-FR" w:bidi="ar-EG"/>
        </w:rPr>
        <w:t>-</w:t>
      </w:r>
      <w:r w:rsidRPr="00890BC9">
        <w:rPr>
          <w:rtl/>
          <w:lang w:val="fr-FR" w:bidi="ar-EG"/>
        </w:rPr>
        <w:tab/>
      </w:r>
      <w:r w:rsidRPr="00676923">
        <w:rPr>
          <w:rFonts w:hint="cs"/>
          <w:rtl/>
          <w:lang w:val="fr-FR"/>
        </w:rPr>
        <w:t>تواصل مملكة البحرين جهودها المبذولة في سبيل النهوض بحقوق الإنسان وصون كرامته، وذلك عبر التعاون مع كافة أصحاب المصلحة والشركاء على الصعيدين الوطني والدولي.</w:t>
      </w:r>
    </w:p>
    <w:bookmarkEnd w:id="1"/>
    <w:p w14:paraId="24E1F4CC" w14:textId="77777777" w:rsidR="00BE69D6" w:rsidRDefault="00BE69D6" w:rsidP="00BE69D6">
      <w:pPr>
        <w:pStyle w:val="SingleTxtGA"/>
        <w:rPr>
          <w:rtl/>
          <w:lang w:val="fr-FR" w:bidi="ar-EG"/>
        </w:rPr>
      </w:pPr>
      <w:r w:rsidRPr="00890BC9">
        <w:rPr>
          <w:rtl/>
          <w:lang w:val="fr-FR" w:bidi="ar-EG"/>
        </w:rPr>
        <w:t>2-</w:t>
      </w:r>
      <w:r w:rsidRPr="00890BC9">
        <w:rPr>
          <w:rtl/>
          <w:lang w:val="fr-FR" w:bidi="ar-EG"/>
        </w:rPr>
        <w:tab/>
      </w:r>
      <w:r w:rsidRPr="00676923">
        <w:rPr>
          <w:rFonts w:hint="cs"/>
          <w:rtl/>
          <w:lang w:val="fr-FR"/>
        </w:rPr>
        <w:t>كما تعكف مملكة البحرين على استمرار التعاون البناء القائم مع الأمم المتحدة ومجلس حقوق الإنسان وكافة آلياته، بمن فيهم آلية الاستعراض الدوري الشامل والمفوضية السامية لحقوق الإنسان والآليات والمنظمات الأخرى الدولية ذات العلاقة.</w:t>
      </w:r>
    </w:p>
    <w:p w14:paraId="0B78ED7C" w14:textId="77777777" w:rsidR="00BE69D6" w:rsidRPr="00DC7062" w:rsidRDefault="00BE69D6" w:rsidP="00BE69D6">
      <w:pPr>
        <w:pStyle w:val="SingleTxtGA"/>
        <w:rPr>
          <w:lang w:bidi="ar-EG"/>
        </w:rPr>
      </w:pPr>
      <w:r w:rsidRPr="00890BC9">
        <w:rPr>
          <w:rtl/>
          <w:lang w:val="fr-FR" w:bidi="ar-EG"/>
        </w:rPr>
        <w:t>3-</w:t>
      </w:r>
      <w:r w:rsidRPr="00890BC9">
        <w:rPr>
          <w:rtl/>
          <w:lang w:val="fr-FR" w:bidi="ar-EG"/>
        </w:rPr>
        <w:tab/>
      </w:r>
      <w:r w:rsidRPr="00676923">
        <w:rPr>
          <w:rFonts w:hint="cs"/>
          <w:rtl/>
          <w:lang w:val="fr-FR"/>
        </w:rPr>
        <w:t>وانطلاقًا من حرص مملكة البحرين على التعاون مع آلية الاستعراض الدوري الشامل بهدف تحقيق أهدافها وغاياتها القائمة على مبادئ الحوار والموضوعية واللاانتقائية، استعرضت البحرين بدقة التوصيات المقدمة أثناء الاستعراض الدوري الشامل لتقريرها الوطني الرابع في ٧ نوفمبر ٢٠٢٢م، والبالغ عددها ٢٤٥ توصية.</w:t>
      </w:r>
    </w:p>
    <w:p w14:paraId="393B6A71" w14:textId="77777777" w:rsidR="00BE69D6" w:rsidRDefault="00BE69D6" w:rsidP="00BE69D6">
      <w:pPr>
        <w:pStyle w:val="SingleTxtGA"/>
        <w:rPr>
          <w:rtl/>
          <w:lang w:val="fr-FR" w:bidi="ar-EG"/>
        </w:rPr>
      </w:pPr>
      <w:r w:rsidRPr="00890BC9">
        <w:rPr>
          <w:sz w:val="18"/>
          <w:rtl/>
          <w:lang w:val="en-GB" w:bidi="ar-LY"/>
        </w:rPr>
        <w:t>4</w:t>
      </w:r>
      <w:r w:rsidRPr="00890BC9">
        <w:rPr>
          <w:rtl/>
          <w:lang w:val="fr-FR" w:bidi="ar-EG"/>
        </w:rPr>
        <w:t>-</w:t>
      </w:r>
      <w:r w:rsidRPr="00890BC9">
        <w:rPr>
          <w:rtl/>
          <w:lang w:val="fr-FR" w:bidi="ar-EG"/>
        </w:rPr>
        <w:tab/>
      </w:r>
      <w:r w:rsidRPr="00676923">
        <w:rPr>
          <w:rFonts w:hint="cs"/>
          <w:rtl/>
          <w:lang w:val="fr-FR"/>
        </w:rPr>
        <w:t>التوصيات التي تم قبولها، فإن ذلك يعني أنها نفذت، أو أنها قيد التخطيط أو التنفيذ.</w:t>
      </w:r>
    </w:p>
    <w:p w14:paraId="376F33F6" w14:textId="77777777" w:rsidR="00BE69D6" w:rsidRDefault="00BE69D6" w:rsidP="00BE69D6">
      <w:pPr>
        <w:pStyle w:val="SingleTxtGA"/>
        <w:rPr>
          <w:rtl/>
          <w:lang w:val="fr-FR" w:bidi="ar-EG"/>
        </w:rPr>
      </w:pPr>
      <w:r>
        <w:rPr>
          <w:rFonts w:hint="cs"/>
          <w:sz w:val="18"/>
          <w:rtl/>
          <w:lang w:val="en-GB" w:bidi="ar-LY"/>
        </w:rPr>
        <w:t>5</w:t>
      </w:r>
      <w:r w:rsidRPr="00890BC9">
        <w:rPr>
          <w:rtl/>
          <w:lang w:val="fr-FR" w:bidi="ar-EG"/>
        </w:rPr>
        <w:t>-</w:t>
      </w:r>
      <w:r w:rsidRPr="00890BC9">
        <w:rPr>
          <w:rtl/>
          <w:lang w:val="fr-FR" w:bidi="ar-EG"/>
        </w:rPr>
        <w:tab/>
      </w:r>
      <w:r w:rsidRPr="00676923">
        <w:rPr>
          <w:rFonts w:hint="cs"/>
          <w:rtl/>
          <w:lang w:val="fr-FR"/>
        </w:rPr>
        <w:t>التوصيات التي أُخذ بالعلم بها، تقضي مزيداً من الدراسة والبحث، علماً بأن عدداً منها كان من الممكن القبول بها جزئياً في حال لم يتعارض مضمونها مع التشريعات الوطنية، أو أحكام الشريعة الاسلامية، أو التدخل في سيادة الدولة.</w:t>
      </w:r>
    </w:p>
    <w:p w14:paraId="40294613" w14:textId="543A437F" w:rsidR="00BE69D6" w:rsidRDefault="00BE69D6" w:rsidP="00BE69D6">
      <w:pPr>
        <w:pStyle w:val="SingleTxtGA"/>
        <w:rPr>
          <w:rtl/>
          <w:lang w:val="fr-FR" w:bidi="ar-EG"/>
        </w:rPr>
      </w:pPr>
      <w:r>
        <w:rPr>
          <w:rFonts w:hint="cs"/>
          <w:sz w:val="18"/>
          <w:rtl/>
          <w:lang w:val="en-GB" w:bidi="ar-LY"/>
        </w:rPr>
        <w:t>6</w:t>
      </w:r>
      <w:r w:rsidRPr="00890BC9">
        <w:rPr>
          <w:rtl/>
          <w:lang w:val="fr-FR" w:bidi="ar-EG"/>
        </w:rPr>
        <w:t>-</w:t>
      </w:r>
      <w:r w:rsidRPr="00890BC9">
        <w:rPr>
          <w:rtl/>
          <w:lang w:val="fr-FR" w:bidi="ar-EG"/>
        </w:rPr>
        <w:tab/>
      </w:r>
      <w:r w:rsidRPr="00676923">
        <w:rPr>
          <w:rFonts w:hint="cs"/>
          <w:rtl/>
          <w:lang w:val="fr-FR"/>
        </w:rPr>
        <w:t>وتحظى (</w:t>
      </w:r>
      <w:r w:rsidR="000A5A8A">
        <w:rPr>
          <w:rFonts w:hint="cs"/>
          <w:rtl/>
          <w:lang w:val="fr-FR"/>
        </w:rPr>
        <w:t>172</w:t>
      </w:r>
      <w:r w:rsidRPr="00676923">
        <w:rPr>
          <w:rFonts w:hint="cs"/>
          <w:rtl/>
          <w:lang w:val="fr-FR"/>
        </w:rPr>
        <w:t>) توصية بالقبول، في حين أُخذ بالعلم بعدد (</w:t>
      </w:r>
      <w:r w:rsidR="000A5A8A">
        <w:rPr>
          <w:rFonts w:hint="cs"/>
          <w:rtl/>
          <w:lang w:val="fr-FR"/>
        </w:rPr>
        <w:t>73</w:t>
      </w:r>
      <w:r w:rsidRPr="00676923">
        <w:rPr>
          <w:rFonts w:hint="cs"/>
          <w:rtl/>
          <w:lang w:val="fr-FR"/>
        </w:rPr>
        <w:t>) توصية.</w:t>
      </w:r>
    </w:p>
    <w:p w14:paraId="0A721B5A" w14:textId="77777777" w:rsidR="00BE69D6" w:rsidRPr="00711843" w:rsidRDefault="00BE69D6" w:rsidP="00BE69D6">
      <w:pPr>
        <w:pStyle w:val="HChGA"/>
        <w:rPr>
          <w:rFonts w:eastAsia="MS Mincho"/>
          <w:rtl/>
        </w:rPr>
      </w:pPr>
      <w:bookmarkStart w:id="2" w:name="_Hlk127282816"/>
      <w:r w:rsidRPr="000276DF">
        <w:rPr>
          <w:rFonts w:hint="cs"/>
          <w:rtl/>
          <w:lang w:eastAsia="ar-SA"/>
        </w:rPr>
        <w:tab/>
      </w:r>
      <w:r w:rsidRPr="00711843">
        <w:rPr>
          <w:rFonts w:eastAsia="MS Mincho"/>
          <w:rtl/>
        </w:rPr>
        <w:tab/>
      </w:r>
      <w:r w:rsidRPr="00676923">
        <w:rPr>
          <w:rFonts w:eastAsia="MS Mincho" w:hint="cs"/>
          <w:rtl/>
        </w:rPr>
        <w:t>المسائل المتعلقة بمواصلة تحسين أوضاع العمالة الوافدة وحمايتهم</w:t>
      </w:r>
    </w:p>
    <w:p w14:paraId="568FF401" w14:textId="77777777" w:rsidR="00BE69D6" w:rsidRDefault="00BE69D6" w:rsidP="00BE69D6">
      <w:pPr>
        <w:pStyle w:val="SingleTxtGA"/>
        <w:rPr>
          <w:rtl/>
          <w:lang w:val="fr-FR"/>
        </w:rPr>
      </w:pPr>
      <w:bookmarkStart w:id="3" w:name="_Hlk127282976"/>
      <w:bookmarkEnd w:id="2"/>
      <w:r>
        <w:rPr>
          <w:rFonts w:hint="cs"/>
          <w:sz w:val="18"/>
          <w:rtl/>
          <w:lang w:val="en-GB" w:bidi="ar-LY"/>
        </w:rPr>
        <w:t>7</w:t>
      </w:r>
      <w:r w:rsidRPr="00890BC9">
        <w:rPr>
          <w:rtl/>
          <w:lang w:val="fr-FR" w:bidi="ar-EG"/>
        </w:rPr>
        <w:t>-</w:t>
      </w:r>
      <w:r w:rsidRPr="00890BC9">
        <w:rPr>
          <w:rtl/>
          <w:lang w:val="fr-FR" w:bidi="ar-EG"/>
        </w:rPr>
        <w:tab/>
      </w:r>
      <w:r w:rsidRPr="00676923">
        <w:rPr>
          <w:rFonts w:hint="cs"/>
          <w:rtl/>
          <w:lang w:val="fr-FR"/>
        </w:rPr>
        <w:t>تحظى التوصيات التالية بالقبول:</w:t>
      </w:r>
    </w:p>
    <w:p w14:paraId="6B90BFEC" w14:textId="6A80B148" w:rsidR="00BE69D6" w:rsidRPr="00E46DC7" w:rsidRDefault="00BE69D6" w:rsidP="00BE69D6">
      <w:pPr>
        <w:pStyle w:val="SingleTxtGA"/>
        <w:rPr>
          <w:rFonts w:ascii="Traditional Arabic" w:hAnsi="Traditional Arabic"/>
          <w:sz w:val="28"/>
          <w:rtl/>
          <w:lang w:val="fr-FR"/>
        </w:rPr>
      </w:pPr>
      <w:r>
        <w:rPr>
          <w:rtl/>
          <w:lang w:val="fr-FR"/>
        </w:rPr>
        <w:tab/>
      </w:r>
      <w:bookmarkStart w:id="4" w:name="_Hlk127283686"/>
      <w:r w:rsidRPr="00E46DC7">
        <w:rPr>
          <w:rFonts w:ascii="Traditional Arabic" w:hAnsi="Traditional Arabic" w:hint="cs"/>
          <w:sz w:val="28"/>
        </w:rPr>
        <w:t xml:space="preserve">124-23, 124-152, 124-220, 124-221, 124-222, 124-223, 124-224, 124-225, </w:t>
      </w:r>
      <w:r w:rsidR="000A5A8A">
        <w:rPr>
          <w:rFonts w:ascii="Traditional Arabic" w:hAnsi="Traditional Arabic"/>
          <w:sz w:val="28"/>
        </w:rPr>
        <w:t xml:space="preserve">124-226, </w:t>
      </w:r>
      <w:r w:rsidRPr="00E46DC7">
        <w:rPr>
          <w:rFonts w:ascii="Traditional Arabic" w:hAnsi="Traditional Arabic" w:hint="cs"/>
          <w:sz w:val="28"/>
        </w:rPr>
        <w:t>124-227, 124-228, 124-229.</w:t>
      </w:r>
      <w:bookmarkEnd w:id="4"/>
    </w:p>
    <w:bookmarkEnd w:id="3"/>
    <w:p w14:paraId="2B1FC0B7" w14:textId="77777777" w:rsidR="00BE69D6" w:rsidRPr="00676923" w:rsidRDefault="00BE69D6" w:rsidP="00BE69D6">
      <w:pPr>
        <w:pStyle w:val="SingleTxtGA"/>
        <w:rPr>
          <w:rtl/>
          <w:lang w:val="fr-FR"/>
        </w:rPr>
      </w:pPr>
      <w:r>
        <w:rPr>
          <w:rFonts w:hint="cs"/>
          <w:rtl/>
          <w:lang w:val="fr-FR" w:bidi="ar-LY"/>
        </w:rPr>
        <w:t>8</w:t>
      </w:r>
      <w:r w:rsidRPr="00676923">
        <w:rPr>
          <w:rtl/>
          <w:lang w:val="fr-FR" w:bidi="ar-EG"/>
        </w:rPr>
        <w:t>-</w:t>
      </w:r>
      <w:r w:rsidRPr="00676923">
        <w:rPr>
          <w:rtl/>
          <w:lang w:val="fr-FR" w:bidi="ar-EG"/>
        </w:rPr>
        <w:tab/>
      </w:r>
      <w:r w:rsidRPr="00676923">
        <w:rPr>
          <w:rFonts w:hint="cs"/>
          <w:rtl/>
          <w:lang w:val="fr-FR"/>
        </w:rPr>
        <w:t xml:space="preserve">تضع مملكة البحرين </w:t>
      </w:r>
      <w:r w:rsidRPr="00676923">
        <w:rPr>
          <w:rtl/>
          <w:lang w:val="fr-FR"/>
        </w:rPr>
        <w:t xml:space="preserve">حماية حقوق العمالة </w:t>
      </w:r>
      <w:r w:rsidRPr="00676923">
        <w:rPr>
          <w:rFonts w:hint="cs"/>
          <w:rtl/>
          <w:lang w:val="fr-FR"/>
        </w:rPr>
        <w:t xml:space="preserve">الوافدة </w:t>
      </w:r>
      <w:r w:rsidRPr="00676923">
        <w:rPr>
          <w:rtl/>
          <w:lang w:val="fr-FR"/>
        </w:rPr>
        <w:t>على سلم أولوياتها، وذلك انطلاقًا من مبادئ وأخلاقيات وثقافة المملكة القائمة على التعايش والاحترام</w:t>
      </w:r>
      <w:r w:rsidRPr="00676923">
        <w:rPr>
          <w:rFonts w:hint="cs"/>
          <w:rtl/>
          <w:lang w:val="fr-FR"/>
        </w:rPr>
        <w:t xml:space="preserve">، كما تعمل على </w:t>
      </w:r>
      <w:r w:rsidRPr="00676923">
        <w:rPr>
          <w:rtl/>
          <w:lang w:val="fr-FR"/>
        </w:rPr>
        <w:t>تكثيف التعاون في مجال توعية العمالة الوافدة بالحقوق والواجبات واطلاعهم على مستجدات سوق العمل</w:t>
      </w:r>
      <w:r w:rsidRPr="00676923">
        <w:rPr>
          <w:rFonts w:hint="cs"/>
          <w:rtl/>
          <w:lang w:val="fr-FR"/>
        </w:rPr>
        <w:t xml:space="preserve">. ويأتي إنشاء </w:t>
      </w:r>
      <w:r w:rsidRPr="00676923">
        <w:rPr>
          <w:rtl/>
          <w:lang w:val="fr-FR"/>
        </w:rPr>
        <w:t>مركز حماية وقبول العمالة الوافدة، الذي يُعد أول مركز شامل ومتخصص في منطقة الشرق الأوسط، يُعنى بحماية وقبول العمالة، من خلال تقديم مختلف الخدمات الوقائية، والإرشادية والقانونية، والإيواء للضحايا والضحايا المحتملين في جريمة الاتجار بالأشخاص، وأشكال الاستغلال كافة، وحفظ حقوقهم العمالية، وفق أفضل المعايير والممارسات الدولية المتبعة في هذا الشأن</w:t>
      </w:r>
      <w:r w:rsidRPr="00676923">
        <w:rPr>
          <w:rFonts w:hint="cs"/>
          <w:rtl/>
          <w:lang w:val="fr-FR"/>
        </w:rPr>
        <w:t xml:space="preserve"> دلالة واضحة على التزام المملكة التام لحماية هذه الفئة</w:t>
      </w:r>
      <w:r w:rsidRPr="00676923">
        <w:rPr>
          <w:rtl/>
          <w:lang w:val="fr-FR"/>
        </w:rPr>
        <w:t>.</w:t>
      </w:r>
    </w:p>
    <w:p w14:paraId="7C30E93E" w14:textId="03A1D7A8" w:rsidR="00BE69D6" w:rsidRDefault="00BE69D6" w:rsidP="00BE69D6">
      <w:pPr>
        <w:pStyle w:val="SingleTxtGA"/>
        <w:rPr>
          <w:rtl/>
          <w:lang w:val="fr-FR"/>
        </w:rPr>
      </w:pPr>
      <w:r>
        <w:rPr>
          <w:rFonts w:hint="cs"/>
          <w:rtl/>
          <w:lang w:val="fr-FR" w:bidi="ar-LY"/>
        </w:rPr>
        <w:t>9</w:t>
      </w:r>
      <w:r w:rsidRPr="00676923">
        <w:rPr>
          <w:rtl/>
          <w:lang w:val="fr-FR" w:bidi="ar-EG"/>
        </w:rPr>
        <w:t>-</w:t>
      </w:r>
      <w:r w:rsidRPr="00676923">
        <w:rPr>
          <w:rtl/>
          <w:lang w:val="fr-FR" w:bidi="ar-EG"/>
        </w:rPr>
        <w:tab/>
      </w:r>
      <w:r w:rsidRPr="00676923">
        <w:rPr>
          <w:rFonts w:hint="cs"/>
          <w:rtl/>
          <w:lang w:val="fr-FR"/>
        </w:rPr>
        <w:t>أُخذ بالعلم بالتوصي</w:t>
      </w:r>
      <w:r w:rsidR="00C17AAF">
        <w:rPr>
          <w:rFonts w:hint="cs"/>
          <w:rtl/>
          <w:lang w:val="fr-FR"/>
        </w:rPr>
        <w:t>ة</w:t>
      </w:r>
      <w:r w:rsidRPr="00676923">
        <w:rPr>
          <w:rFonts w:hint="cs"/>
          <w:rtl/>
          <w:lang w:val="fr-FR"/>
        </w:rPr>
        <w:t xml:space="preserve"> التالية:</w:t>
      </w:r>
    </w:p>
    <w:p w14:paraId="7B70FBA3" w14:textId="72DAEA1F" w:rsidR="00BE69D6" w:rsidRPr="00676923" w:rsidRDefault="00BE69D6" w:rsidP="00BE69D6">
      <w:pPr>
        <w:pStyle w:val="SingleTxtGA"/>
        <w:rPr>
          <w:rFonts w:ascii="Traditional Arabic" w:hAnsi="Traditional Arabic"/>
          <w:sz w:val="28"/>
          <w:rtl/>
          <w:lang w:val="fr-FR"/>
        </w:rPr>
      </w:pPr>
      <w:r>
        <w:rPr>
          <w:rtl/>
          <w:lang w:val="fr-FR"/>
        </w:rPr>
        <w:lastRenderedPageBreak/>
        <w:tab/>
      </w:r>
      <w:bookmarkStart w:id="5" w:name="_Hlk127283284"/>
      <w:r w:rsidRPr="00E46DC7">
        <w:rPr>
          <w:rFonts w:ascii="Traditional Arabic" w:hAnsi="Traditional Arabic" w:hint="cs"/>
          <w:sz w:val="28"/>
        </w:rPr>
        <w:t>124-230.</w:t>
      </w:r>
    </w:p>
    <w:p w14:paraId="38728FD4" w14:textId="77777777" w:rsidR="00BE69D6" w:rsidRPr="00E46DC7" w:rsidRDefault="00BE69D6" w:rsidP="00BE69D6">
      <w:pPr>
        <w:pStyle w:val="HChGA"/>
        <w:rPr>
          <w:rFonts w:eastAsia="MS Mincho"/>
          <w:rtl/>
        </w:rPr>
      </w:pPr>
      <w:bookmarkStart w:id="6" w:name="_Hlk127283434"/>
      <w:bookmarkEnd w:id="5"/>
      <w:r w:rsidRPr="000276DF">
        <w:rPr>
          <w:rFonts w:hint="cs"/>
          <w:rtl/>
          <w:lang w:eastAsia="ar-SA"/>
        </w:rPr>
        <w:tab/>
      </w:r>
      <w:r w:rsidRPr="00711843">
        <w:rPr>
          <w:rFonts w:eastAsia="MS Mincho"/>
          <w:rtl/>
        </w:rPr>
        <w:tab/>
      </w:r>
      <w:r w:rsidRPr="00E46DC7">
        <w:rPr>
          <w:rFonts w:eastAsia="MS Mincho" w:hint="cs"/>
          <w:rtl/>
        </w:rPr>
        <w:t>المسائل المتعلقة بالمصادقة على المعاهدات والاتفاقيات الدولية التي لم تنضم إليها مملكة البحرين أو سحب التحفظات</w:t>
      </w:r>
    </w:p>
    <w:bookmarkEnd w:id="6"/>
    <w:p w14:paraId="1E049C59" w14:textId="77777777" w:rsidR="00BE69D6" w:rsidRDefault="00BE69D6" w:rsidP="00BE69D6">
      <w:pPr>
        <w:pStyle w:val="SingleTxtGA"/>
        <w:rPr>
          <w:rtl/>
          <w:lang w:val="fr-FR"/>
        </w:rPr>
      </w:pPr>
      <w:r>
        <w:rPr>
          <w:rFonts w:hint="cs"/>
          <w:rtl/>
          <w:lang w:val="fr-FR" w:bidi="ar-LY"/>
        </w:rPr>
        <w:t>10</w:t>
      </w:r>
      <w:r w:rsidRPr="00676923">
        <w:rPr>
          <w:rtl/>
          <w:lang w:val="fr-FR" w:bidi="ar-EG"/>
        </w:rPr>
        <w:t>-</w:t>
      </w:r>
      <w:r w:rsidRPr="00676923">
        <w:rPr>
          <w:rtl/>
          <w:lang w:val="fr-FR" w:bidi="ar-EG"/>
        </w:rPr>
        <w:tab/>
      </w:r>
      <w:r w:rsidRPr="00E46DC7">
        <w:rPr>
          <w:rFonts w:hint="cs"/>
          <w:rtl/>
          <w:lang w:val="fr-FR"/>
        </w:rPr>
        <w:t>تحظى التوصيات التالية بالقبول:</w:t>
      </w:r>
    </w:p>
    <w:p w14:paraId="31EEBE20" w14:textId="405DD979" w:rsidR="00BE69D6" w:rsidRPr="00E46DC7" w:rsidRDefault="00BE69D6" w:rsidP="00BE69D6">
      <w:pPr>
        <w:pStyle w:val="SingleTxtGA"/>
        <w:rPr>
          <w:rFonts w:ascii="Traditional Arabic" w:hAnsi="Traditional Arabic"/>
          <w:sz w:val="28"/>
          <w:rtl/>
          <w:lang w:val="fr-FR"/>
        </w:rPr>
      </w:pPr>
      <w:r>
        <w:rPr>
          <w:rtl/>
          <w:lang w:val="fr-FR"/>
        </w:rPr>
        <w:tab/>
      </w:r>
      <w:r w:rsidRPr="00E46DC7">
        <w:rPr>
          <w:rFonts w:ascii="Traditional Arabic" w:hAnsi="Traditional Arabic" w:hint="cs"/>
          <w:sz w:val="28"/>
        </w:rPr>
        <w:t>124-1, 124-2, 124-3, 124-11, 124-13, 124-16, 124-17, 124-18, 124-19, 124-22, 124-24</w:t>
      </w:r>
      <w:r w:rsidR="005E5F8E">
        <w:rPr>
          <w:rFonts w:ascii="Traditional Arabic" w:hAnsi="Traditional Arabic"/>
          <w:sz w:val="28"/>
        </w:rPr>
        <w:t>, 124-27</w:t>
      </w:r>
      <w:r w:rsidRPr="00E46DC7">
        <w:rPr>
          <w:rFonts w:ascii="Traditional Arabic" w:hAnsi="Traditional Arabic" w:hint="cs"/>
          <w:sz w:val="28"/>
        </w:rPr>
        <w:t>.</w:t>
      </w:r>
    </w:p>
    <w:p w14:paraId="2F00A984" w14:textId="77777777" w:rsidR="00BE69D6" w:rsidRPr="00676923" w:rsidRDefault="00BE69D6" w:rsidP="00BE69D6">
      <w:pPr>
        <w:pStyle w:val="SingleTxtGA"/>
        <w:rPr>
          <w:rtl/>
          <w:lang w:val="fr-FR"/>
        </w:rPr>
      </w:pPr>
      <w:r>
        <w:rPr>
          <w:rFonts w:hint="cs"/>
          <w:rtl/>
          <w:lang w:val="fr-FR" w:bidi="ar-LY"/>
        </w:rPr>
        <w:t>11</w:t>
      </w:r>
      <w:r w:rsidRPr="00676923">
        <w:rPr>
          <w:rtl/>
          <w:lang w:val="fr-FR" w:bidi="ar-EG"/>
        </w:rPr>
        <w:t>-</w:t>
      </w:r>
      <w:r w:rsidRPr="00676923">
        <w:rPr>
          <w:rtl/>
          <w:lang w:val="fr-FR" w:bidi="ar-EG"/>
        </w:rPr>
        <w:tab/>
      </w:r>
      <w:r w:rsidRPr="00715274">
        <w:rPr>
          <w:rtl/>
          <w:lang w:val="fr-FR" w:bidi="ar-BH"/>
        </w:rPr>
        <w:t xml:space="preserve">تقوم مملكة البحرين بدراسة كافة الاتفاقيات والمواثيق الدولية ومدى انسجامها مع تشريعاتها وسياساتها الوطنية بشكل مستمر بما يضمن حماية واحترام وتعزيز حقوق الإنسان </w:t>
      </w:r>
      <w:r w:rsidRPr="00715274">
        <w:rPr>
          <w:rFonts w:hint="cs"/>
          <w:rtl/>
          <w:lang w:val="fr-FR" w:bidi="ar-BH"/>
        </w:rPr>
        <w:t>على أراضيها</w:t>
      </w:r>
      <w:r w:rsidRPr="00715274">
        <w:rPr>
          <w:rtl/>
          <w:lang w:val="fr-FR" w:bidi="ar-BH"/>
        </w:rPr>
        <w:t xml:space="preserve"> مع حرص مملكة البحرين الدائم على تعزيز تعاونها مع مختلف آليات الأمم المتحدة وتحقيق التزاماتها المتعلقة بالاتفاقيات والمعاهدات التي انضمت إليها.</w:t>
      </w:r>
    </w:p>
    <w:p w14:paraId="47740944" w14:textId="77777777" w:rsidR="00BE69D6" w:rsidRDefault="00BE69D6" w:rsidP="00BE69D6">
      <w:pPr>
        <w:pStyle w:val="SingleTxtGA"/>
        <w:rPr>
          <w:rtl/>
          <w:lang w:val="fr-FR"/>
        </w:rPr>
      </w:pPr>
      <w:r>
        <w:rPr>
          <w:rFonts w:hint="cs"/>
          <w:rtl/>
          <w:lang w:val="fr-FR" w:bidi="ar-LY"/>
        </w:rPr>
        <w:t>12</w:t>
      </w:r>
      <w:r w:rsidRPr="00676923">
        <w:rPr>
          <w:rtl/>
          <w:lang w:val="fr-FR" w:bidi="ar-EG"/>
        </w:rPr>
        <w:t>-</w:t>
      </w:r>
      <w:r w:rsidRPr="00676923">
        <w:rPr>
          <w:rtl/>
          <w:lang w:val="fr-FR" w:bidi="ar-EG"/>
        </w:rPr>
        <w:tab/>
      </w:r>
      <w:r w:rsidRPr="00715274">
        <w:rPr>
          <w:rFonts w:hint="cs"/>
          <w:rtl/>
          <w:lang w:val="fr-FR"/>
        </w:rPr>
        <w:t>أُخذ بالعلم بالتوصيات التالية:</w:t>
      </w:r>
    </w:p>
    <w:p w14:paraId="49944726" w14:textId="77777777" w:rsidR="00BE69D6" w:rsidRPr="00676923" w:rsidRDefault="00BE69D6" w:rsidP="00BE69D6">
      <w:pPr>
        <w:pStyle w:val="SingleTxtGA"/>
        <w:rPr>
          <w:rFonts w:ascii="Traditional Arabic" w:hAnsi="Traditional Arabic"/>
          <w:sz w:val="28"/>
          <w:rtl/>
          <w:lang w:val="fr-FR"/>
        </w:rPr>
      </w:pPr>
      <w:r>
        <w:rPr>
          <w:rtl/>
          <w:lang w:val="fr-FR"/>
        </w:rPr>
        <w:tab/>
      </w:r>
      <w:r w:rsidRPr="00715274">
        <w:rPr>
          <w:rFonts w:ascii="Traditional Arabic" w:hAnsi="Traditional Arabic" w:hint="cs"/>
          <w:sz w:val="28"/>
        </w:rPr>
        <w:t>124-4, 124-10, 124-12, 124-14, 124-15, 124-20, 124-21, 124-25, 124-26.</w:t>
      </w:r>
    </w:p>
    <w:p w14:paraId="587A67A7" w14:textId="77777777" w:rsidR="00BE69D6" w:rsidRPr="00E46DC7" w:rsidRDefault="00BE69D6" w:rsidP="00BE69D6">
      <w:pPr>
        <w:pStyle w:val="HChGA"/>
        <w:rPr>
          <w:rFonts w:eastAsia="MS Mincho"/>
          <w:rtl/>
        </w:rPr>
      </w:pPr>
      <w:bookmarkStart w:id="7" w:name="_Hlk127284295"/>
      <w:r w:rsidRPr="000276DF">
        <w:rPr>
          <w:rFonts w:hint="cs"/>
          <w:rtl/>
          <w:lang w:eastAsia="ar-SA"/>
        </w:rPr>
        <w:tab/>
      </w:r>
      <w:r w:rsidRPr="00711843">
        <w:rPr>
          <w:rFonts w:eastAsia="MS Mincho"/>
          <w:rtl/>
        </w:rPr>
        <w:tab/>
      </w:r>
      <w:r w:rsidRPr="00715274">
        <w:rPr>
          <w:rFonts w:eastAsia="MS Mincho" w:hint="cs"/>
          <w:rtl/>
        </w:rPr>
        <w:t>المسائل المتعلقة بتعديل وتطوير القوانين والتشريعات الوطنية لحماية وتعزيز حقوق الإنسان</w:t>
      </w:r>
    </w:p>
    <w:bookmarkEnd w:id="7"/>
    <w:p w14:paraId="6AE74C41" w14:textId="77777777" w:rsidR="00BE69D6" w:rsidRDefault="00BE69D6" w:rsidP="00BE69D6">
      <w:pPr>
        <w:pStyle w:val="SingleTxtGA"/>
        <w:rPr>
          <w:rtl/>
          <w:lang w:val="fr-FR"/>
        </w:rPr>
      </w:pPr>
      <w:r>
        <w:rPr>
          <w:rFonts w:hint="cs"/>
          <w:rtl/>
          <w:lang w:val="fr-FR" w:bidi="ar-LY"/>
        </w:rPr>
        <w:t>13</w:t>
      </w:r>
      <w:r w:rsidRPr="00676923">
        <w:rPr>
          <w:rtl/>
          <w:lang w:val="fr-FR" w:bidi="ar-EG"/>
        </w:rPr>
        <w:t>-</w:t>
      </w:r>
      <w:r w:rsidRPr="00676923">
        <w:rPr>
          <w:rtl/>
          <w:lang w:val="fr-FR" w:bidi="ar-EG"/>
        </w:rPr>
        <w:tab/>
      </w:r>
      <w:r w:rsidRPr="00715274">
        <w:rPr>
          <w:rFonts w:hint="cs"/>
          <w:rtl/>
          <w:lang w:val="fr-FR"/>
        </w:rPr>
        <w:t>تحظى التوصيات التالية بالقبول:</w:t>
      </w:r>
    </w:p>
    <w:p w14:paraId="46654A9B" w14:textId="0FF4C5D8" w:rsidR="00BE69D6" w:rsidRPr="00676923" w:rsidRDefault="00BE69D6" w:rsidP="00BE69D6">
      <w:pPr>
        <w:pStyle w:val="SingleTxtGA"/>
        <w:rPr>
          <w:rtl/>
          <w:lang w:val="fr-FR"/>
        </w:rPr>
      </w:pPr>
      <w:r>
        <w:rPr>
          <w:rtl/>
          <w:lang w:val="fr-FR"/>
        </w:rPr>
        <w:tab/>
      </w:r>
      <w:r w:rsidRPr="00715274">
        <w:rPr>
          <w:rFonts w:ascii="Traditional Arabic" w:hAnsi="Traditional Arabic" w:hint="cs"/>
          <w:sz w:val="28"/>
        </w:rPr>
        <w:t xml:space="preserve">124-38, 124-40, 124-46, </w:t>
      </w:r>
      <w:r w:rsidR="005E5F8E">
        <w:rPr>
          <w:rFonts w:ascii="Traditional Arabic" w:hAnsi="Traditional Arabic"/>
          <w:sz w:val="28"/>
        </w:rPr>
        <w:t xml:space="preserve">124-64, </w:t>
      </w:r>
      <w:r w:rsidRPr="00715274">
        <w:rPr>
          <w:rFonts w:ascii="Traditional Arabic" w:hAnsi="Traditional Arabic" w:hint="cs"/>
          <w:sz w:val="28"/>
        </w:rPr>
        <w:t>124-65, 124-116, 124-133, 124-135, 124-144</w:t>
      </w:r>
      <w:r w:rsidRPr="00715274">
        <w:t>.</w:t>
      </w:r>
    </w:p>
    <w:p w14:paraId="36EBF2DA" w14:textId="77777777" w:rsidR="00BE69D6" w:rsidRPr="00676923" w:rsidRDefault="00BE69D6" w:rsidP="00BE69D6">
      <w:pPr>
        <w:pStyle w:val="SingleTxtGA"/>
        <w:rPr>
          <w:rtl/>
          <w:lang w:val="fr-FR"/>
        </w:rPr>
      </w:pPr>
      <w:r>
        <w:rPr>
          <w:rFonts w:hint="cs"/>
          <w:rtl/>
          <w:lang w:val="fr-FR" w:bidi="ar-LY"/>
        </w:rPr>
        <w:t>14</w:t>
      </w:r>
      <w:r w:rsidRPr="00676923">
        <w:rPr>
          <w:rtl/>
          <w:lang w:val="fr-FR" w:bidi="ar-EG"/>
        </w:rPr>
        <w:t>-</w:t>
      </w:r>
      <w:r w:rsidRPr="00676923">
        <w:rPr>
          <w:rtl/>
          <w:lang w:val="fr-FR" w:bidi="ar-EG"/>
        </w:rPr>
        <w:tab/>
      </w:r>
      <w:r w:rsidRPr="00715274">
        <w:rPr>
          <w:rFonts w:hint="cs"/>
          <w:rtl/>
          <w:lang w:val="fr-FR"/>
        </w:rPr>
        <w:t>تعمل مملكة البحرين على صون واحترام وتعزيز حقوق الإنسان في كافة تشريعاتها الوطنية والممارسات الفعلية، مؤكدةَ على الاستمرار في تطويرها بما يضمن الخير والرفاه لجميع المواطنين والمقيمين على أراضيها.</w:t>
      </w:r>
    </w:p>
    <w:p w14:paraId="14D0672B" w14:textId="77777777" w:rsidR="00BE69D6" w:rsidRDefault="00BE69D6" w:rsidP="00BE69D6">
      <w:pPr>
        <w:pStyle w:val="SingleTxtGA"/>
        <w:rPr>
          <w:rtl/>
          <w:lang w:val="fr-FR"/>
        </w:rPr>
      </w:pPr>
      <w:r>
        <w:rPr>
          <w:rFonts w:hint="cs"/>
          <w:rtl/>
          <w:lang w:val="fr-FR" w:bidi="ar-LY"/>
        </w:rPr>
        <w:t>15</w:t>
      </w:r>
      <w:r w:rsidRPr="00676923">
        <w:rPr>
          <w:rtl/>
          <w:lang w:val="fr-FR" w:bidi="ar-EG"/>
        </w:rPr>
        <w:t>-</w:t>
      </w:r>
      <w:r w:rsidRPr="00676923">
        <w:rPr>
          <w:rtl/>
          <w:lang w:val="fr-FR" w:bidi="ar-EG"/>
        </w:rPr>
        <w:tab/>
      </w:r>
      <w:r w:rsidRPr="0002276A">
        <w:rPr>
          <w:rFonts w:hint="cs"/>
          <w:rtl/>
          <w:lang w:val="fr-FR"/>
        </w:rPr>
        <w:t>أُخذ بالعلم بالتوصيات التالية:</w:t>
      </w:r>
    </w:p>
    <w:p w14:paraId="1A12AB86" w14:textId="3C569828" w:rsidR="00BE69D6" w:rsidRPr="00676923" w:rsidRDefault="00BE69D6" w:rsidP="00BE69D6">
      <w:pPr>
        <w:pStyle w:val="SingleTxtGA"/>
        <w:rPr>
          <w:rtl/>
          <w:lang w:val="fr-FR"/>
        </w:rPr>
      </w:pPr>
      <w:r>
        <w:rPr>
          <w:rtl/>
          <w:lang w:val="fr-FR"/>
        </w:rPr>
        <w:tab/>
      </w:r>
      <w:r w:rsidRPr="0002276A">
        <w:rPr>
          <w:rFonts w:ascii="Traditional Arabic" w:hAnsi="Traditional Arabic" w:hint="cs"/>
          <w:sz w:val="28"/>
        </w:rPr>
        <w:t xml:space="preserve"> 124-66, 124-69, 124-99, 124-143, 124-151</w:t>
      </w:r>
      <w:r w:rsidRPr="0002276A">
        <w:t>.</w:t>
      </w:r>
    </w:p>
    <w:p w14:paraId="594AF16B" w14:textId="77777777" w:rsidR="00BE69D6" w:rsidRPr="00E46DC7" w:rsidRDefault="00BE69D6" w:rsidP="00BE69D6">
      <w:pPr>
        <w:pStyle w:val="HChGA"/>
        <w:rPr>
          <w:rFonts w:eastAsia="MS Mincho"/>
          <w:rtl/>
        </w:rPr>
      </w:pPr>
      <w:bookmarkStart w:id="8" w:name="_Hlk127284461"/>
      <w:r w:rsidRPr="000276DF">
        <w:rPr>
          <w:rFonts w:hint="cs"/>
          <w:rtl/>
          <w:lang w:eastAsia="ar-SA"/>
        </w:rPr>
        <w:tab/>
      </w:r>
      <w:r w:rsidRPr="00711843">
        <w:rPr>
          <w:rFonts w:eastAsia="MS Mincho"/>
          <w:rtl/>
        </w:rPr>
        <w:tab/>
      </w:r>
      <w:r w:rsidRPr="0002276A">
        <w:rPr>
          <w:rFonts w:eastAsia="MS Mincho" w:hint="cs"/>
          <w:rtl/>
        </w:rPr>
        <w:t>المسائل المتعلقة بالتعاون مع الأمم المتحدة والإجراءات الخاصة وحاملي الولايات ودعوة المقررين الخواص</w:t>
      </w:r>
    </w:p>
    <w:bookmarkEnd w:id="8"/>
    <w:p w14:paraId="2B1C897D" w14:textId="77777777" w:rsidR="00BE69D6" w:rsidRDefault="00BE69D6" w:rsidP="00BE69D6">
      <w:pPr>
        <w:pStyle w:val="SingleTxtGA"/>
        <w:rPr>
          <w:rtl/>
          <w:lang w:val="fr-FR" w:bidi="ar-EG"/>
        </w:rPr>
      </w:pPr>
      <w:r>
        <w:rPr>
          <w:rFonts w:hint="cs"/>
          <w:rtl/>
          <w:lang w:val="fr-FR" w:bidi="ar-EG"/>
        </w:rPr>
        <w:t>16</w:t>
      </w:r>
      <w:r w:rsidRPr="00676923">
        <w:rPr>
          <w:rtl/>
          <w:lang w:val="fr-FR" w:bidi="ar-EG"/>
        </w:rPr>
        <w:t>-</w:t>
      </w:r>
      <w:r w:rsidRPr="00676923">
        <w:rPr>
          <w:rtl/>
          <w:lang w:val="fr-FR" w:bidi="ar-EG"/>
        </w:rPr>
        <w:tab/>
      </w:r>
      <w:r w:rsidRPr="0002276A">
        <w:rPr>
          <w:rFonts w:hint="cs"/>
          <w:rtl/>
          <w:lang w:val="fr-FR"/>
        </w:rPr>
        <w:t>تحظى التوصيات التالية بالقبول:</w:t>
      </w:r>
    </w:p>
    <w:p w14:paraId="00D33E4E" w14:textId="77777777" w:rsidR="00BE69D6" w:rsidRPr="00676923" w:rsidRDefault="00BE69D6" w:rsidP="00BE69D6">
      <w:pPr>
        <w:pStyle w:val="SingleTxtGA"/>
        <w:rPr>
          <w:rtl/>
          <w:lang w:val="fr-FR"/>
        </w:rPr>
      </w:pPr>
      <w:r>
        <w:rPr>
          <w:rtl/>
          <w:lang w:val="fr-FR"/>
        </w:rPr>
        <w:tab/>
      </w:r>
      <w:r w:rsidRPr="0002276A">
        <w:rPr>
          <w:rFonts w:ascii="Traditional Arabic" w:hAnsi="Traditional Arabic" w:hint="cs"/>
          <w:sz w:val="28"/>
        </w:rPr>
        <w:t>124-30, 124-34</w:t>
      </w:r>
      <w:r w:rsidRPr="0002276A">
        <w:t>.</w:t>
      </w:r>
    </w:p>
    <w:p w14:paraId="4309EB29" w14:textId="77777777" w:rsidR="00BE69D6" w:rsidRPr="00676923" w:rsidRDefault="00BE69D6" w:rsidP="00BE69D6">
      <w:pPr>
        <w:pStyle w:val="SingleTxtGA"/>
        <w:rPr>
          <w:rtl/>
          <w:lang w:val="fr-FR"/>
        </w:rPr>
      </w:pPr>
      <w:r>
        <w:rPr>
          <w:rFonts w:hint="cs"/>
          <w:rtl/>
          <w:lang w:val="fr-FR" w:bidi="ar-LY"/>
        </w:rPr>
        <w:lastRenderedPageBreak/>
        <w:t>17</w:t>
      </w:r>
      <w:r w:rsidRPr="00676923">
        <w:rPr>
          <w:rtl/>
          <w:lang w:val="fr-FR" w:bidi="ar-EG"/>
        </w:rPr>
        <w:t>-</w:t>
      </w:r>
      <w:r w:rsidRPr="00676923">
        <w:rPr>
          <w:rtl/>
          <w:lang w:val="fr-FR" w:bidi="ar-EG"/>
        </w:rPr>
        <w:tab/>
      </w:r>
      <w:r w:rsidRPr="0002276A">
        <w:rPr>
          <w:rFonts w:hint="cs"/>
          <w:rtl/>
          <w:lang w:val="fr-FR"/>
        </w:rPr>
        <w:t xml:space="preserve">تحرص مملكة البحرين على </w:t>
      </w:r>
      <w:r w:rsidRPr="0002276A">
        <w:rPr>
          <w:rtl/>
          <w:lang w:val="fr-FR"/>
        </w:rPr>
        <w:t xml:space="preserve">التعاون والحوار مع أجهزة الأمم المتحدة وذلك بروح من الشفافية والانفتاح </w:t>
      </w:r>
      <w:r w:rsidRPr="0002276A">
        <w:rPr>
          <w:rFonts w:hint="cs"/>
          <w:rtl/>
          <w:lang w:val="fr-FR"/>
        </w:rPr>
        <w:t>لتعزيز وحماية واحترام حقوق الإنسان. وت</w:t>
      </w:r>
      <w:r w:rsidRPr="0002276A">
        <w:rPr>
          <w:rtl/>
          <w:lang w:val="fr-FR"/>
        </w:rPr>
        <w:t xml:space="preserve">ستمر </w:t>
      </w:r>
      <w:r w:rsidRPr="0002276A">
        <w:rPr>
          <w:rFonts w:hint="cs"/>
          <w:rtl/>
          <w:lang w:val="fr-FR"/>
        </w:rPr>
        <w:t xml:space="preserve">جهود مملكة </w:t>
      </w:r>
      <w:r w:rsidRPr="0002276A">
        <w:rPr>
          <w:rtl/>
          <w:lang w:val="fr-FR"/>
        </w:rPr>
        <w:t xml:space="preserve">البحرين في التعاون مع المفوضية السامية </w:t>
      </w:r>
      <w:r w:rsidRPr="0002276A">
        <w:rPr>
          <w:rFonts w:hint="cs"/>
          <w:rtl/>
          <w:lang w:val="fr-FR"/>
        </w:rPr>
        <w:t>والتفاعل مع كافة</w:t>
      </w:r>
      <w:r w:rsidRPr="0002276A">
        <w:rPr>
          <w:rtl/>
          <w:lang w:val="fr-FR"/>
        </w:rPr>
        <w:t xml:space="preserve"> النداءات العاجلة وتساؤلات الاجراءات الخاصة وتقوم بتقديم التقارير الدورية ا</w:t>
      </w:r>
      <w:r w:rsidRPr="0002276A">
        <w:rPr>
          <w:rFonts w:hint="cs"/>
          <w:rtl/>
          <w:lang w:val="fr-FR"/>
        </w:rPr>
        <w:t>لخاصة باللجان والمعاهدات في مواعيدها.</w:t>
      </w:r>
    </w:p>
    <w:p w14:paraId="6E8F5FE8" w14:textId="77777777" w:rsidR="00BE69D6" w:rsidRDefault="00BE69D6" w:rsidP="00BE69D6">
      <w:pPr>
        <w:pStyle w:val="SingleTxtGA"/>
        <w:rPr>
          <w:rtl/>
          <w:lang w:val="fr-FR"/>
        </w:rPr>
      </w:pPr>
      <w:r>
        <w:rPr>
          <w:rFonts w:hint="cs"/>
          <w:rtl/>
          <w:lang w:val="fr-FR" w:bidi="ar-LY"/>
        </w:rPr>
        <w:t>18</w:t>
      </w:r>
      <w:r w:rsidRPr="00676923">
        <w:rPr>
          <w:rtl/>
          <w:lang w:val="fr-FR" w:bidi="ar-EG"/>
        </w:rPr>
        <w:t>-</w:t>
      </w:r>
      <w:r w:rsidRPr="00676923">
        <w:rPr>
          <w:rtl/>
          <w:lang w:val="fr-FR" w:bidi="ar-EG"/>
        </w:rPr>
        <w:tab/>
      </w:r>
      <w:r w:rsidRPr="0002276A">
        <w:rPr>
          <w:rFonts w:hint="cs"/>
          <w:rtl/>
          <w:lang w:val="fr-FR"/>
        </w:rPr>
        <w:t>أُخذ بالعلم بالتوصيات التالية:</w:t>
      </w:r>
    </w:p>
    <w:p w14:paraId="0D5F2EB0" w14:textId="77777777" w:rsidR="00BE69D6" w:rsidRPr="00676923" w:rsidRDefault="00BE69D6" w:rsidP="00BE69D6">
      <w:pPr>
        <w:pStyle w:val="SingleTxtGA"/>
        <w:rPr>
          <w:rFonts w:ascii="Traditional Arabic" w:hAnsi="Traditional Arabic"/>
          <w:sz w:val="28"/>
          <w:rtl/>
          <w:lang w:val="fr-FR"/>
        </w:rPr>
      </w:pPr>
      <w:r>
        <w:rPr>
          <w:rtl/>
          <w:lang w:val="fr-FR"/>
        </w:rPr>
        <w:tab/>
      </w:r>
      <w:r w:rsidRPr="0002276A">
        <w:rPr>
          <w:rFonts w:ascii="Traditional Arabic" w:hAnsi="Traditional Arabic" w:hint="cs"/>
          <w:sz w:val="28"/>
        </w:rPr>
        <w:t>124-28, 124-29, 124-31, 124-32, 124-33, 124-35.</w:t>
      </w:r>
    </w:p>
    <w:p w14:paraId="178EBC87" w14:textId="77777777" w:rsidR="00BE69D6" w:rsidRPr="00E46DC7" w:rsidRDefault="00BE69D6" w:rsidP="00BE69D6">
      <w:pPr>
        <w:pStyle w:val="HChGA"/>
        <w:rPr>
          <w:rFonts w:eastAsia="MS Mincho"/>
          <w:rtl/>
        </w:rPr>
      </w:pPr>
      <w:r w:rsidRPr="000276DF">
        <w:rPr>
          <w:rFonts w:hint="cs"/>
          <w:rtl/>
          <w:lang w:eastAsia="ar-SA"/>
        </w:rPr>
        <w:tab/>
      </w:r>
      <w:r w:rsidRPr="00711843">
        <w:rPr>
          <w:rFonts w:eastAsia="MS Mincho"/>
          <w:rtl/>
        </w:rPr>
        <w:tab/>
      </w:r>
      <w:r w:rsidRPr="000C4A05">
        <w:rPr>
          <w:rFonts w:eastAsia="MS Mincho" w:hint="cs"/>
          <w:rtl/>
        </w:rPr>
        <w:t>المسائل المتعلقة بضمان التنفيذ الفعال للخطة الوطنية لحقوق الإنسان</w:t>
      </w:r>
    </w:p>
    <w:p w14:paraId="59E34F6C" w14:textId="77777777" w:rsidR="00BE69D6" w:rsidRDefault="00BE69D6" w:rsidP="00BE69D6">
      <w:pPr>
        <w:pStyle w:val="SingleTxtGA"/>
        <w:rPr>
          <w:rtl/>
          <w:lang w:val="fr-FR"/>
        </w:rPr>
      </w:pPr>
      <w:r>
        <w:rPr>
          <w:rFonts w:hint="cs"/>
          <w:rtl/>
          <w:lang w:val="fr-FR" w:bidi="ar-LY"/>
        </w:rPr>
        <w:t>19</w:t>
      </w:r>
      <w:r w:rsidRPr="00676923">
        <w:rPr>
          <w:rtl/>
          <w:lang w:val="fr-FR" w:bidi="ar-EG"/>
        </w:rPr>
        <w:t>-</w:t>
      </w:r>
      <w:r w:rsidRPr="00676923">
        <w:rPr>
          <w:rtl/>
          <w:lang w:val="fr-FR" w:bidi="ar-EG"/>
        </w:rPr>
        <w:tab/>
      </w:r>
      <w:r w:rsidRPr="000C4A05">
        <w:rPr>
          <w:rFonts w:hint="cs"/>
          <w:rtl/>
          <w:lang w:val="fr-FR"/>
        </w:rPr>
        <w:t>تحظى التوصيات التالية بالقبول:</w:t>
      </w:r>
    </w:p>
    <w:p w14:paraId="006ACDE9" w14:textId="77777777" w:rsidR="00BE69D6" w:rsidRPr="00676923" w:rsidRDefault="00BE69D6" w:rsidP="00BE69D6">
      <w:pPr>
        <w:pStyle w:val="SingleTxtGA"/>
        <w:rPr>
          <w:rtl/>
          <w:lang w:val="fr-FR"/>
        </w:rPr>
      </w:pPr>
      <w:r>
        <w:rPr>
          <w:rtl/>
          <w:lang w:val="fr-FR"/>
        </w:rPr>
        <w:tab/>
      </w:r>
      <w:r w:rsidRPr="000C4A05">
        <w:rPr>
          <w:rFonts w:ascii="Traditional Arabic" w:hAnsi="Traditional Arabic" w:hint="cs"/>
          <w:sz w:val="28"/>
        </w:rPr>
        <w:t>124-36, 124-47, 124-48, 124-49, 124-50, 124-51, 124-52, 124-53, 124-54, 124-55</w:t>
      </w:r>
      <w:r w:rsidRPr="000C4A05">
        <w:t>.</w:t>
      </w:r>
    </w:p>
    <w:p w14:paraId="1C6A17CC" w14:textId="77777777" w:rsidR="00BE69D6" w:rsidRPr="00676923" w:rsidRDefault="00BE69D6" w:rsidP="00BE69D6">
      <w:pPr>
        <w:pStyle w:val="SingleTxtGA"/>
        <w:rPr>
          <w:rtl/>
          <w:lang w:val="fr-FR"/>
        </w:rPr>
      </w:pPr>
      <w:r>
        <w:rPr>
          <w:rFonts w:hint="cs"/>
          <w:rtl/>
          <w:lang w:val="fr-FR" w:bidi="ar-LY"/>
        </w:rPr>
        <w:t>20</w:t>
      </w:r>
      <w:r w:rsidRPr="00676923">
        <w:rPr>
          <w:rtl/>
          <w:lang w:val="fr-FR" w:bidi="ar-EG"/>
        </w:rPr>
        <w:t>-</w:t>
      </w:r>
      <w:r w:rsidRPr="00676923">
        <w:rPr>
          <w:rtl/>
          <w:lang w:val="fr-FR" w:bidi="ar-EG"/>
        </w:rPr>
        <w:tab/>
      </w:r>
      <w:r w:rsidRPr="000C4A05">
        <w:rPr>
          <w:rFonts w:hint="cs"/>
          <w:rtl/>
          <w:lang w:val="fr-FR"/>
        </w:rPr>
        <w:t>تؤكد مملكة البحرين على التزامها في ضمان التنفيذ الفاعل للخطة الوطنية لحقوق الإنسان للأعوام ٢٠٢٢-٢٠٢٦ والعمل على تنفيذ كافة برامجها، حيث حرصت المملكة على وضع برنامج تنفيذي لضمان تحقيق كافة أهداف ومشاريع الخطة مع إيضاح المشاريع وتحديد جهات الاختصاص المعنية بالتنفيذ والجهات المساندة وفق فترات زمنية للتنفيذ الشامل للخطة، بالإضافة إلى وضع مؤشرات تقيس مدى النجاح في تحقيق تلك المشاريع، ورفع تقارير سنوية توضح مستوى الإنجاز.</w:t>
      </w:r>
    </w:p>
    <w:p w14:paraId="2D1FB0C6" w14:textId="77777777" w:rsidR="00BE69D6" w:rsidRPr="00711843" w:rsidRDefault="00BE69D6" w:rsidP="00BE69D6">
      <w:pPr>
        <w:pStyle w:val="HChGA"/>
        <w:rPr>
          <w:rFonts w:eastAsia="MS Mincho"/>
          <w:rtl/>
        </w:rPr>
      </w:pPr>
      <w:r w:rsidRPr="000276DF">
        <w:rPr>
          <w:rFonts w:hint="cs"/>
          <w:rtl/>
          <w:lang w:eastAsia="ar-SA"/>
        </w:rPr>
        <w:tab/>
      </w:r>
      <w:r w:rsidRPr="00711843">
        <w:rPr>
          <w:rFonts w:eastAsia="MS Mincho"/>
          <w:rtl/>
        </w:rPr>
        <w:tab/>
      </w:r>
      <w:r w:rsidRPr="000C4A05">
        <w:rPr>
          <w:rFonts w:eastAsia="MS Mincho" w:hint="cs"/>
          <w:rtl/>
        </w:rPr>
        <w:t>المسائل المتعلقة بمواصلة حماية وتعزيز حقوق الإنسان والضمان الاجتماعي وتحقيق الرفاهية</w:t>
      </w:r>
    </w:p>
    <w:p w14:paraId="33CD5BBB" w14:textId="77777777" w:rsidR="00BE69D6" w:rsidRDefault="00BE69D6" w:rsidP="00BE69D6">
      <w:pPr>
        <w:pStyle w:val="SingleTxtGA"/>
        <w:rPr>
          <w:rtl/>
          <w:lang w:val="fr-FR"/>
        </w:rPr>
      </w:pPr>
      <w:r>
        <w:rPr>
          <w:rFonts w:hint="cs"/>
          <w:rtl/>
          <w:lang w:val="fr-FR" w:bidi="ar-LY"/>
        </w:rPr>
        <w:t>21</w:t>
      </w:r>
      <w:r w:rsidRPr="00676923">
        <w:rPr>
          <w:rtl/>
          <w:lang w:val="fr-FR" w:bidi="ar-EG"/>
        </w:rPr>
        <w:t>-</w:t>
      </w:r>
      <w:r w:rsidRPr="00676923">
        <w:rPr>
          <w:rtl/>
          <w:lang w:val="fr-FR" w:bidi="ar-EG"/>
        </w:rPr>
        <w:tab/>
      </w:r>
      <w:r w:rsidRPr="000C4A05">
        <w:rPr>
          <w:rFonts w:hint="cs"/>
          <w:rtl/>
          <w:lang w:val="fr-FR"/>
        </w:rPr>
        <w:t>تحظى التوصيات التالية بالقبول:</w:t>
      </w:r>
    </w:p>
    <w:p w14:paraId="6844F52D" w14:textId="77777777" w:rsidR="00BE69D6" w:rsidRPr="00676923" w:rsidRDefault="00BE69D6" w:rsidP="00BE69D6">
      <w:pPr>
        <w:pStyle w:val="SingleTxtGA"/>
        <w:rPr>
          <w:rFonts w:ascii="Traditional Arabic" w:hAnsi="Traditional Arabic"/>
          <w:sz w:val="28"/>
          <w:rtl/>
          <w:lang w:val="fr-FR"/>
        </w:rPr>
      </w:pPr>
      <w:r>
        <w:rPr>
          <w:rtl/>
          <w:lang w:val="fr-FR"/>
        </w:rPr>
        <w:tab/>
      </w:r>
      <w:r w:rsidRPr="000C4A05">
        <w:rPr>
          <w:rFonts w:ascii="Traditional Arabic" w:hAnsi="Traditional Arabic" w:hint="cs"/>
          <w:sz w:val="28"/>
        </w:rPr>
        <w:t>124-37, 124-109, 124-136, 124-146, 124-147, 124-148, 124-149, 124-153, 124-161.</w:t>
      </w:r>
    </w:p>
    <w:p w14:paraId="387EB88C" w14:textId="77777777" w:rsidR="00BE69D6" w:rsidRDefault="00BE69D6" w:rsidP="00BE69D6">
      <w:pPr>
        <w:pStyle w:val="SingleTxtGA"/>
        <w:rPr>
          <w:rtl/>
          <w:lang w:val="fr-FR"/>
        </w:rPr>
      </w:pPr>
      <w:r>
        <w:rPr>
          <w:rFonts w:hint="cs"/>
          <w:rtl/>
          <w:lang w:val="fr-FR" w:bidi="ar-LY"/>
        </w:rPr>
        <w:t>22</w:t>
      </w:r>
      <w:r w:rsidRPr="00676923">
        <w:rPr>
          <w:rtl/>
          <w:lang w:val="fr-FR" w:bidi="ar-EG"/>
        </w:rPr>
        <w:t>-</w:t>
      </w:r>
      <w:r w:rsidRPr="00676923">
        <w:rPr>
          <w:rtl/>
          <w:lang w:val="fr-FR" w:bidi="ar-EG"/>
        </w:rPr>
        <w:tab/>
      </w:r>
      <w:r w:rsidRPr="000C4A05">
        <w:rPr>
          <w:rtl/>
          <w:lang w:val="fr-FR"/>
        </w:rPr>
        <w:t>جاء إطلاق الرؤية الاقتصادية 2030 نتيجة مباحثات مكثفة استمرت لمدة أربع سنوات، بين مجموعة واسعة من المعنيين من أصحاب القرار والمسئولين في القطاعين العام والخاص، وبمشاركة مؤسسات حكومية، ومؤسسات المجتمع المدني، وبيوت خبرة دولية، وذلك لوضع الأطر التي بنيت عليها الرؤية.</w:t>
      </w:r>
    </w:p>
    <w:p w14:paraId="707A91F2" w14:textId="77777777" w:rsidR="00BE69D6" w:rsidRPr="00711843" w:rsidRDefault="00BE69D6" w:rsidP="00BE69D6">
      <w:pPr>
        <w:pStyle w:val="HChGA"/>
        <w:rPr>
          <w:rFonts w:eastAsia="MS Mincho"/>
          <w:rtl/>
        </w:rPr>
      </w:pPr>
      <w:r w:rsidRPr="000276DF">
        <w:rPr>
          <w:rFonts w:hint="cs"/>
          <w:rtl/>
          <w:lang w:eastAsia="ar-SA"/>
        </w:rPr>
        <w:tab/>
      </w:r>
      <w:r w:rsidRPr="00711843">
        <w:rPr>
          <w:rFonts w:eastAsia="MS Mincho"/>
          <w:rtl/>
        </w:rPr>
        <w:tab/>
      </w:r>
      <w:r w:rsidRPr="000C4A05">
        <w:rPr>
          <w:rFonts w:eastAsia="MS Mincho" w:hint="cs"/>
          <w:rtl/>
        </w:rPr>
        <w:t>المسائل المتعلقة بإذكاء الوعي وبناء القدرات في مجال حماية وتعزيز حقوق الإنسان</w:t>
      </w:r>
    </w:p>
    <w:p w14:paraId="293DEEDF" w14:textId="77777777" w:rsidR="00BE69D6" w:rsidRDefault="00BE69D6" w:rsidP="00BE69D6">
      <w:pPr>
        <w:pStyle w:val="SingleTxtGA"/>
        <w:rPr>
          <w:rtl/>
          <w:lang w:val="fr-FR"/>
        </w:rPr>
      </w:pPr>
      <w:r>
        <w:rPr>
          <w:rFonts w:hint="cs"/>
          <w:rtl/>
          <w:lang w:val="fr-FR" w:bidi="ar-LY"/>
        </w:rPr>
        <w:t>23</w:t>
      </w:r>
      <w:r w:rsidRPr="00676923">
        <w:rPr>
          <w:rtl/>
          <w:lang w:val="fr-FR" w:bidi="ar-EG"/>
        </w:rPr>
        <w:t>-</w:t>
      </w:r>
      <w:r w:rsidRPr="00676923">
        <w:rPr>
          <w:rtl/>
          <w:lang w:val="fr-FR" w:bidi="ar-EG"/>
        </w:rPr>
        <w:tab/>
      </w:r>
      <w:r w:rsidRPr="000C4A05">
        <w:rPr>
          <w:rFonts w:hint="cs"/>
          <w:rtl/>
          <w:lang w:val="fr-FR"/>
        </w:rPr>
        <w:t>تحظى التوصيات التالية بالقبول:</w:t>
      </w:r>
    </w:p>
    <w:p w14:paraId="4801A186" w14:textId="77777777" w:rsidR="00BE69D6" w:rsidRPr="00676923" w:rsidRDefault="00BE69D6" w:rsidP="00BE69D6">
      <w:pPr>
        <w:pStyle w:val="SingleTxtGA"/>
        <w:rPr>
          <w:rFonts w:ascii="Traditional Arabic" w:hAnsi="Traditional Arabic"/>
          <w:sz w:val="28"/>
          <w:rtl/>
          <w:lang w:val="fr-FR"/>
        </w:rPr>
      </w:pPr>
      <w:r>
        <w:rPr>
          <w:rtl/>
          <w:lang w:val="fr-FR"/>
        </w:rPr>
        <w:tab/>
      </w:r>
      <w:r w:rsidRPr="000C4A05">
        <w:rPr>
          <w:rFonts w:ascii="Traditional Arabic" w:hAnsi="Traditional Arabic" w:hint="cs"/>
          <w:sz w:val="28"/>
        </w:rPr>
        <w:t>124-43, 124-44, 124-45, 124-160, 124-213.</w:t>
      </w:r>
    </w:p>
    <w:p w14:paraId="019E7A95" w14:textId="77777777" w:rsidR="00BE69D6" w:rsidRDefault="00BE69D6" w:rsidP="00BE69D6">
      <w:pPr>
        <w:pStyle w:val="SingleTxtGA"/>
        <w:rPr>
          <w:rtl/>
          <w:lang w:val="fr-FR"/>
        </w:rPr>
      </w:pPr>
      <w:r>
        <w:rPr>
          <w:rFonts w:hint="cs"/>
          <w:rtl/>
          <w:lang w:val="fr-FR" w:bidi="ar-LY"/>
        </w:rPr>
        <w:t>24</w:t>
      </w:r>
      <w:r w:rsidRPr="00676923">
        <w:rPr>
          <w:rtl/>
          <w:lang w:val="fr-FR" w:bidi="ar-EG"/>
        </w:rPr>
        <w:t>-</w:t>
      </w:r>
      <w:r w:rsidRPr="00676923">
        <w:rPr>
          <w:rtl/>
          <w:lang w:val="fr-FR" w:bidi="ar-EG"/>
        </w:rPr>
        <w:tab/>
      </w:r>
      <w:r w:rsidRPr="000C4A05">
        <w:rPr>
          <w:rtl/>
          <w:lang w:val="fr-FR"/>
        </w:rPr>
        <w:t>يحظى موضوع التدريب ونشر الوعي بحقوق الإنسام بأهميةٍ بالِغةٍ</w:t>
      </w:r>
      <w:r w:rsidRPr="000C4A05">
        <w:rPr>
          <w:rFonts w:hint="cs"/>
          <w:rtl/>
          <w:lang w:val="fr-FR"/>
        </w:rPr>
        <w:t xml:space="preserve"> في مملكة البحرين،</w:t>
      </w:r>
      <w:r w:rsidRPr="000C4A05">
        <w:rPr>
          <w:rtl/>
          <w:lang w:val="fr-FR"/>
        </w:rPr>
        <w:t xml:space="preserve"> ولذلك تضع كافة الجهات المعنية في السلطات التشريعية والتنفيذية والقضائية برامج تدريبية متخصصة في حقوق الإنسان لمنتسبيها بالإضافة </w:t>
      </w:r>
      <w:r w:rsidRPr="000C4A05">
        <w:rPr>
          <w:rFonts w:hint="cs"/>
          <w:rtl/>
          <w:lang w:val="fr-FR"/>
        </w:rPr>
        <w:t>إلى نشر الوعي عبر</w:t>
      </w:r>
      <w:r w:rsidRPr="000C4A05">
        <w:rPr>
          <w:rtl/>
          <w:lang w:val="fr-FR"/>
        </w:rPr>
        <w:t xml:space="preserve"> الحملات الإعلامية والتوعوية التي تنفذها مختلف وسائل الإعلام</w:t>
      </w:r>
      <w:r w:rsidRPr="000C4A05">
        <w:rPr>
          <w:rFonts w:hint="cs"/>
          <w:rtl/>
          <w:lang w:val="fr-FR"/>
        </w:rPr>
        <w:t xml:space="preserve"> بشكل مستمر</w:t>
      </w:r>
      <w:r w:rsidRPr="000C4A05">
        <w:rPr>
          <w:rtl/>
          <w:lang w:val="fr-FR"/>
        </w:rPr>
        <w:t xml:space="preserve"> للتعريف بحقوق الإنسان </w:t>
      </w:r>
      <w:r w:rsidRPr="000C4A05">
        <w:rPr>
          <w:rFonts w:hint="cs"/>
          <w:rtl/>
          <w:lang w:val="fr-FR"/>
        </w:rPr>
        <w:t>وأهميتها.</w:t>
      </w:r>
    </w:p>
    <w:p w14:paraId="37D164FF" w14:textId="77777777" w:rsidR="00BE69D6" w:rsidRPr="00711843" w:rsidRDefault="00BE69D6" w:rsidP="00BE69D6">
      <w:pPr>
        <w:pStyle w:val="HChGA"/>
        <w:rPr>
          <w:rFonts w:eastAsia="MS Mincho"/>
          <w:rtl/>
        </w:rPr>
      </w:pPr>
      <w:r w:rsidRPr="000276DF">
        <w:rPr>
          <w:rFonts w:hint="cs"/>
          <w:rtl/>
          <w:lang w:eastAsia="ar-SA"/>
        </w:rPr>
        <w:tab/>
      </w:r>
      <w:r w:rsidRPr="00711843">
        <w:rPr>
          <w:rFonts w:eastAsia="MS Mincho"/>
          <w:rtl/>
        </w:rPr>
        <w:tab/>
      </w:r>
      <w:r w:rsidRPr="000C4A05">
        <w:rPr>
          <w:rFonts w:eastAsia="MS Mincho" w:hint="cs"/>
          <w:rtl/>
        </w:rPr>
        <w:t>المسائل المتعلقة بتقوية سبل الانتصاف وضمان استقلاليتها</w:t>
      </w:r>
    </w:p>
    <w:p w14:paraId="771C4D52" w14:textId="77777777" w:rsidR="00BE69D6" w:rsidRDefault="00BE69D6" w:rsidP="00BE69D6">
      <w:pPr>
        <w:pStyle w:val="SingleTxtGA"/>
        <w:rPr>
          <w:rtl/>
          <w:lang w:val="fr-FR"/>
        </w:rPr>
      </w:pPr>
      <w:r>
        <w:rPr>
          <w:rFonts w:hint="cs"/>
          <w:rtl/>
          <w:lang w:val="fr-FR" w:bidi="ar-LY"/>
        </w:rPr>
        <w:t>25</w:t>
      </w:r>
      <w:r w:rsidRPr="00676923">
        <w:rPr>
          <w:rtl/>
          <w:lang w:val="fr-FR" w:bidi="ar-EG"/>
        </w:rPr>
        <w:t>-</w:t>
      </w:r>
      <w:r w:rsidRPr="00676923">
        <w:rPr>
          <w:rtl/>
          <w:lang w:val="fr-FR" w:bidi="ar-EG"/>
        </w:rPr>
        <w:tab/>
      </w:r>
      <w:r w:rsidRPr="000C4A05">
        <w:rPr>
          <w:rFonts w:hint="cs"/>
          <w:rtl/>
          <w:lang w:val="fr-FR"/>
        </w:rPr>
        <w:t>تحظى التوصيات التالية بالقبول:</w:t>
      </w:r>
    </w:p>
    <w:p w14:paraId="13CF416C" w14:textId="77777777" w:rsidR="00BE69D6" w:rsidRPr="00676923" w:rsidRDefault="00BE69D6" w:rsidP="00BE69D6">
      <w:pPr>
        <w:pStyle w:val="SingleTxtGA"/>
        <w:rPr>
          <w:rFonts w:ascii="Traditional Arabic" w:hAnsi="Traditional Arabic"/>
          <w:sz w:val="28"/>
          <w:rtl/>
          <w:lang w:val="fr-FR"/>
        </w:rPr>
      </w:pPr>
      <w:r>
        <w:rPr>
          <w:rtl/>
          <w:lang w:val="fr-FR"/>
        </w:rPr>
        <w:tab/>
      </w:r>
      <w:r w:rsidRPr="000C4A05">
        <w:rPr>
          <w:rFonts w:ascii="Traditional Arabic" w:hAnsi="Traditional Arabic" w:hint="cs"/>
          <w:sz w:val="28"/>
        </w:rPr>
        <w:t>124-56, 124-57, 124-58, 124-59, 124-60, 124-61, 124-62, 124-63, 124-91, 124-92, 124-104, 124-105, 124-106, 124-107.</w:t>
      </w:r>
    </w:p>
    <w:p w14:paraId="110D7ED0" w14:textId="77777777" w:rsidR="00BE69D6" w:rsidRDefault="00BE69D6" w:rsidP="00BE69D6">
      <w:pPr>
        <w:pStyle w:val="SingleTxtGA"/>
        <w:rPr>
          <w:rtl/>
          <w:lang w:val="fr-FR" w:bidi="ar-BH"/>
        </w:rPr>
      </w:pPr>
      <w:r>
        <w:rPr>
          <w:rFonts w:hint="cs"/>
          <w:rtl/>
          <w:lang w:val="fr-FR" w:bidi="ar-LY"/>
        </w:rPr>
        <w:t>26</w:t>
      </w:r>
      <w:r w:rsidRPr="00676923">
        <w:rPr>
          <w:rtl/>
          <w:lang w:val="fr-FR" w:bidi="ar-EG"/>
        </w:rPr>
        <w:t>-</w:t>
      </w:r>
      <w:r w:rsidRPr="00676923">
        <w:rPr>
          <w:rtl/>
          <w:lang w:val="fr-FR" w:bidi="ar-EG"/>
        </w:rPr>
        <w:tab/>
      </w:r>
      <w:r w:rsidRPr="000C4A05">
        <w:rPr>
          <w:rtl/>
          <w:lang w:val="fr-FR"/>
        </w:rPr>
        <w:t xml:space="preserve">انطلاقاً من النهج الوطني الهادف إلى تعزيز إنشاء آليات مستقلة في مجال حماية واحترام وتعزيز حقوق الإنسان. فقد تم إنشاء عدد من الآليات والأجهزة ومن ضمنها المؤسسة الوطنية لحقوق الإنسان والأمانة العامة للتظلمات ووحدة التحقيق الخاصة </w:t>
      </w:r>
      <w:r w:rsidRPr="000C4A05">
        <w:rPr>
          <w:rFonts w:hint="cs"/>
          <w:rtl/>
          <w:lang w:val="fr-FR"/>
        </w:rPr>
        <w:t xml:space="preserve">وقد تمكنت هذه الآليات عبر العمل بشكل مستقل وفعال من تحقيق اهداف انشائها وتعمل بشكل مستمر على تعزيز أدائها على أرض الواقع. هذا وبالإضافة إلى </w:t>
      </w:r>
      <w:r w:rsidRPr="000C4A05">
        <w:rPr>
          <w:rFonts w:hint="cs"/>
          <w:rtl/>
          <w:lang w:val="fr-FR" w:bidi="ar-BH"/>
        </w:rPr>
        <w:t>خلق مملكة البحرين لبنية صلبة نحو الوقاية وعلاج أي انتهاكات تكون من صور التعذيب من خلال انشاء عدد من الآليات الوطنية المستقلة للحماية من التعذيب وسوء المعاملة والمحاسبة على ارتكابها.</w:t>
      </w:r>
    </w:p>
    <w:p w14:paraId="4DC6BC57" w14:textId="77777777" w:rsidR="00BE69D6" w:rsidRPr="00711843" w:rsidRDefault="00BE69D6" w:rsidP="00BE69D6">
      <w:pPr>
        <w:pStyle w:val="HChGA"/>
        <w:rPr>
          <w:rFonts w:eastAsia="MS Mincho"/>
          <w:rtl/>
        </w:rPr>
      </w:pPr>
      <w:r w:rsidRPr="000276DF">
        <w:rPr>
          <w:rFonts w:hint="cs"/>
          <w:rtl/>
          <w:lang w:eastAsia="ar-SA"/>
        </w:rPr>
        <w:tab/>
      </w:r>
      <w:r w:rsidRPr="00711843">
        <w:rPr>
          <w:rFonts w:eastAsia="MS Mincho"/>
          <w:rtl/>
        </w:rPr>
        <w:tab/>
      </w:r>
      <w:r w:rsidRPr="000C4A05">
        <w:rPr>
          <w:rFonts w:eastAsia="MS Mincho" w:hint="cs"/>
          <w:rtl/>
        </w:rPr>
        <w:t>المسائل المتعلقة بمواصلة بناء القدرات والجهود المبذولة فيما يتعلق بتطبيق القانون وتحسين أوضاع مراكز الاحتجاز والتوقيف</w:t>
      </w:r>
    </w:p>
    <w:p w14:paraId="5C343A15" w14:textId="77777777" w:rsidR="00BE69D6" w:rsidRDefault="00BE69D6" w:rsidP="00BE69D6">
      <w:pPr>
        <w:pStyle w:val="SingleTxtGA"/>
        <w:rPr>
          <w:rtl/>
          <w:lang w:val="fr-FR"/>
        </w:rPr>
      </w:pPr>
      <w:r>
        <w:rPr>
          <w:rFonts w:hint="cs"/>
          <w:rtl/>
          <w:lang w:val="fr-FR" w:bidi="ar-LY"/>
        </w:rPr>
        <w:t>27</w:t>
      </w:r>
      <w:r w:rsidRPr="00676923">
        <w:rPr>
          <w:rtl/>
          <w:lang w:val="fr-FR" w:bidi="ar-EG"/>
        </w:rPr>
        <w:t>-</w:t>
      </w:r>
      <w:r w:rsidRPr="00676923">
        <w:rPr>
          <w:rtl/>
          <w:lang w:val="fr-FR" w:bidi="ar-EG"/>
        </w:rPr>
        <w:tab/>
      </w:r>
      <w:r w:rsidRPr="000C4A05">
        <w:rPr>
          <w:rFonts w:hint="cs"/>
          <w:rtl/>
          <w:lang w:val="fr-FR"/>
        </w:rPr>
        <w:t>تحظى التوصيات التالية بالقبول:</w:t>
      </w:r>
    </w:p>
    <w:p w14:paraId="5AA527B8" w14:textId="77777777" w:rsidR="00BE69D6" w:rsidRPr="00676923" w:rsidRDefault="00BE69D6" w:rsidP="00BE69D6">
      <w:pPr>
        <w:pStyle w:val="SingleTxtGA"/>
        <w:rPr>
          <w:rFonts w:ascii="Traditional Arabic" w:hAnsi="Traditional Arabic"/>
          <w:sz w:val="28"/>
          <w:rtl/>
          <w:lang w:val="fr-FR"/>
        </w:rPr>
      </w:pPr>
      <w:r>
        <w:rPr>
          <w:rtl/>
          <w:lang w:val="fr-FR"/>
        </w:rPr>
        <w:tab/>
      </w:r>
      <w:r w:rsidRPr="000C4A05">
        <w:rPr>
          <w:rFonts w:ascii="Traditional Arabic" w:hAnsi="Traditional Arabic" w:hint="cs"/>
          <w:sz w:val="28"/>
        </w:rPr>
        <w:t>124-93, 124-96, 124-97, 124-98.</w:t>
      </w:r>
    </w:p>
    <w:p w14:paraId="0CF1B3DC" w14:textId="77777777" w:rsidR="00BE69D6" w:rsidRDefault="00BE69D6" w:rsidP="00BE69D6">
      <w:pPr>
        <w:pStyle w:val="SingleTxtGA"/>
        <w:rPr>
          <w:rtl/>
          <w:lang w:val="fr-FR"/>
        </w:rPr>
      </w:pPr>
      <w:r>
        <w:rPr>
          <w:rFonts w:hint="cs"/>
          <w:rtl/>
          <w:lang w:val="fr-FR" w:bidi="ar-LY"/>
        </w:rPr>
        <w:t>28</w:t>
      </w:r>
      <w:r w:rsidRPr="00676923">
        <w:rPr>
          <w:rtl/>
          <w:lang w:val="fr-FR" w:bidi="ar-EG"/>
        </w:rPr>
        <w:t>-</w:t>
      </w:r>
      <w:r w:rsidRPr="00676923">
        <w:rPr>
          <w:rtl/>
          <w:lang w:val="fr-FR" w:bidi="ar-EG"/>
        </w:rPr>
        <w:tab/>
      </w:r>
      <w:r w:rsidRPr="000C4A05">
        <w:rPr>
          <w:rtl/>
          <w:lang w:val="fr-FR"/>
        </w:rPr>
        <w:t xml:space="preserve">يتضمن قانون مؤسسة الإصلاح والتأهيل رقم (18) لسنة </w:t>
      </w:r>
      <w:r w:rsidRPr="000C4A05">
        <w:rPr>
          <w:rFonts w:hint="cs"/>
          <w:rtl/>
          <w:lang w:val="fr-FR"/>
        </w:rPr>
        <w:t>2014 الأحكام</w:t>
      </w:r>
      <w:r w:rsidRPr="000C4A05">
        <w:rPr>
          <w:rtl/>
          <w:lang w:val="fr-FR"/>
        </w:rPr>
        <w:t xml:space="preserve"> الخاصة بكفالة حقوق النزلاء المحكوم عليهم بعقوبة سالبة للحرية والمحبوسين احتياطياً، حيث كفل القانون لهم الرعاية الصحية والاجتماعية، الزيارات والاتصال الخارجي، وحقوق النزلاء الإجرائية، والحق في التعليم وممارسة الشعائر الدينية، والحق في العمل.</w:t>
      </w:r>
    </w:p>
    <w:p w14:paraId="2F8DB59F" w14:textId="77777777" w:rsidR="00BE69D6" w:rsidRPr="00711843" w:rsidRDefault="00BE69D6" w:rsidP="00BE69D6">
      <w:pPr>
        <w:pStyle w:val="HChGA"/>
        <w:rPr>
          <w:rFonts w:eastAsia="MS Mincho"/>
          <w:rtl/>
        </w:rPr>
      </w:pPr>
      <w:r w:rsidRPr="000276DF">
        <w:rPr>
          <w:rFonts w:hint="cs"/>
          <w:rtl/>
          <w:lang w:eastAsia="ar-SA"/>
        </w:rPr>
        <w:tab/>
      </w:r>
      <w:r w:rsidRPr="00711843">
        <w:rPr>
          <w:rFonts w:eastAsia="MS Mincho"/>
          <w:rtl/>
        </w:rPr>
        <w:tab/>
      </w:r>
      <w:r w:rsidRPr="000C4A05">
        <w:rPr>
          <w:rFonts w:eastAsia="MS Mincho" w:hint="cs"/>
          <w:rtl/>
          <w:lang w:bidi="ar-BH"/>
        </w:rPr>
        <w:t>مواصلة الجهود المتعلقة بمكافحة الإرهاب</w:t>
      </w:r>
    </w:p>
    <w:p w14:paraId="6A7D5F2A" w14:textId="77777777" w:rsidR="00BE69D6" w:rsidRDefault="00BE69D6" w:rsidP="00BE69D6">
      <w:pPr>
        <w:pStyle w:val="SingleTxtGA"/>
        <w:rPr>
          <w:rtl/>
          <w:lang w:val="fr-FR"/>
        </w:rPr>
      </w:pPr>
      <w:r>
        <w:rPr>
          <w:rFonts w:hint="cs"/>
          <w:rtl/>
          <w:lang w:val="fr-FR" w:bidi="ar-LY"/>
        </w:rPr>
        <w:t>29</w:t>
      </w:r>
      <w:r w:rsidRPr="00676923">
        <w:rPr>
          <w:rtl/>
          <w:lang w:val="fr-FR" w:bidi="ar-EG"/>
        </w:rPr>
        <w:t>-</w:t>
      </w:r>
      <w:r w:rsidRPr="00676923">
        <w:rPr>
          <w:rtl/>
          <w:lang w:val="fr-FR" w:bidi="ar-EG"/>
        </w:rPr>
        <w:tab/>
      </w:r>
      <w:r w:rsidRPr="000C4A05">
        <w:rPr>
          <w:rFonts w:hint="cs"/>
          <w:rtl/>
          <w:lang w:val="fr-FR"/>
        </w:rPr>
        <w:t>تحظى التوصية التالية بالقبول:</w:t>
      </w:r>
    </w:p>
    <w:p w14:paraId="66B8B642" w14:textId="77777777" w:rsidR="00BE69D6" w:rsidRPr="00676923" w:rsidRDefault="00BE69D6" w:rsidP="00BE69D6">
      <w:pPr>
        <w:pStyle w:val="SingleTxtGA"/>
        <w:rPr>
          <w:rtl/>
          <w:lang w:val="fr-FR"/>
        </w:rPr>
      </w:pPr>
      <w:r>
        <w:rPr>
          <w:rtl/>
          <w:lang w:val="fr-FR"/>
        </w:rPr>
        <w:tab/>
      </w:r>
      <w:r w:rsidRPr="000C4A05">
        <w:rPr>
          <w:rFonts w:ascii="Traditional Arabic" w:hAnsi="Traditional Arabic" w:hint="cs"/>
          <w:sz w:val="28"/>
        </w:rPr>
        <w:t>124-102</w:t>
      </w:r>
      <w:r w:rsidRPr="000C4A05">
        <w:t>.</w:t>
      </w:r>
    </w:p>
    <w:p w14:paraId="5734E04F" w14:textId="77777777" w:rsidR="00BE69D6" w:rsidRDefault="00BE69D6" w:rsidP="00BE69D6">
      <w:pPr>
        <w:pStyle w:val="SingleTxtGA"/>
        <w:rPr>
          <w:rtl/>
          <w:lang w:val="fr-FR"/>
        </w:rPr>
      </w:pPr>
      <w:r>
        <w:rPr>
          <w:rFonts w:hint="cs"/>
          <w:rtl/>
          <w:lang w:val="fr-FR" w:bidi="ar-LY"/>
        </w:rPr>
        <w:t>30</w:t>
      </w:r>
      <w:r w:rsidRPr="00676923">
        <w:rPr>
          <w:rtl/>
          <w:lang w:val="fr-FR" w:bidi="ar-EG"/>
        </w:rPr>
        <w:t>-</w:t>
      </w:r>
      <w:r w:rsidRPr="00676923">
        <w:rPr>
          <w:rtl/>
          <w:lang w:val="fr-FR" w:bidi="ar-EG"/>
        </w:rPr>
        <w:tab/>
      </w:r>
      <w:r w:rsidRPr="008F64CF">
        <w:rPr>
          <w:rtl/>
          <w:lang w:val="fr-FR"/>
        </w:rPr>
        <w:t>تولي المملكة أهمية كبرى لجهود القضاء على الإرهاب الدولي والتطرف، سعياً للوصول إلى عالم أفضل تسود فيه قيمة المحافظة على حقوق الإنسان وحرياته الأساسية بما يحقق السلام الدولي العادل والشامل والمستمر، ويعزز جهود تحقيق التنمية المستدامة.</w:t>
      </w:r>
    </w:p>
    <w:p w14:paraId="228E2AD7" w14:textId="77777777" w:rsidR="00BE69D6" w:rsidRPr="00711843" w:rsidRDefault="00BE69D6" w:rsidP="00BE69D6">
      <w:pPr>
        <w:pStyle w:val="HChGA"/>
        <w:rPr>
          <w:rFonts w:eastAsia="MS Mincho"/>
          <w:rtl/>
        </w:rPr>
      </w:pPr>
      <w:r w:rsidRPr="000276DF">
        <w:rPr>
          <w:rFonts w:hint="cs"/>
          <w:rtl/>
          <w:lang w:eastAsia="ar-SA"/>
        </w:rPr>
        <w:tab/>
      </w:r>
      <w:r w:rsidRPr="00711843">
        <w:rPr>
          <w:rFonts w:eastAsia="MS Mincho"/>
          <w:rtl/>
        </w:rPr>
        <w:tab/>
      </w:r>
      <w:r w:rsidRPr="008F64CF">
        <w:rPr>
          <w:rFonts w:eastAsia="MS Mincho" w:hint="cs"/>
          <w:rtl/>
          <w:lang w:bidi="ar-BH"/>
        </w:rPr>
        <w:t>المسائل المتعلقة بمواصلة نشر ثقافة الحوار بين الأديان وتعزيز ثقافة التعايش السلمي والحرية الدينية</w:t>
      </w:r>
    </w:p>
    <w:p w14:paraId="430E4269" w14:textId="77777777" w:rsidR="00BE69D6" w:rsidRDefault="00BE69D6" w:rsidP="00BE69D6">
      <w:pPr>
        <w:pStyle w:val="SingleTxtGA"/>
        <w:rPr>
          <w:rtl/>
          <w:lang w:val="fr-FR"/>
        </w:rPr>
      </w:pPr>
      <w:r>
        <w:rPr>
          <w:rFonts w:hint="cs"/>
          <w:rtl/>
          <w:lang w:val="fr-FR" w:bidi="ar-LY"/>
        </w:rPr>
        <w:t>31</w:t>
      </w:r>
      <w:r w:rsidRPr="00676923">
        <w:rPr>
          <w:rtl/>
          <w:lang w:val="fr-FR" w:bidi="ar-EG"/>
        </w:rPr>
        <w:t>-</w:t>
      </w:r>
      <w:r w:rsidRPr="00676923">
        <w:rPr>
          <w:rtl/>
          <w:lang w:val="fr-FR" w:bidi="ar-EG"/>
        </w:rPr>
        <w:tab/>
      </w:r>
      <w:r w:rsidRPr="008F64CF">
        <w:rPr>
          <w:rFonts w:hint="cs"/>
          <w:rtl/>
          <w:lang w:val="fr-FR"/>
        </w:rPr>
        <w:t>تحظى التوصيات التالية بالقبول:</w:t>
      </w:r>
    </w:p>
    <w:p w14:paraId="15169ADA" w14:textId="77777777" w:rsidR="00BE69D6" w:rsidRPr="00676923" w:rsidRDefault="00BE69D6" w:rsidP="00BE69D6">
      <w:pPr>
        <w:pStyle w:val="SingleTxtGA"/>
        <w:rPr>
          <w:rFonts w:ascii="Traditional Arabic" w:hAnsi="Traditional Arabic"/>
          <w:sz w:val="28"/>
          <w:rtl/>
          <w:lang w:val="fr-FR"/>
        </w:rPr>
      </w:pPr>
      <w:r>
        <w:rPr>
          <w:rtl/>
          <w:lang w:val="fr-FR"/>
        </w:rPr>
        <w:tab/>
      </w:r>
      <w:r w:rsidRPr="008F64CF">
        <w:rPr>
          <w:rFonts w:ascii="Traditional Arabic" w:hAnsi="Traditional Arabic" w:hint="cs"/>
          <w:sz w:val="28"/>
        </w:rPr>
        <w:t>124-68, 124-103, 124-110, 124-111, 124-112, 124-113, 124-121, 124-122.</w:t>
      </w:r>
    </w:p>
    <w:p w14:paraId="1F3F5578" w14:textId="77777777" w:rsidR="00BE69D6" w:rsidRDefault="00BE69D6" w:rsidP="00BE69D6">
      <w:pPr>
        <w:pStyle w:val="SingleTxtGA"/>
        <w:rPr>
          <w:rtl/>
          <w:lang w:val="fr-FR"/>
        </w:rPr>
      </w:pPr>
      <w:r>
        <w:rPr>
          <w:rFonts w:hint="cs"/>
          <w:rtl/>
          <w:lang w:val="fr-FR" w:bidi="ar-LY"/>
        </w:rPr>
        <w:t>32</w:t>
      </w:r>
      <w:r w:rsidRPr="00676923">
        <w:rPr>
          <w:rtl/>
          <w:lang w:val="fr-FR" w:bidi="ar-EG"/>
        </w:rPr>
        <w:t>-</w:t>
      </w:r>
      <w:r w:rsidRPr="00676923">
        <w:rPr>
          <w:rtl/>
          <w:lang w:val="fr-FR" w:bidi="ar-EG"/>
        </w:rPr>
        <w:tab/>
      </w:r>
      <w:r w:rsidRPr="008F64CF">
        <w:rPr>
          <w:rtl/>
          <w:lang w:val="fr-FR"/>
        </w:rPr>
        <w:t>تعد مملكة البحرين نموذجاً في التعايش السلمي والتآلف بين أتباع مختلف الديانات والمذاهب والثقافات، ومن دلائل ذلك إنشاء مركز الملك حمد العالمي للتعايش السلمي في العام 2018م، وتدشين كرسي الملك حمد للحوار بين الأديان بجامعة سابينزا الإيطالية، واتخاذ العديد من المبادرات في هذا الشأن، ومنها إطلاق "إعلان مملكة البحرين" في العام 2017م، الذي يدعو إلى التسامح الديني والتعايش السلمي في جميع أنحاء العالم كوثيقة لتعزيز الحرية الدينية والحوار بين الأديان.</w:t>
      </w:r>
    </w:p>
    <w:p w14:paraId="5BBE9FE1" w14:textId="77777777" w:rsidR="00BE69D6" w:rsidRPr="00711843" w:rsidRDefault="00BE69D6" w:rsidP="00BE69D6">
      <w:pPr>
        <w:pStyle w:val="HChGA"/>
        <w:rPr>
          <w:rFonts w:eastAsia="MS Mincho"/>
          <w:rtl/>
        </w:rPr>
      </w:pPr>
      <w:r w:rsidRPr="000276DF">
        <w:rPr>
          <w:rFonts w:hint="cs"/>
          <w:rtl/>
          <w:lang w:eastAsia="ar-SA"/>
        </w:rPr>
        <w:tab/>
      </w:r>
      <w:r w:rsidRPr="00711843">
        <w:rPr>
          <w:rFonts w:eastAsia="MS Mincho"/>
          <w:rtl/>
        </w:rPr>
        <w:tab/>
      </w:r>
      <w:r w:rsidRPr="008F64CF">
        <w:rPr>
          <w:rFonts w:eastAsia="MS Mincho" w:hint="cs"/>
          <w:rtl/>
          <w:lang w:bidi="ar-BH"/>
        </w:rPr>
        <w:t>المسائل المتعلقة بمواصلة الجهود المبذولة لمكافحة الاتجار بالأشخاص</w:t>
      </w:r>
    </w:p>
    <w:p w14:paraId="3B0858EC" w14:textId="711996A0" w:rsidR="00BE69D6" w:rsidRDefault="00BE69D6" w:rsidP="00BE69D6">
      <w:pPr>
        <w:pStyle w:val="SingleTxtGA"/>
        <w:rPr>
          <w:rtl/>
          <w:lang w:val="fr-FR"/>
        </w:rPr>
      </w:pPr>
      <w:r>
        <w:rPr>
          <w:rFonts w:hint="cs"/>
          <w:rtl/>
          <w:lang w:val="fr-FR" w:bidi="ar-LY"/>
        </w:rPr>
        <w:t>33</w:t>
      </w:r>
      <w:r w:rsidRPr="00676923">
        <w:rPr>
          <w:rtl/>
          <w:lang w:val="fr-FR" w:bidi="ar-EG"/>
        </w:rPr>
        <w:t>-</w:t>
      </w:r>
      <w:r w:rsidRPr="00676923">
        <w:rPr>
          <w:rtl/>
          <w:lang w:val="fr-FR" w:bidi="ar-EG"/>
        </w:rPr>
        <w:tab/>
      </w:r>
      <w:r w:rsidRPr="008F64CF">
        <w:rPr>
          <w:rFonts w:hint="cs"/>
          <w:rtl/>
          <w:lang w:val="fr-FR"/>
        </w:rPr>
        <w:t xml:space="preserve">تحظى </w:t>
      </w:r>
      <w:r w:rsidR="00C17AAF" w:rsidRPr="00C17AAF">
        <w:rPr>
          <w:rtl/>
          <w:lang w:val="fr-FR"/>
        </w:rPr>
        <w:t>التوصيات</w:t>
      </w:r>
      <w:r w:rsidR="00C17AAF" w:rsidRPr="00C17AAF">
        <w:rPr>
          <w:rFonts w:hint="cs"/>
          <w:rtl/>
          <w:lang w:val="fr-FR"/>
        </w:rPr>
        <w:t xml:space="preserve"> </w:t>
      </w:r>
      <w:r w:rsidRPr="008F64CF">
        <w:rPr>
          <w:rFonts w:hint="cs"/>
          <w:rtl/>
          <w:lang w:val="fr-FR"/>
        </w:rPr>
        <w:t>التالية بالقبول:</w:t>
      </w:r>
    </w:p>
    <w:p w14:paraId="4A483BF0" w14:textId="77777777" w:rsidR="00BE69D6" w:rsidRPr="00676923" w:rsidRDefault="00BE69D6" w:rsidP="00BE69D6">
      <w:pPr>
        <w:pStyle w:val="SingleTxtGA"/>
        <w:rPr>
          <w:rFonts w:ascii="Traditional Arabic" w:hAnsi="Traditional Arabic"/>
          <w:sz w:val="28"/>
          <w:rtl/>
          <w:lang w:val="fr-FR"/>
        </w:rPr>
      </w:pPr>
      <w:r>
        <w:rPr>
          <w:rtl/>
          <w:lang w:val="fr-FR"/>
        </w:rPr>
        <w:tab/>
      </w:r>
      <w:r w:rsidRPr="008F64CF">
        <w:rPr>
          <w:rFonts w:ascii="Traditional Arabic" w:hAnsi="Traditional Arabic" w:hint="cs"/>
          <w:sz w:val="28"/>
        </w:rPr>
        <w:t>124-138, 124-139, 124-140, 124-141, 124-142, 124-145.</w:t>
      </w:r>
    </w:p>
    <w:p w14:paraId="503036BC" w14:textId="77777777" w:rsidR="00BE69D6" w:rsidRDefault="00BE69D6" w:rsidP="00BE69D6">
      <w:pPr>
        <w:pStyle w:val="SingleTxtGA"/>
        <w:rPr>
          <w:rtl/>
          <w:lang w:val="fr-FR"/>
        </w:rPr>
      </w:pPr>
      <w:r>
        <w:rPr>
          <w:rFonts w:hint="cs"/>
          <w:rtl/>
          <w:lang w:val="fr-FR" w:bidi="ar-LY"/>
        </w:rPr>
        <w:t>34</w:t>
      </w:r>
      <w:r w:rsidRPr="00676923">
        <w:rPr>
          <w:rtl/>
          <w:lang w:val="fr-FR" w:bidi="ar-EG"/>
        </w:rPr>
        <w:t>-</w:t>
      </w:r>
      <w:r w:rsidRPr="00676923">
        <w:rPr>
          <w:rtl/>
          <w:lang w:val="fr-FR" w:bidi="ar-EG"/>
        </w:rPr>
        <w:tab/>
      </w:r>
      <w:r w:rsidRPr="008F64CF">
        <w:rPr>
          <w:rtl/>
          <w:lang w:val="fr-FR"/>
        </w:rPr>
        <w:t xml:space="preserve">تولي مملكة البحرين لمكافحة الاتجار بالأشخاص اهتماماً خاصاً، الأمر الذي مكن مملكة </w:t>
      </w:r>
      <w:r w:rsidRPr="008F64CF">
        <w:rPr>
          <w:rFonts w:hint="cs"/>
          <w:rtl/>
          <w:lang w:val="fr-FR"/>
        </w:rPr>
        <w:t>البحرين من</w:t>
      </w:r>
      <w:r w:rsidRPr="008F64CF">
        <w:rPr>
          <w:rtl/>
          <w:lang w:val="fr-FR"/>
        </w:rPr>
        <w:t xml:space="preserve"> المحافظة على الفئة الأولى في تقرير وزارة الخارجية الأمريكية لمكافحة الإتجار بالأشخاص لعام 2022م لتكون الدولة الوحيدة على مستوى الوطن العربي التي حافظت على مثل هذا التصنيف لخمس مرات على التوالي </w:t>
      </w:r>
      <w:r w:rsidRPr="008F64CF">
        <w:rPr>
          <w:rFonts w:hint="cs"/>
          <w:rtl/>
          <w:lang w:val="fr-FR"/>
        </w:rPr>
        <w:t>وتواصل المملكة</w:t>
      </w:r>
      <w:r w:rsidRPr="008F64CF">
        <w:rPr>
          <w:rtl/>
          <w:lang w:val="fr-FR"/>
        </w:rPr>
        <w:t xml:space="preserve"> جهودها لتعزيز حقوق الفئات الضعيفة، ومن بينها العمالة المتعاقدة بشكل عام والنساء بشكل خاص، بهدف تعزيز حمايتهم من جميع أشكال الاستغلال وسوء المعاملة.</w:t>
      </w:r>
    </w:p>
    <w:p w14:paraId="64B0AE40" w14:textId="77777777" w:rsidR="00BE69D6" w:rsidRPr="00711843" w:rsidRDefault="00BE69D6" w:rsidP="00BE69D6">
      <w:pPr>
        <w:pStyle w:val="HChGA"/>
        <w:rPr>
          <w:rFonts w:eastAsia="MS Mincho"/>
          <w:rtl/>
        </w:rPr>
      </w:pPr>
      <w:r w:rsidRPr="000276DF">
        <w:rPr>
          <w:rFonts w:hint="cs"/>
          <w:rtl/>
          <w:lang w:eastAsia="ar-SA"/>
        </w:rPr>
        <w:tab/>
      </w:r>
      <w:r w:rsidRPr="00711843">
        <w:rPr>
          <w:rFonts w:eastAsia="MS Mincho"/>
          <w:rtl/>
        </w:rPr>
        <w:tab/>
      </w:r>
      <w:r w:rsidRPr="008F64CF">
        <w:rPr>
          <w:rFonts w:eastAsia="MS Mincho" w:hint="cs"/>
          <w:rtl/>
        </w:rPr>
        <w:t>المسائل المتعلقة بمواصلة تعزيز حقوق المرأة والمساواة بين الجنسين</w:t>
      </w:r>
    </w:p>
    <w:p w14:paraId="6919B2ED" w14:textId="77777777" w:rsidR="00BE69D6" w:rsidRDefault="00BE69D6" w:rsidP="00BE69D6">
      <w:pPr>
        <w:pStyle w:val="SingleTxtGA"/>
        <w:rPr>
          <w:rtl/>
          <w:lang w:val="fr-FR"/>
        </w:rPr>
      </w:pPr>
      <w:r>
        <w:rPr>
          <w:rFonts w:hint="cs"/>
          <w:rtl/>
          <w:lang w:val="fr-FR" w:bidi="ar-LY"/>
        </w:rPr>
        <w:t>35</w:t>
      </w:r>
      <w:r w:rsidRPr="00676923">
        <w:rPr>
          <w:rtl/>
          <w:lang w:val="fr-FR" w:bidi="ar-EG"/>
        </w:rPr>
        <w:t>-</w:t>
      </w:r>
      <w:r w:rsidRPr="00676923">
        <w:rPr>
          <w:rtl/>
          <w:lang w:val="fr-FR" w:bidi="ar-EG"/>
        </w:rPr>
        <w:tab/>
      </w:r>
      <w:r w:rsidRPr="008F64CF">
        <w:rPr>
          <w:rFonts w:hint="cs"/>
          <w:rtl/>
          <w:lang w:val="fr-FR"/>
        </w:rPr>
        <w:t>تحظى التوصيات التالية بالقبول:</w:t>
      </w:r>
    </w:p>
    <w:p w14:paraId="19F21A99" w14:textId="28405694" w:rsidR="00BE69D6" w:rsidRPr="00676923" w:rsidRDefault="00BE69D6" w:rsidP="00BE69D6">
      <w:pPr>
        <w:pStyle w:val="SingleTxtGA"/>
        <w:rPr>
          <w:rFonts w:ascii="Traditional Arabic" w:hAnsi="Traditional Arabic"/>
          <w:sz w:val="28"/>
          <w:rtl/>
          <w:lang w:val="fr-FR"/>
        </w:rPr>
      </w:pPr>
      <w:r>
        <w:rPr>
          <w:rtl/>
          <w:lang w:val="fr-FR"/>
        </w:rPr>
        <w:tab/>
      </w:r>
      <w:r w:rsidR="00866B12" w:rsidRPr="00916CB0">
        <w:rPr>
          <w:rFonts w:ascii="Traditional Arabic" w:hAnsi="Traditional Arabic"/>
          <w:sz w:val="28"/>
        </w:rPr>
        <w:t xml:space="preserve">124-150, </w:t>
      </w:r>
      <w:r w:rsidRPr="008F64CF">
        <w:rPr>
          <w:rFonts w:ascii="Traditional Arabic" w:hAnsi="Traditional Arabic" w:hint="cs"/>
          <w:sz w:val="28"/>
        </w:rPr>
        <w:t>124-162, 124-163, 124-164, 124-165, 124-166, 124-167, 124-168, 124-169, 124-171, 124-172, 124-173, 124-174, 124-175, 124-176, 124-177, 124-178, 124-179, 124-180, 124-181, 124-182, 124-183, 124-185, 124-187, 124-188, 124-189, 124-190, 124-197, 124-198, 124-199.</w:t>
      </w:r>
    </w:p>
    <w:p w14:paraId="77F313A7" w14:textId="77777777" w:rsidR="00BE69D6" w:rsidRPr="00676923" w:rsidRDefault="00BE69D6" w:rsidP="00BE69D6">
      <w:pPr>
        <w:pStyle w:val="SingleTxtGA"/>
        <w:rPr>
          <w:rtl/>
          <w:lang w:val="fr-FR"/>
        </w:rPr>
      </w:pPr>
      <w:r>
        <w:rPr>
          <w:rFonts w:hint="cs"/>
          <w:rtl/>
          <w:lang w:val="fr-FR" w:bidi="ar-LY"/>
        </w:rPr>
        <w:t>36</w:t>
      </w:r>
      <w:r w:rsidRPr="00676923">
        <w:rPr>
          <w:rtl/>
          <w:lang w:val="fr-FR" w:bidi="ar-EG"/>
        </w:rPr>
        <w:t>-</w:t>
      </w:r>
      <w:r w:rsidRPr="00676923">
        <w:rPr>
          <w:rtl/>
          <w:lang w:val="fr-FR" w:bidi="ar-EG"/>
        </w:rPr>
        <w:tab/>
      </w:r>
      <w:r w:rsidRPr="008F64CF">
        <w:rPr>
          <w:rtl/>
          <w:lang w:val="fr-FR"/>
        </w:rPr>
        <w:t>يتم متابعة تنفيذ الخطة الوطنية لنهوض المرأة البحرينية (2013-2022) والتي تضمن للمرأة الاستقرار الأسري في إطار الترابط العائلي، وتمكينها من متطلبات القدرة على المساهمة التنافسية في مسار التنمية، القائم على مبدأ تكافؤ الفرص وإدماج احتياجات المرأة في التنمية، بما يحقق لها فرص التميز في الأداء والارتقاء بخياراتها نحو جودة حياتها والتعلم مدى الحياة، من خلال التكامل مع الشركاء في العمل المؤسسي. هذا ويتم العمل على وضع خطة أخرى للمرحلة القادمة (2023- 2030) متوائمة مع التقدم الذي حققته المرأة البحرينية.</w:t>
      </w:r>
    </w:p>
    <w:p w14:paraId="4345F716" w14:textId="77777777" w:rsidR="00BE69D6" w:rsidRDefault="00BE69D6" w:rsidP="00BE69D6">
      <w:pPr>
        <w:pStyle w:val="SingleTxtGA"/>
        <w:rPr>
          <w:rtl/>
          <w:lang w:val="fr-FR"/>
        </w:rPr>
      </w:pPr>
      <w:r>
        <w:rPr>
          <w:rFonts w:hint="cs"/>
          <w:rtl/>
          <w:lang w:val="fr-FR" w:bidi="ar-LY"/>
        </w:rPr>
        <w:t>37</w:t>
      </w:r>
      <w:r w:rsidRPr="00676923">
        <w:rPr>
          <w:rtl/>
          <w:lang w:val="fr-FR" w:bidi="ar-EG"/>
        </w:rPr>
        <w:t>-</w:t>
      </w:r>
      <w:r w:rsidRPr="00676923">
        <w:rPr>
          <w:rtl/>
          <w:lang w:val="fr-FR" w:bidi="ar-EG"/>
        </w:rPr>
        <w:tab/>
      </w:r>
      <w:r w:rsidRPr="008F64CF">
        <w:rPr>
          <w:rFonts w:hint="cs"/>
          <w:rtl/>
          <w:lang w:val="fr-FR"/>
        </w:rPr>
        <w:t>أُخذ بالعلم بالتوصيات التالية:</w:t>
      </w:r>
    </w:p>
    <w:p w14:paraId="6E24E5ED" w14:textId="0B658F23" w:rsidR="00BE69D6" w:rsidRPr="00676923" w:rsidRDefault="00BE69D6" w:rsidP="00BE69D6">
      <w:pPr>
        <w:pStyle w:val="SingleTxtGA"/>
        <w:rPr>
          <w:rFonts w:ascii="Traditional Arabic" w:hAnsi="Traditional Arabic"/>
          <w:sz w:val="28"/>
          <w:rtl/>
          <w:lang w:val="fr-FR"/>
        </w:rPr>
      </w:pPr>
      <w:r>
        <w:rPr>
          <w:rtl/>
          <w:lang w:val="fr-FR"/>
        </w:rPr>
        <w:tab/>
      </w:r>
      <w:r w:rsidRPr="008F64CF">
        <w:rPr>
          <w:rFonts w:ascii="Traditional Arabic" w:hAnsi="Traditional Arabic" w:hint="cs"/>
          <w:sz w:val="28"/>
        </w:rPr>
        <w:t>124-184, 124-186, 124-191, 124-192, 124-193, 124-194, 124-195, 124-196, 124-201.</w:t>
      </w:r>
    </w:p>
    <w:p w14:paraId="18959442" w14:textId="77777777" w:rsidR="00BE69D6" w:rsidRDefault="00BE69D6" w:rsidP="00BE69D6">
      <w:pPr>
        <w:pStyle w:val="SingleTxtGA"/>
        <w:rPr>
          <w:rtl/>
          <w:lang w:val="fr-FR" w:bidi="ar-BH"/>
        </w:rPr>
      </w:pPr>
      <w:r>
        <w:rPr>
          <w:rFonts w:hint="cs"/>
          <w:rtl/>
          <w:lang w:val="fr-FR" w:bidi="ar-LY"/>
        </w:rPr>
        <w:t>38</w:t>
      </w:r>
      <w:r w:rsidRPr="00676923">
        <w:rPr>
          <w:rtl/>
          <w:lang w:val="fr-FR" w:bidi="ar-EG"/>
        </w:rPr>
        <w:t>-</w:t>
      </w:r>
      <w:r w:rsidRPr="00676923">
        <w:rPr>
          <w:rtl/>
          <w:lang w:val="fr-FR" w:bidi="ar-EG"/>
        </w:rPr>
        <w:tab/>
      </w:r>
      <w:r w:rsidRPr="008F64CF">
        <w:rPr>
          <w:rFonts w:hint="cs"/>
          <w:rtl/>
          <w:lang w:val="fr-FR" w:bidi="ar-BH"/>
        </w:rPr>
        <w:t>تطبق العقوبات الجنائية المقررة على جرائم الاغتصاب فيما لو رفضت المجني عليها الزواج مع الجاني، حيث اشترط قانون الاسرة لصحة انعقاد الزواج توافق ارادتي الطرفين دون اكراه أو اجبار على الزواج.</w:t>
      </w:r>
    </w:p>
    <w:p w14:paraId="3D6575D4" w14:textId="77777777" w:rsidR="00BE69D6" w:rsidRPr="00711843" w:rsidRDefault="00BE69D6" w:rsidP="00BE69D6">
      <w:pPr>
        <w:pStyle w:val="HChGA"/>
        <w:rPr>
          <w:rFonts w:eastAsia="MS Mincho"/>
          <w:rtl/>
        </w:rPr>
      </w:pPr>
      <w:r w:rsidRPr="000276DF">
        <w:rPr>
          <w:rFonts w:hint="cs"/>
          <w:rtl/>
          <w:lang w:eastAsia="ar-SA"/>
        </w:rPr>
        <w:tab/>
      </w:r>
      <w:r w:rsidRPr="00711843">
        <w:rPr>
          <w:rFonts w:eastAsia="MS Mincho"/>
          <w:rtl/>
        </w:rPr>
        <w:tab/>
      </w:r>
      <w:r w:rsidRPr="008F64CF">
        <w:rPr>
          <w:rFonts w:eastAsia="MS Mincho" w:hint="cs"/>
          <w:rtl/>
        </w:rPr>
        <w:t>المسائل المتعلقة بمواصلة ضمان الوصول الكامل للتعليم وتعزيز الحق في التعليم</w:t>
      </w:r>
    </w:p>
    <w:p w14:paraId="78661549" w14:textId="77777777" w:rsidR="00BE69D6" w:rsidRDefault="00BE69D6" w:rsidP="00BE69D6">
      <w:pPr>
        <w:pStyle w:val="SingleTxtGA"/>
        <w:rPr>
          <w:rtl/>
          <w:lang w:val="fr-FR"/>
        </w:rPr>
      </w:pPr>
      <w:bookmarkStart w:id="9" w:name="_Hlk127285552"/>
      <w:r>
        <w:rPr>
          <w:rFonts w:hint="cs"/>
          <w:rtl/>
          <w:lang w:val="fr-FR" w:bidi="ar-LY"/>
        </w:rPr>
        <w:t>39</w:t>
      </w:r>
      <w:r w:rsidRPr="00676923">
        <w:rPr>
          <w:rtl/>
          <w:lang w:val="fr-FR" w:bidi="ar-EG"/>
        </w:rPr>
        <w:t>-</w:t>
      </w:r>
      <w:r w:rsidRPr="00676923">
        <w:rPr>
          <w:rtl/>
          <w:lang w:val="fr-FR" w:bidi="ar-EG"/>
        </w:rPr>
        <w:tab/>
      </w:r>
      <w:r w:rsidRPr="008F64CF">
        <w:rPr>
          <w:rFonts w:hint="cs"/>
          <w:rtl/>
          <w:lang w:val="fr-FR"/>
        </w:rPr>
        <w:t>تحظى التوصيات التالية بالقبول:</w:t>
      </w:r>
    </w:p>
    <w:p w14:paraId="7F4B9876" w14:textId="77777777" w:rsidR="00BE69D6" w:rsidRPr="00676923" w:rsidRDefault="00BE69D6" w:rsidP="00BE69D6">
      <w:pPr>
        <w:pStyle w:val="SingleTxtGA"/>
        <w:rPr>
          <w:rtl/>
          <w:lang w:val="fr-FR"/>
        </w:rPr>
      </w:pPr>
      <w:r>
        <w:rPr>
          <w:rtl/>
          <w:lang w:val="fr-FR"/>
        </w:rPr>
        <w:tab/>
      </w:r>
      <w:r w:rsidRPr="008F64CF">
        <w:rPr>
          <w:rFonts w:ascii="Traditional Arabic" w:hAnsi="Traditional Arabic" w:hint="cs"/>
          <w:sz w:val="28"/>
        </w:rPr>
        <w:t>124-154, 124-155, 124-156, 124-157</w:t>
      </w:r>
      <w:r w:rsidRPr="008F64CF">
        <w:t>.</w:t>
      </w:r>
    </w:p>
    <w:p w14:paraId="1224EC51" w14:textId="77777777" w:rsidR="00BE69D6" w:rsidRPr="00676923" w:rsidRDefault="00BE69D6" w:rsidP="00BE69D6">
      <w:pPr>
        <w:pStyle w:val="SingleTxtGA"/>
        <w:rPr>
          <w:rtl/>
          <w:lang w:val="fr-FR"/>
        </w:rPr>
      </w:pPr>
      <w:r>
        <w:rPr>
          <w:rFonts w:hint="cs"/>
          <w:rtl/>
          <w:lang w:val="fr-FR" w:bidi="ar-LY"/>
        </w:rPr>
        <w:t>40</w:t>
      </w:r>
      <w:r w:rsidRPr="00676923">
        <w:rPr>
          <w:rtl/>
          <w:lang w:val="fr-FR" w:bidi="ar-EG"/>
        </w:rPr>
        <w:t>-</w:t>
      </w:r>
      <w:r w:rsidRPr="00676923">
        <w:rPr>
          <w:rtl/>
          <w:lang w:val="fr-FR" w:bidi="ar-EG"/>
        </w:rPr>
        <w:tab/>
      </w:r>
      <w:r w:rsidRPr="008F64CF">
        <w:rPr>
          <w:rtl/>
          <w:lang w:val="fr-FR"/>
        </w:rPr>
        <w:t>إن التعليم في مملكة البحرين الزامي ومجاني، وينخرط الأطفال في سن الدراسة إما في المدارس العامة أو الخاصة، وتتكفل وزارة التربية والتعليم بتوفير التعليم لجميع الطلاب البحرينيين وغير البحرينيين المنتظمين في المدارس العامة، مع تزويدهم بالكتب الدراسة اللازمة مع بداية كل سنة دراسة بدون مقابل. وتحرص الحكومة على</w:t>
      </w:r>
      <w:r w:rsidRPr="008F64CF">
        <w:rPr>
          <w:rFonts w:hint="cs"/>
          <w:rtl/>
          <w:lang w:val="fr-FR"/>
        </w:rPr>
        <w:t xml:space="preserve"> </w:t>
      </w:r>
      <w:r w:rsidRPr="008F64CF">
        <w:rPr>
          <w:rtl/>
          <w:lang w:val="fr-FR"/>
        </w:rPr>
        <w:t>تضمين مبادئ وقيم حقوق الإنسان العالمية في مناهج التربية للمواطنة وحقوق الإنسان التي تُدرس في المراحل التعليمية الثلاث كمادة أساسية في مدارس مملكة البحرين الحكومية والخاصة.</w:t>
      </w:r>
    </w:p>
    <w:p w14:paraId="2D8AA63C" w14:textId="77777777" w:rsidR="00BE69D6" w:rsidRDefault="00BE69D6" w:rsidP="00BE69D6">
      <w:pPr>
        <w:pStyle w:val="SingleTxtGA"/>
        <w:rPr>
          <w:rtl/>
          <w:lang w:val="fr-FR"/>
        </w:rPr>
      </w:pPr>
      <w:r>
        <w:rPr>
          <w:rFonts w:hint="cs"/>
          <w:rtl/>
          <w:lang w:val="fr-FR" w:bidi="ar-LY"/>
        </w:rPr>
        <w:t>41</w:t>
      </w:r>
      <w:r w:rsidRPr="00676923">
        <w:rPr>
          <w:rtl/>
          <w:lang w:val="fr-FR" w:bidi="ar-EG"/>
        </w:rPr>
        <w:t>-</w:t>
      </w:r>
      <w:r w:rsidRPr="00676923">
        <w:rPr>
          <w:rtl/>
          <w:lang w:val="fr-FR" w:bidi="ar-EG"/>
        </w:rPr>
        <w:tab/>
      </w:r>
      <w:r w:rsidRPr="008F64CF">
        <w:rPr>
          <w:rFonts w:hint="cs"/>
          <w:rtl/>
          <w:lang w:val="fr-FR"/>
        </w:rPr>
        <w:t>أُخذ بالعلم بالتوصية التالية:</w:t>
      </w:r>
    </w:p>
    <w:p w14:paraId="3B181839" w14:textId="77777777" w:rsidR="00BE69D6" w:rsidRDefault="00BE69D6" w:rsidP="00BE69D6">
      <w:pPr>
        <w:pStyle w:val="SingleTxtGA"/>
      </w:pPr>
      <w:r>
        <w:rPr>
          <w:rtl/>
          <w:lang w:val="fr-FR"/>
        </w:rPr>
        <w:tab/>
      </w:r>
      <w:r w:rsidRPr="008F64CF">
        <w:rPr>
          <w:rFonts w:ascii="Traditional Arabic" w:hAnsi="Traditional Arabic" w:hint="cs"/>
          <w:sz w:val="28"/>
        </w:rPr>
        <w:t>124-245</w:t>
      </w:r>
      <w:r w:rsidRPr="008F64CF">
        <w:t>.</w:t>
      </w:r>
    </w:p>
    <w:p w14:paraId="2666270A" w14:textId="77777777" w:rsidR="00BE69D6" w:rsidRPr="00711843" w:rsidRDefault="00BE69D6" w:rsidP="00BE69D6">
      <w:pPr>
        <w:pStyle w:val="HChGA"/>
        <w:rPr>
          <w:rFonts w:eastAsia="MS Mincho"/>
          <w:rtl/>
        </w:rPr>
      </w:pPr>
      <w:r w:rsidRPr="000276DF">
        <w:rPr>
          <w:rFonts w:hint="cs"/>
          <w:rtl/>
          <w:lang w:eastAsia="ar-SA"/>
        </w:rPr>
        <w:tab/>
      </w:r>
      <w:r w:rsidRPr="00711843">
        <w:rPr>
          <w:rFonts w:eastAsia="MS Mincho"/>
          <w:rtl/>
        </w:rPr>
        <w:tab/>
      </w:r>
      <w:r w:rsidRPr="008F34FB">
        <w:rPr>
          <w:rFonts w:eastAsia="MS Mincho" w:hint="cs"/>
          <w:rtl/>
        </w:rPr>
        <w:t>المسائل المتعلقة بحماية وتعزيز حقوق الطفل وتطوير قدراتهم</w:t>
      </w:r>
    </w:p>
    <w:p w14:paraId="37F4666D" w14:textId="77777777" w:rsidR="00BE69D6" w:rsidRDefault="00BE69D6" w:rsidP="00BE69D6">
      <w:pPr>
        <w:pStyle w:val="SingleTxtGA"/>
        <w:rPr>
          <w:rtl/>
          <w:lang w:val="fr-FR"/>
        </w:rPr>
      </w:pPr>
      <w:r>
        <w:rPr>
          <w:rFonts w:hint="cs"/>
          <w:rtl/>
          <w:lang w:val="fr-FR" w:bidi="ar-LY"/>
        </w:rPr>
        <w:t>42</w:t>
      </w:r>
      <w:r w:rsidRPr="00676923">
        <w:rPr>
          <w:rtl/>
          <w:lang w:val="fr-FR" w:bidi="ar-EG"/>
        </w:rPr>
        <w:t>-</w:t>
      </w:r>
      <w:r w:rsidRPr="00676923">
        <w:rPr>
          <w:rtl/>
          <w:lang w:val="fr-FR" w:bidi="ar-EG"/>
        </w:rPr>
        <w:tab/>
      </w:r>
      <w:r w:rsidRPr="008F34FB">
        <w:rPr>
          <w:rFonts w:hint="cs"/>
          <w:rtl/>
          <w:lang w:val="fr-FR"/>
        </w:rPr>
        <w:t>تحظى التوصيات التالية بالقبول:</w:t>
      </w:r>
    </w:p>
    <w:p w14:paraId="360A3B7D" w14:textId="77777777" w:rsidR="00BE69D6" w:rsidRPr="00676923" w:rsidRDefault="00BE69D6" w:rsidP="00BE69D6">
      <w:pPr>
        <w:pStyle w:val="SingleTxtGA"/>
        <w:rPr>
          <w:rtl/>
          <w:lang w:val="fr-FR"/>
        </w:rPr>
      </w:pPr>
      <w:r>
        <w:rPr>
          <w:rtl/>
          <w:lang w:val="fr-FR"/>
        </w:rPr>
        <w:tab/>
      </w:r>
      <w:r w:rsidRPr="008F34FB">
        <w:rPr>
          <w:rFonts w:ascii="Traditional Arabic" w:hAnsi="Traditional Arabic" w:hint="cs"/>
          <w:sz w:val="28"/>
        </w:rPr>
        <w:t>124-159, 124-200, 124-202, 124-203, 124-204, 124-205, 124-206, 124-231</w:t>
      </w:r>
      <w:r w:rsidRPr="008F34FB">
        <w:t>.</w:t>
      </w:r>
    </w:p>
    <w:p w14:paraId="419906B9" w14:textId="77777777" w:rsidR="00BE69D6" w:rsidRDefault="00BE69D6" w:rsidP="00BE69D6">
      <w:pPr>
        <w:pStyle w:val="SingleTxtGA"/>
        <w:rPr>
          <w:rtl/>
          <w:lang w:val="fr-FR"/>
        </w:rPr>
      </w:pPr>
      <w:r>
        <w:rPr>
          <w:rFonts w:hint="cs"/>
          <w:rtl/>
          <w:lang w:val="fr-FR" w:bidi="ar-LY"/>
        </w:rPr>
        <w:t>43</w:t>
      </w:r>
      <w:r w:rsidRPr="00676923">
        <w:rPr>
          <w:rtl/>
          <w:lang w:val="fr-FR" w:bidi="ar-EG"/>
        </w:rPr>
        <w:t>-</w:t>
      </w:r>
      <w:r w:rsidRPr="00676923">
        <w:rPr>
          <w:rtl/>
          <w:lang w:val="fr-FR" w:bidi="ar-EG"/>
        </w:rPr>
        <w:tab/>
      </w:r>
      <w:r w:rsidRPr="008F34FB">
        <w:rPr>
          <w:rtl/>
          <w:lang w:val="fr-FR"/>
        </w:rPr>
        <w:t>تواصل مملكة البحرين عبر اللجنة الوطنية للطفولة القيام بجهودها الهادفة إلى تنمية الطفولة في كافة مراحلها العمرية تربوياً وثقافياً ونفسياً.</w:t>
      </w:r>
    </w:p>
    <w:p w14:paraId="26A3B8A8" w14:textId="77777777" w:rsidR="00BE69D6" w:rsidRPr="00711843" w:rsidRDefault="00BE69D6" w:rsidP="00BE69D6">
      <w:pPr>
        <w:pStyle w:val="HChGA"/>
        <w:rPr>
          <w:rFonts w:eastAsia="MS Mincho"/>
          <w:rtl/>
        </w:rPr>
      </w:pPr>
      <w:r w:rsidRPr="000276DF">
        <w:rPr>
          <w:rFonts w:hint="cs"/>
          <w:rtl/>
          <w:lang w:eastAsia="ar-SA"/>
        </w:rPr>
        <w:tab/>
      </w:r>
      <w:r w:rsidRPr="00711843">
        <w:rPr>
          <w:rFonts w:eastAsia="MS Mincho"/>
          <w:rtl/>
        </w:rPr>
        <w:tab/>
      </w:r>
      <w:r w:rsidRPr="008F34FB">
        <w:rPr>
          <w:rFonts w:eastAsia="MS Mincho" w:hint="cs"/>
          <w:rtl/>
        </w:rPr>
        <w:t>المسائل المتعلقة بمواصلة حماية وتعزيز حقوق الفئات الأولى بالرعاية وضمان إدماجهم الكامل في المجتمع</w:t>
      </w:r>
    </w:p>
    <w:p w14:paraId="71EFC983" w14:textId="77777777" w:rsidR="00BE69D6" w:rsidRDefault="00BE69D6" w:rsidP="00BE69D6">
      <w:pPr>
        <w:pStyle w:val="SingleTxtGA"/>
        <w:rPr>
          <w:rtl/>
          <w:lang w:val="fr-FR"/>
        </w:rPr>
      </w:pPr>
      <w:r>
        <w:rPr>
          <w:rFonts w:hint="cs"/>
          <w:rtl/>
          <w:lang w:val="fr-FR" w:bidi="ar-LY"/>
        </w:rPr>
        <w:t>44</w:t>
      </w:r>
      <w:r w:rsidRPr="00676923">
        <w:rPr>
          <w:rtl/>
          <w:lang w:val="fr-FR" w:bidi="ar-EG"/>
        </w:rPr>
        <w:t>-</w:t>
      </w:r>
      <w:r w:rsidRPr="00676923">
        <w:rPr>
          <w:rtl/>
          <w:lang w:val="fr-FR" w:bidi="ar-EG"/>
        </w:rPr>
        <w:tab/>
      </w:r>
      <w:r w:rsidRPr="008F34FB">
        <w:rPr>
          <w:rFonts w:hint="cs"/>
          <w:rtl/>
          <w:lang w:val="fr-FR"/>
        </w:rPr>
        <w:t>تحظى التوصيات التالية بالقبول:</w:t>
      </w:r>
    </w:p>
    <w:p w14:paraId="1712A78B" w14:textId="77777777" w:rsidR="00BE69D6" w:rsidRPr="00676923" w:rsidRDefault="00BE69D6" w:rsidP="00BE69D6">
      <w:pPr>
        <w:pStyle w:val="SingleTxtGA"/>
        <w:rPr>
          <w:rFonts w:ascii="Traditional Arabic" w:hAnsi="Traditional Arabic"/>
          <w:sz w:val="28"/>
          <w:rtl/>
          <w:lang w:val="fr-FR"/>
        </w:rPr>
      </w:pPr>
      <w:r>
        <w:rPr>
          <w:rtl/>
          <w:lang w:val="fr-FR"/>
        </w:rPr>
        <w:tab/>
      </w:r>
      <w:r w:rsidRPr="008F34FB">
        <w:rPr>
          <w:rFonts w:ascii="Traditional Arabic" w:hAnsi="Traditional Arabic" w:hint="cs"/>
          <w:sz w:val="28"/>
        </w:rPr>
        <w:t>124-158, 124-207, 124-208, 124-209, 124-210, 124-211, 124-212, 124-214, 124-215, 124-216, 124-217, 124-218, 124-219.</w:t>
      </w:r>
    </w:p>
    <w:bookmarkEnd w:id="9"/>
    <w:p w14:paraId="41B24A33" w14:textId="77777777" w:rsidR="00BE69D6" w:rsidRDefault="00BE69D6" w:rsidP="00BE69D6">
      <w:pPr>
        <w:pStyle w:val="SingleTxtGA"/>
        <w:rPr>
          <w:rtl/>
          <w:lang w:val="fr-FR"/>
        </w:rPr>
      </w:pPr>
      <w:r>
        <w:rPr>
          <w:rFonts w:hint="cs"/>
          <w:rtl/>
          <w:lang w:val="fr-FR" w:bidi="ar-LY"/>
        </w:rPr>
        <w:t>45</w:t>
      </w:r>
      <w:r w:rsidRPr="00676923">
        <w:rPr>
          <w:rtl/>
          <w:lang w:val="fr-FR" w:bidi="ar-EG"/>
        </w:rPr>
        <w:t>-</w:t>
      </w:r>
      <w:r w:rsidRPr="00676923">
        <w:rPr>
          <w:rtl/>
          <w:lang w:val="fr-FR" w:bidi="ar-EG"/>
        </w:rPr>
        <w:tab/>
      </w:r>
      <w:r w:rsidRPr="009D3A16">
        <w:rPr>
          <w:rtl/>
          <w:lang w:val="fr-FR"/>
        </w:rPr>
        <w:t xml:space="preserve">حرصت الاستراتيجية الوطنية لحقوق الأشخاص </w:t>
      </w:r>
      <w:r w:rsidRPr="009D3A16">
        <w:rPr>
          <w:rFonts w:hint="cs"/>
          <w:rtl/>
          <w:lang w:val="fr-FR"/>
        </w:rPr>
        <w:t>ذوي الإعاقة</w:t>
      </w:r>
      <w:r w:rsidRPr="009D3A16">
        <w:rPr>
          <w:rtl/>
          <w:lang w:val="fr-FR"/>
        </w:rPr>
        <w:t xml:space="preserve"> على إيجاد مجتمع بحريني قائم على مبدأ الدمج، يتمكن فيه المواطنون ذوو الإعاقة من ممارسة كافة حقوقهم بشكل عادل ومتكافئ، وتستهدف هذه الاستراتيجية الأشخاص ذوي الإعاقة وأفراد عائلاتهم وكل المهتمين بتقديم خدمات لهذه الفئة من المجتمع المحلي.</w:t>
      </w:r>
    </w:p>
    <w:p w14:paraId="6FD56409" w14:textId="77777777" w:rsidR="00BE69D6" w:rsidRPr="00711843" w:rsidRDefault="00BE69D6" w:rsidP="00BE69D6">
      <w:pPr>
        <w:pStyle w:val="HChGA"/>
        <w:rPr>
          <w:rFonts w:eastAsia="MS Mincho"/>
          <w:rtl/>
        </w:rPr>
      </w:pPr>
      <w:r w:rsidRPr="000276DF">
        <w:rPr>
          <w:rFonts w:hint="cs"/>
          <w:rtl/>
          <w:lang w:eastAsia="ar-SA"/>
        </w:rPr>
        <w:tab/>
      </w:r>
      <w:r w:rsidRPr="00711843">
        <w:rPr>
          <w:rFonts w:eastAsia="MS Mincho"/>
          <w:rtl/>
        </w:rPr>
        <w:tab/>
      </w:r>
      <w:r w:rsidRPr="009D3A16">
        <w:rPr>
          <w:rFonts w:eastAsia="MS Mincho" w:hint="cs"/>
          <w:rtl/>
        </w:rPr>
        <w:t>المسائل المتعلقة بحماية المدافعين عن حقوق الإنسان والصحفيين والمجتمع المدني</w:t>
      </w:r>
    </w:p>
    <w:p w14:paraId="686BA17B" w14:textId="77777777" w:rsidR="00BE69D6" w:rsidRDefault="00BE69D6" w:rsidP="00BE69D6">
      <w:pPr>
        <w:pStyle w:val="SingleTxtGA"/>
        <w:rPr>
          <w:rtl/>
          <w:lang w:val="fr-FR"/>
        </w:rPr>
      </w:pPr>
      <w:r>
        <w:rPr>
          <w:rFonts w:hint="cs"/>
          <w:rtl/>
          <w:lang w:val="fr-FR" w:bidi="ar-LY"/>
        </w:rPr>
        <w:t>46</w:t>
      </w:r>
      <w:r w:rsidRPr="00676923">
        <w:rPr>
          <w:rtl/>
          <w:lang w:val="fr-FR" w:bidi="ar-EG"/>
        </w:rPr>
        <w:t>-</w:t>
      </w:r>
      <w:r w:rsidRPr="00676923">
        <w:rPr>
          <w:rtl/>
          <w:lang w:val="fr-FR" w:bidi="ar-EG"/>
        </w:rPr>
        <w:tab/>
      </w:r>
      <w:r w:rsidRPr="009D3A16">
        <w:rPr>
          <w:rFonts w:hint="cs"/>
          <w:rtl/>
          <w:lang w:val="fr-FR"/>
        </w:rPr>
        <w:t>تحظى التوصيات التالية بالقبول:</w:t>
      </w:r>
    </w:p>
    <w:p w14:paraId="041EE166" w14:textId="77777777" w:rsidR="00BE69D6" w:rsidRPr="00676923" w:rsidRDefault="00BE69D6" w:rsidP="00BE69D6">
      <w:pPr>
        <w:pStyle w:val="SingleTxtGA"/>
        <w:rPr>
          <w:rtl/>
          <w:lang w:val="fr-FR"/>
        </w:rPr>
      </w:pPr>
      <w:r>
        <w:rPr>
          <w:rtl/>
          <w:lang w:val="fr-FR"/>
        </w:rPr>
        <w:tab/>
      </w:r>
      <w:r w:rsidRPr="009D3A16">
        <w:rPr>
          <w:rFonts w:ascii="Traditional Arabic" w:hAnsi="Traditional Arabic" w:hint="cs"/>
          <w:sz w:val="28"/>
        </w:rPr>
        <w:t>124-39, 124-41, 124-42, 124-100, 124-101, 124-132, 124-137</w:t>
      </w:r>
      <w:r w:rsidRPr="009D3A16">
        <w:t>.</w:t>
      </w:r>
    </w:p>
    <w:p w14:paraId="2FB9C73E" w14:textId="77777777" w:rsidR="00BE69D6" w:rsidRPr="00676923" w:rsidRDefault="00BE69D6" w:rsidP="00BE69D6">
      <w:pPr>
        <w:pStyle w:val="SingleTxtGA"/>
        <w:rPr>
          <w:rtl/>
          <w:lang w:val="fr-FR"/>
        </w:rPr>
      </w:pPr>
      <w:r>
        <w:rPr>
          <w:rFonts w:hint="cs"/>
          <w:rtl/>
          <w:lang w:val="fr-FR" w:bidi="ar-LY"/>
        </w:rPr>
        <w:t>47</w:t>
      </w:r>
      <w:r w:rsidRPr="00676923">
        <w:rPr>
          <w:rtl/>
          <w:lang w:val="fr-FR" w:bidi="ar-EG"/>
        </w:rPr>
        <w:t>-</w:t>
      </w:r>
      <w:r w:rsidRPr="00676923">
        <w:rPr>
          <w:rtl/>
          <w:lang w:val="fr-FR" w:bidi="ar-EG"/>
        </w:rPr>
        <w:tab/>
      </w:r>
      <w:r w:rsidRPr="003875EA">
        <w:rPr>
          <w:rtl/>
          <w:lang w:val="fr-FR"/>
        </w:rPr>
        <w:t>يبلغ عدد منظمات المجتمع المدني بمملكة البحرين ٦٦٦ والتي تمارس انشطتها بمختلف المجالات</w:t>
      </w:r>
      <w:r w:rsidRPr="003875EA">
        <w:rPr>
          <w:rFonts w:hint="cs"/>
          <w:rtl/>
          <w:lang w:val="fr-FR"/>
        </w:rPr>
        <w:t>،</w:t>
      </w:r>
      <w:r w:rsidRPr="003875EA">
        <w:rPr>
          <w:rtl/>
          <w:lang w:val="fr-FR"/>
        </w:rPr>
        <w:t xml:space="preserve"> وقد نظم قانون رقم (21) لسنة 1989 بإصدار قانون الجمعيات والأندية الاجتماعية والثقافية والهيئات العامة في ميدان الشباب والرياضة والمؤسسات الخاصة،</w:t>
      </w:r>
      <w:r w:rsidRPr="003875EA">
        <w:rPr>
          <w:rFonts w:hint="cs"/>
          <w:rtl/>
          <w:lang w:val="fr-FR"/>
        </w:rPr>
        <w:t xml:space="preserve"> مسألة</w:t>
      </w:r>
      <w:r w:rsidRPr="003875EA">
        <w:rPr>
          <w:rtl/>
          <w:lang w:val="fr-FR"/>
        </w:rPr>
        <w:t xml:space="preserve"> تأسيس وعمل الجمعيات والأندية الاجتماعية في مملكة البحرين.</w:t>
      </w:r>
    </w:p>
    <w:p w14:paraId="051D706A" w14:textId="77777777" w:rsidR="00BE69D6" w:rsidRDefault="00BE69D6" w:rsidP="00BE69D6">
      <w:pPr>
        <w:pStyle w:val="SingleTxtGA"/>
        <w:rPr>
          <w:rtl/>
          <w:lang w:val="fr-FR"/>
        </w:rPr>
      </w:pPr>
      <w:r>
        <w:rPr>
          <w:rFonts w:hint="cs"/>
          <w:rtl/>
          <w:lang w:val="fr-FR" w:bidi="ar-LY"/>
        </w:rPr>
        <w:t>48</w:t>
      </w:r>
      <w:r w:rsidRPr="00676923">
        <w:rPr>
          <w:rtl/>
          <w:lang w:val="fr-FR" w:bidi="ar-EG"/>
        </w:rPr>
        <w:t>-</w:t>
      </w:r>
      <w:r w:rsidRPr="00676923">
        <w:rPr>
          <w:rtl/>
          <w:lang w:val="fr-FR" w:bidi="ar-EG"/>
        </w:rPr>
        <w:tab/>
      </w:r>
      <w:r w:rsidRPr="003875EA">
        <w:rPr>
          <w:rFonts w:hint="cs"/>
          <w:rtl/>
          <w:lang w:val="fr-FR"/>
        </w:rPr>
        <w:t>أُخذ بالعلم بالتوصيات التالية:</w:t>
      </w:r>
    </w:p>
    <w:p w14:paraId="556E52A5" w14:textId="77777777" w:rsidR="00BE69D6" w:rsidRPr="00676923" w:rsidRDefault="00BE69D6" w:rsidP="00BE69D6">
      <w:pPr>
        <w:pStyle w:val="SingleTxtGA"/>
        <w:rPr>
          <w:rFonts w:ascii="Traditional Arabic" w:hAnsi="Traditional Arabic"/>
          <w:sz w:val="28"/>
          <w:rtl/>
          <w:lang w:val="fr-FR"/>
        </w:rPr>
      </w:pPr>
      <w:r>
        <w:rPr>
          <w:rtl/>
          <w:lang w:val="fr-FR"/>
        </w:rPr>
        <w:tab/>
      </w:r>
      <w:r w:rsidRPr="003875EA">
        <w:rPr>
          <w:rFonts w:ascii="Traditional Arabic" w:hAnsi="Traditional Arabic" w:hint="cs"/>
          <w:sz w:val="28"/>
        </w:rPr>
        <w:t>124-108, 124-129.</w:t>
      </w:r>
    </w:p>
    <w:p w14:paraId="0465705E" w14:textId="77777777" w:rsidR="00BE69D6" w:rsidRPr="00711843" w:rsidRDefault="00BE69D6" w:rsidP="00BE69D6">
      <w:pPr>
        <w:pStyle w:val="HChGA"/>
        <w:rPr>
          <w:rFonts w:eastAsia="MS Mincho"/>
          <w:rtl/>
        </w:rPr>
      </w:pPr>
      <w:r w:rsidRPr="000276DF">
        <w:rPr>
          <w:rFonts w:hint="cs"/>
          <w:rtl/>
          <w:lang w:eastAsia="ar-SA"/>
        </w:rPr>
        <w:tab/>
      </w:r>
      <w:r w:rsidRPr="00711843">
        <w:rPr>
          <w:rFonts w:eastAsia="MS Mincho"/>
          <w:rtl/>
        </w:rPr>
        <w:tab/>
      </w:r>
      <w:r w:rsidRPr="005C16AE">
        <w:rPr>
          <w:rFonts w:eastAsia="MS Mincho" w:hint="cs"/>
          <w:rtl/>
        </w:rPr>
        <w:t>المسائل المتعلقة بمواصلة الجهود المبذولة في تعزيز حرية التعبير عن الرأي وحرية التجمع السلمي</w:t>
      </w:r>
    </w:p>
    <w:p w14:paraId="42947341" w14:textId="77777777" w:rsidR="00BE69D6" w:rsidRDefault="00BE69D6" w:rsidP="00BE69D6">
      <w:pPr>
        <w:pStyle w:val="SingleTxtGA"/>
        <w:rPr>
          <w:rtl/>
          <w:lang w:val="fr-FR"/>
        </w:rPr>
      </w:pPr>
      <w:bookmarkStart w:id="10" w:name="_Hlk127286377"/>
      <w:r>
        <w:rPr>
          <w:rFonts w:hint="cs"/>
          <w:rtl/>
          <w:lang w:val="fr-FR" w:bidi="ar-LY"/>
        </w:rPr>
        <w:t>49</w:t>
      </w:r>
      <w:r w:rsidRPr="00676923">
        <w:rPr>
          <w:rtl/>
          <w:lang w:val="fr-FR" w:bidi="ar-EG"/>
        </w:rPr>
        <w:t>-</w:t>
      </w:r>
      <w:r w:rsidRPr="00676923">
        <w:rPr>
          <w:rtl/>
          <w:lang w:val="fr-FR" w:bidi="ar-EG"/>
        </w:rPr>
        <w:tab/>
      </w:r>
      <w:r w:rsidRPr="005C16AE">
        <w:rPr>
          <w:rFonts w:hint="cs"/>
          <w:rtl/>
          <w:lang w:val="fr-FR"/>
        </w:rPr>
        <w:t>تحظى التوصيات التالية بالقبول:</w:t>
      </w:r>
    </w:p>
    <w:p w14:paraId="54166BCA" w14:textId="77777777" w:rsidR="00BE69D6" w:rsidRPr="00676923" w:rsidRDefault="00BE69D6" w:rsidP="00BE69D6">
      <w:pPr>
        <w:pStyle w:val="SingleTxtGA"/>
        <w:rPr>
          <w:rtl/>
          <w:lang w:val="fr-FR"/>
        </w:rPr>
      </w:pPr>
      <w:r>
        <w:rPr>
          <w:rtl/>
          <w:lang w:val="fr-FR"/>
        </w:rPr>
        <w:tab/>
      </w:r>
      <w:r w:rsidRPr="005C16AE">
        <w:rPr>
          <w:rFonts w:ascii="Traditional Arabic" w:hAnsi="Traditional Arabic" w:hint="cs"/>
          <w:sz w:val="28"/>
        </w:rPr>
        <w:t>124-114, 124-115, 124-118, 124-127, 124-128, 124-130, 124-134</w:t>
      </w:r>
      <w:r w:rsidRPr="005C16AE">
        <w:t>.</w:t>
      </w:r>
    </w:p>
    <w:p w14:paraId="7B3202CA" w14:textId="77777777" w:rsidR="00BE69D6" w:rsidRPr="00676923" w:rsidRDefault="00BE69D6" w:rsidP="00BE69D6">
      <w:pPr>
        <w:pStyle w:val="SingleTxtGA"/>
        <w:rPr>
          <w:rtl/>
          <w:lang w:val="fr-FR"/>
        </w:rPr>
      </w:pPr>
      <w:r>
        <w:rPr>
          <w:rFonts w:hint="cs"/>
          <w:rtl/>
          <w:lang w:val="fr-FR" w:bidi="ar-LY"/>
        </w:rPr>
        <w:t>50</w:t>
      </w:r>
      <w:r w:rsidRPr="00676923">
        <w:rPr>
          <w:rtl/>
          <w:lang w:val="fr-FR" w:bidi="ar-EG"/>
        </w:rPr>
        <w:t>-</w:t>
      </w:r>
      <w:r w:rsidRPr="00676923">
        <w:rPr>
          <w:rtl/>
          <w:lang w:val="fr-FR" w:bidi="ar-EG"/>
        </w:rPr>
        <w:tab/>
      </w:r>
      <w:r w:rsidRPr="005C16AE">
        <w:rPr>
          <w:rtl/>
          <w:lang w:val="fr-FR"/>
        </w:rPr>
        <w:t>كفل دستور مملكة البحرين الحق في حرية التعبير وتكوين الجمعيات والتجمع السلمي بموجب المواد (22) و(23) و(27) و(28) الفقرة (ب). كما منح الدستور البحريني الحرية في تكوين الجمعيات والنقابات، مشترطاً أن تنشأ هذه الجمعيات والنقابات على أسس وطنية ولأهداف مشروعة وبوسائل سلمية، مكفولة وفقاً للشروط والأوضاع التي يبينها القانون، بشرط عدم المساس بأسس الدين والنظام العام.</w:t>
      </w:r>
    </w:p>
    <w:p w14:paraId="48A1FA7D" w14:textId="77777777" w:rsidR="00BE69D6" w:rsidRDefault="00BE69D6" w:rsidP="00BE69D6">
      <w:pPr>
        <w:pStyle w:val="SingleTxtGA"/>
        <w:rPr>
          <w:rtl/>
          <w:lang w:val="fr-FR"/>
        </w:rPr>
      </w:pPr>
      <w:r>
        <w:rPr>
          <w:rFonts w:hint="cs"/>
          <w:rtl/>
          <w:lang w:val="fr-FR" w:bidi="ar-LY"/>
        </w:rPr>
        <w:t>51</w:t>
      </w:r>
      <w:r w:rsidRPr="00676923">
        <w:rPr>
          <w:rtl/>
          <w:lang w:val="fr-FR" w:bidi="ar-EG"/>
        </w:rPr>
        <w:t>-</w:t>
      </w:r>
      <w:r w:rsidRPr="00676923">
        <w:rPr>
          <w:rtl/>
          <w:lang w:val="fr-FR" w:bidi="ar-EG"/>
        </w:rPr>
        <w:tab/>
      </w:r>
      <w:r w:rsidRPr="005C16AE">
        <w:rPr>
          <w:rFonts w:hint="cs"/>
          <w:rtl/>
          <w:lang w:val="fr-FR"/>
        </w:rPr>
        <w:t>أُخذ بالعلم بالتوصيات التالية:</w:t>
      </w:r>
    </w:p>
    <w:p w14:paraId="09137809" w14:textId="77777777" w:rsidR="00BE69D6" w:rsidRPr="00676923" w:rsidRDefault="00BE69D6" w:rsidP="00BE69D6">
      <w:pPr>
        <w:pStyle w:val="SingleTxtGA"/>
        <w:rPr>
          <w:rtl/>
          <w:lang w:val="fr-FR"/>
        </w:rPr>
      </w:pPr>
      <w:r>
        <w:rPr>
          <w:rtl/>
          <w:lang w:val="fr-FR"/>
        </w:rPr>
        <w:tab/>
      </w:r>
      <w:r w:rsidRPr="005C16AE">
        <w:rPr>
          <w:rFonts w:ascii="Traditional Arabic" w:hAnsi="Traditional Arabic" w:hint="cs"/>
          <w:sz w:val="28"/>
        </w:rPr>
        <w:t>124-117, 124-119, 124-120, 124-123, 124-131</w:t>
      </w:r>
      <w:r w:rsidRPr="005C16AE">
        <w:t>.</w:t>
      </w:r>
    </w:p>
    <w:p w14:paraId="4AF0B6F4" w14:textId="77777777" w:rsidR="00BE69D6" w:rsidRPr="00711843" w:rsidRDefault="00BE69D6" w:rsidP="00BE69D6">
      <w:pPr>
        <w:pStyle w:val="HChGA"/>
        <w:rPr>
          <w:rFonts w:eastAsia="MS Mincho"/>
          <w:rtl/>
        </w:rPr>
      </w:pPr>
      <w:r w:rsidRPr="000276DF">
        <w:rPr>
          <w:rFonts w:hint="cs"/>
          <w:rtl/>
          <w:lang w:eastAsia="ar-SA"/>
        </w:rPr>
        <w:tab/>
      </w:r>
      <w:r w:rsidRPr="00711843">
        <w:rPr>
          <w:rFonts w:eastAsia="MS Mincho"/>
          <w:rtl/>
        </w:rPr>
        <w:tab/>
      </w:r>
      <w:r w:rsidRPr="005C16AE">
        <w:rPr>
          <w:rFonts w:eastAsia="MS Mincho" w:hint="cs"/>
          <w:rtl/>
        </w:rPr>
        <w:t>المسائل المتعلقة ب</w:t>
      </w:r>
      <w:r w:rsidRPr="005C16AE">
        <w:rPr>
          <w:rFonts w:eastAsia="MS Mincho" w:hint="cs"/>
          <w:rtl/>
          <w:lang w:bidi="ar-BH"/>
        </w:rPr>
        <w:t>الجنسية</w:t>
      </w:r>
    </w:p>
    <w:p w14:paraId="0FA785A3" w14:textId="77777777" w:rsidR="00BE69D6" w:rsidRDefault="00BE69D6" w:rsidP="00BE69D6">
      <w:pPr>
        <w:pStyle w:val="SingleTxtGA"/>
        <w:rPr>
          <w:rtl/>
          <w:lang w:val="fr-FR"/>
        </w:rPr>
      </w:pPr>
      <w:r>
        <w:rPr>
          <w:rFonts w:hint="cs"/>
          <w:rtl/>
          <w:lang w:val="fr-FR" w:bidi="ar-LY"/>
        </w:rPr>
        <w:t>52</w:t>
      </w:r>
      <w:r w:rsidRPr="00676923">
        <w:rPr>
          <w:rtl/>
          <w:lang w:val="fr-FR" w:bidi="ar-EG"/>
        </w:rPr>
        <w:t>-</w:t>
      </w:r>
      <w:r w:rsidRPr="00676923">
        <w:rPr>
          <w:rtl/>
          <w:lang w:val="fr-FR" w:bidi="ar-EG"/>
        </w:rPr>
        <w:tab/>
      </w:r>
      <w:r w:rsidRPr="005C16AE">
        <w:rPr>
          <w:rFonts w:hint="cs"/>
          <w:rtl/>
          <w:lang w:val="fr-FR"/>
        </w:rPr>
        <w:t>تحظى التوصيات التالية بالقبول:</w:t>
      </w:r>
    </w:p>
    <w:p w14:paraId="28BE6D46" w14:textId="4C7BD34D" w:rsidR="00BE69D6" w:rsidRPr="00676923" w:rsidRDefault="00BE69D6" w:rsidP="00BE69D6">
      <w:pPr>
        <w:pStyle w:val="SingleTxtGA"/>
        <w:rPr>
          <w:rtl/>
          <w:lang w:val="fr-FR"/>
        </w:rPr>
      </w:pPr>
      <w:r>
        <w:rPr>
          <w:rtl/>
          <w:lang w:val="fr-FR"/>
        </w:rPr>
        <w:tab/>
      </w:r>
      <w:r w:rsidRPr="005C16AE">
        <w:rPr>
          <w:rFonts w:ascii="Traditional Arabic" w:hAnsi="Traditional Arabic" w:hint="cs"/>
          <w:sz w:val="28"/>
        </w:rPr>
        <w:t>124-170, 124-233, 124-234, 124-235, 124-236, 124-237, 124-238, 124-240</w:t>
      </w:r>
      <w:r w:rsidR="002F6166">
        <w:rPr>
          <w:rFonts w:ascii="Traditional Arabic" w:hAnsi="Traditional Arabic"/>
          <w:sz w:val="28"/>
        </w:rPr>
        <w:t>, 124-244</w:t>
      </w:r>
      <w:r w:rsidRPr="005C16AE">
        <w:t>.</w:t>
      </w:r>
    </w:p>
    <w:bookmarkEnd w:id="10"/>
    <w:p w14:paraId="2C72CC9B" w14:textId="77777777" w:rsidR="00BE69D6" w:rsidRDefault="00BE69D6" w:rsidP="00BE69D6">
      <w:pPr>
        <w:pStyle w:val="SingleTxtGA"/>
        <w:rPr>
          <w:rtl/>
          <w:lang w:val="fr-FR"/>
        </w:rPr>
      </w:pPr>
      <w:r>
        <w:rPr>
          <w:rFonts w:hint="cs"/>
          <w:rtl/>
          <w:lang w:val="fr-FR" w:bidi="ar-LY"/>
        </w:rPr>
        <w:t>53</w:t>
      </w:r>
      <w:r w:rsidRPr="00676923">
        <w:rPr>
          <w:rtl/>
          <w:lang w:val="fr-FR" w:bidi="ar-EG"/>
        </w:rPr>
        <w:t>-</w:t>
      </w:r>
      <w:r w:rsidRPr="00676923">
        <w:rPr>
          <w:rtl/>
          <w:lang w:val="fr-FR" w:bidi="ar-EG"/>
        </w:rPr>
        <w:tab/>
      </w:r>
      <w:r w:rsidRPr="005C16AE">
        <w:rPr>
          <w:rFonts w:hint="cs"/>
          <w:rtl/>
          <w:lang w:val="fr-FR"/>
        </w:rPr>
        <w:t>أُخذ بالعلم بالتوصيات التالية:</w:t>
      </w:r>
    </w:p>
    <w:p w14:paraId="4B20164C" w14:textId="080F67C1" w:rsidR="00BE69D6" w:rsidRPr="00676923" w:rsidRDefault="00BE69D6" w:rsidP="00BE69D6">
      <w:pPr>
        <w:pStyle w:val="SingleTxtGA"/>
        <w:rPr>
          <w:rtl/>
          <w:lang w:val="fr-FR"/>
        </w:rPr>
      </w:pPr>
      <w:r>
        <w:rPr>
          <w:rtl/>
          <w:lang w:val="fr-FR"/>
        </w:rPr>
        <w:tab/>
      </w:r>
      <w:r w:rsidRPr="005C16AE">
        <w:rPr>
          <w:rFonts w:ascii="Traditional Arabic" w:hAnsi="Traditional Arabic" w:hint="cs"/>
          <w:sz w:val="28"/>
        </w:rPr>
        <w:t xml:space="preserve">124-67, 124-232, 124-239, 124-241, 124-242, 124-243 </w:t>
      </w:r>
    </w:p>
    <w:p w14:paraId="29044018" w14:textId="77777777" w:rsidR="00BE69D6" w:rsidRDefault="00BE69D6" w:rsidP="00BE69D6">
      <w:pPr>
        <w:pStyle w:val="SingleTxtGA"/>
        <w:rPr>
          <w:rtl/>
          <w:lang w:val="fr-FR"/>
        </w:rPr>
      </w:pPr>
      <w:r>
        <w:rPr>
          <w:rFonts w:hint="cs"/>
          <w:rtl/>
          <w:lang w:val="fr-FR" w:bidi="ar-LY"/>
        </w:rPr>
        <w:t>54</w:t>
      </w:r>
      <w:r w:rsidRPr="00676923">
        <w:rPr>
          <w:rtl/>
          <w:lang w:val="fr-FR" w:bidi="ar-EG"/>
        </w:rPr>
        <w:t>-</w:t>
      </w:r>
      <w:r w:rsidRPr="00676923">
        <w:rPr>
          <w:rtl/>
          <w:lang w:val="fr-FR" w:bidi="ar-EG"/>
        </w:rPr>
        <w:tab/>
      </w:r>
      <w:r w:rsidRPr="005C16AE">
        <w:rPr>
          <w:rtl/>
          <w:lang w:val="fr-FR"/>
        </w:rPr>
        <w:t xml:space="preserve">يتم دراسة تمكين المرأة البحرينية المتزوجة من أجنبي من نقل جنسيتها إلى أطفالها باهتمام كبير بالتعاون مع السلطة التشريعية وفي </w:t>
      </w:r>
      <w:r w:rsidRPr="005C16AE">
        <w:rPr>
          <w:rFonts w:hint="cs"/>
          <w:rtl/>
          <w:lang w:val="fr-FR"/>
        </w:rPr>
        <w:t>إ</w:t>
      </w:r>
      <w:r w:rsidRPr="005C16AE">
        <w:rPr>
          <w:rtl/>
          <w:lang w:val="fr-FR"/>
        </w:rPr>
        <w:t xml:space="preserve">طار مناقشات تراعي </w:t>
      </w:r>
      <w:r w:rsidRPr="005C16AE">
        <w:rPr>
          <w:rFonts w:hint="cs"/>
          <w:rtl/>
          <w:lang w:val="fr-FR"/>
        </w:rPr>
        <w:t>أبعاد الموضوع المتعددة</w:t>
      </w:r>
      <w:r w:rsidRPr="005C16AE">
        <w:rPr>
          <w:rtl/>
          <w:lang w:val="fr-FR"/>
        </w:rPr>
        <w:t>. وفي هذا الإطار، تسعى المملكة جاهدة إلى كفالة حقوق أبناء المرأة البحرينية المتزوجة من أجنبي عن طريق اتخاذ عدد من التدابير التي تراعي حق استفادة أبنائها من الخدمات التعليمية والصحية وعدد من الخدمات الحكومية المقررة، لضمان معاملة أبنائها بمثل معاملة الأبناء البحرينيين، مما كان له فائدة كبيرة على حياة أبناء البحرينية وساهم في احتواء إشكالات عدم تمتعهم بالجنسية البحرينية</w:t>
      </w:r>
      <w:r w:rsidRPr="005C16AE">
        <w:rPr>
          <w:lang w:bidi="ar-EG"/>
        </w:rPr>
        <w:t>.</w:t>
      </w:r>
      <w:r w:rsidRPr="005C16AE">
        <w:rPr>
          <w:rFonts w:hint="cs"/>
          <w:rtl/>
          <w:lang w:val="fr-FR"/>
        </w:rPr>
        <w:t xml:space="preserve"> كما </w:t>
      </w:r>
      <w:r w:rsidRPr="005C16AE">
        <w:rPr>
          <w:rFonts w:hint="cs"/>
          <w:rtl/>
          <w:lang w:val="fr-FR" w:bidi="ar-BH"/>
        </w:rPr>
        <w:t xml:space="preserve">تؤكد مملكة البحرين على أنه لا يوجد </w:t>
      </w:r>
      <w:r w:rsidRPr="005C16AE">
        <w:rPr>
          <w:rFonts w:hint="cs"/>
          <w:rtl/>
          <w:lang w:val="fr-FR"/>
        </w:rPr>
        <w:t>ما يسمى بعديمي الجنسية في مملكة البحرين.</w:t>
      </w:r>
    </w:p>
    <w:p w14:paraId="231BB46F" w14:textId="77777777" w:rsidR="00BE69D6" w:rsidRPr="00711843" w:rsidRDefault="00BE69D6" w:rsidP="00BE69D6">
      <w:pPr>
        <w:pStyle w:val="HChGA"/>
        <w:rPr>
          <w:rFonts w:eastAsia="MS Mincho"/>
          <w:rtl/>
        </w:rPr>
      </w:pPr>
      <w:bookmarkStart w:id="11" w:name="_Hlk127284684"/>
      <w:r w:rsidRPr="000276DF">
        <w:rPr>
          <w:rFonts w:hint="cs"/>
          <w:rtl/>
          <w:lang w:eastAsia="ar-SA"/>
        </w:rPr>
        <w:tab/>
      </w:r>
      <w:r w:rsidRPr="00711843">
        <w:rPr>
          <w:rFonts w:eastAsia="MS Mincho"/>
          <w:rtl/>
        </w:rPr>
        <w:tab/>
      </w:r>
      <w:r w:rsidRPr="005C16AE">
        <w:rPr>
          <w:rFonts w:eastAsia="MS Mincho" w:hint="cs"/>
          <w:rtl/>
        </w:rPr>
        <w:t>المسائل المتعلقة بالعدالة الجنائية</w:t>
      </w:r>
    </w:p>
    <w:bookmarkEnd w:id="11"/>
    <w:p w14:paraId="0A93F472" w14:textId="157CA369" w:rsidR="002F6166" w:rsidRDefault="00BE69D6" w:rsidP="00BE69D6">
      <w:pPr>
        <w:pStyle w:val="SingleTxtGA"/>
        <w:rPr>
          <w:lang w:val="fr-FR" w:bidi="ar-EG"/>
        </w:rPr>
      </w:pPr>
      <w:r>
        <w:rPr>
          <w:rFonts w:hint="cs"/>
          <w:rtl/>
          <w:lang w:val="fr-FR" w:bidi="ar-LY"/>
        </w:rPr>
        <w:t>55</w:t>
      </w:r>
      <w:r w:rsidRPr="00676923">
        <w:rPr>
          <w:rtl/>
          <w:lang w:val="fr-FR" w:bidi="ar-EG"/>
        </w:rPr>
        <w:t>-</w:t>
      </w:r>
      <w:r w:rsidR="002F6166" w:rsidRPr="002F6166">
        <w:rPr>
          <w:rtl/>
        </w:rPr>
        <w:t xml:space="preserve"> </w:t>
      </w:r>
      <w:r w:rsidR="005838CF">
        <w:tab/>
      </w:r>
      <w:r w:rsidR="002F6166" w:rsidRPr="002F6166">
        <w:rPr>
          <w:rtl/>
          <w:lang w:val="fr-FR" w:bidi="ar-EG"/>
        </w:rPr>
        <w:t>تحظى التوصيات التالية بالقبول:</w:t>
      </w:r>
    </w:p>
    <w:p w14:paraId="6995A1F9" w14:textId="46F86932" w:rsidR="005838CF" w:rsidRDefault="005838CF" w:rsidP="00BE69D6">
      <w:pPr>
        <w:pStyle w:val="SingleTxtGA"/>
        <w:rPr>
          <w:lang w:val="fr-FR" w:bidi="ar-EG"/>
        </w:rPr>
      </w:pPr>
      <w:r>
        <w:rPr>
          <w:lang w:val="fr-FR" w:bidi="ar-LY"/>
        </w:rPr>
        <w:tab/>
      </w:r>
      <w:r w:rsidRPr="00916CB0">
        <w:rPr>
          <w:rFonts w:ascii="Traditional Arabic" w:hAnsi="Traditional Arabic"/>
          <w:sz w:val="28"/>
          <w:lang w:val="fr-FR"/>
        </w:rPr>
        <w:t>124-88, 124-89.</w:t>
      </w:r>
    </w:p>
    <w:p w14:paraId="78E5C662" w14:textId="1F139BB9" w:rsidR="00BE69D6" w:rsidRDefault="005838CF" w:rsidP="00BE69D6">
      <w:pPr>
        <w:pStyle w:val="SingleTxtGA"/>
        <w:rPr>
          <w:rtl/>
          <w:lang w:val="fr-FR"/>
        </w:rPr>
      </w:pPr>
      <w:r w:rsidRPr="00916CB0">
        <w:rPr>
          <w:sz w:val="28"/>
          <w:lang w:val="fr-FR" w:bidi="ar-LY"/>
        </w:rPr>
        <w:t>56</w:t>
      </w:r>
      <w:r w:rsidRPr="00916CB0">
        <w:rPr>
          <w:rFonts w:ascii="Traditional Arabic" w:hAnsi="Traditional Arabic"/>
          <w:sz w:val="28"/>
          <w:rtl/>
          <w:lang w:val="fr-FR" w:bidi="ar-LY"/>
        </w:rPr>
        <w:t>-</w:t>
      </w:r>
      <w:r w:rsidR="00BE69D6" w:rsidRPr="00676923">
        <w:rPr>
          <w:rtl/>
          <w:lang w:val="fr-FR" w:bidi="ar-EG"/>
        </w:rPr>
        <w:tab/>
      </w:r>
      <w:r w:rsidR="00BE69D6" w:rsidRPr="005C16AE">
        <w:rPr>
          <w:rFonts w:hint="cs"/>
          <w:rtl/>
          <w:lang w:val="fr-FR"/>
        </w:rPr>
        <w:t>أُخذ بالعلم بالتوصيات التالية:</w:t>
      </w:r>
    </w:p>
    <w:p w14:paraId="21F8A96C" w14:textId="520C081E" w:rsidR="00BE69D6" w:rsidRPr="00676923" w:rsidRDefault="00BE69D6" w:rsidP="00BE69D6">
      <w:pPr>
        <w:pStyle w:val="SingleTxtGA"/>
        <w:rPr>
          <w:rFonts w:ascii="Traditional Arabic" w:hAnsi="Traditional Arabic"/>
          <w:sz w:val="28"/>
          <w:rtl/>
          <w:lang w:val="fr-FR"/>
        </w:rPr>
      </w:pPr>
      <w:r>
        <w:rPr>
          <w:rtl/>
          <w:lang w:val="fr-FR"/>
        </w:rPr>
        <w:tab/>
      </w:r>
      <w:r w:rsidRPr="00916CB0">
        <w:rPr>
          <w:rFonts w:ascii="Traditional Arabic" w:hAnsi="Traditional Arabic"/>
          <w:sz w:val="28"/>
          <w:lang w:val="fr-FR"/>
        </w:rPr>
        <w:t>124-5, 124-6, 124-7, 124-8, 124-9, 124-70, 124-71, 124-72, 124-73, 124-74, 124-75, 124-76, 124-77, 124-78, 124-79, 124-80, 124-81, 124-82, 124-83, 124-84, 124-85, 124-86, 124-87, 124-90, 124-94, 124-95, 124-124, 124-125, 124-126.</w:t>
      </w:r>
    </w:p>
    <w:p w14:paraId="5B88459C" w14:textId="3A4E11DC" w:rsidR="00BE69D6" w:rsidRPr="00676923" w:rsidRDefault="005838CF" w:rsidP="00BE69D6">
      <w:pPr>
        <w:pStyle w:val="SingleTxtGA"/>
        <w:rPr>
          <w:rtl/>
          <w:lang w:val="fr-FR"/>
        </w:rPr>
      </w:pPr>
      <w:r w:rsidRPr="00916CB0">
        <w:rPr>
          <w:sz w:val="28"/>
          <w:lang w:val="fr-FR" w:bidi="ar-LY"/>
        </w:rPr>
        <w:t>57</w:t>
      </w:r>
      <w:r w:rsidR="00BE69D6" w:rsidRPr="00676923">
        <w:rPr>
          <w:rtl/>
          <w:lang w:val="fr-FR" w:bidi="ar-EG"/>
        </w:rPr>
        <w:t>-</w:t>
      </w:r>
      <w:r w:rsidR="00B41921">
        <w:rPr>
          <w:lang w:val="fr-FR" w:bidi="ar-EG"/>
        </w:rPr>
        <w:tab/>
      </w:r>
      <w:r w:rsidR="00BE69D6" w:rsidRPr="005C16AE">
        <w:rPr>
          <w:rFonts w:hint="cs"/>
          <w:rtl/>
          <w:lang w:val="fr-FR" w:bidi="ar-BH"/>
        </w:rPr>
        <w:t xml:space="preserve">إن التطور الذي شهدته منظومة العدالة الجنائية في مملكة البحرين حقق </w:t>
      </w:r>
      <w:r w:rsidR="00BE69D6" w:rsidRPr="005C16AE">
        <w:rPr>
          <w:rtl/>
          <w:lang w:val="fr-FR" w:bidi="ar-BH"/>
        </w:rPr>
        <w:t>إنجازات حقوقية مهمة بهدف تعزيز حماية حقوق الإنسان وضمان مبدأ المساءلة في إطار تكريس سيادة القانون</w:t>
      </w:r>
      <w:r w:rsidR="00BE69D6" w:rsidRPr="005C16AE">
        <w:rPr>
          <w:rFonts w:hint="cs"/>
          <w:rtl/>
          <w:lang w:val="fr-FR" w:bidi="ar-BH"/>
        </w:rPr>
        <w:t xml:space="preserve">، مثل إنشاء آليات وسبل انتصاف مستقلة وضمان استقلال القضاء والمحاكمات العادلة. حيث تؤكد مملكة البحرين </w:t>
      </w:r>
      <w:r w:rsidR="00BE69D6" w:rsidRPr="005C16AE">
        <w:rPr>
          <w:rFonts w:hint="cs"/>
          <w:rtl/>
          <w:lang w:val="fr-FR"/>
        </w:rPr>
        <w:t>على أن عقوبة الإعدام</w:t>
      </w:r>
      <w:r w:rsidR="00BE69D6" w:rsidRPr="005C16AE">
        <w:rPr>
          <w:rtl/>
          <w:lang w:val="fr-FR"/>
        </w:rPr>
        <w:t xml:space="preserve"> </w:t>
      </w:r>
      <w:r w:rsidR="00BE69D6" w:rsidRPr="005C16AE">
        <w:rPr>
          <w:rFonts w:hint="cs"/>
          <w:rtl/>
          <w:lang w:val="fr-FR"/>
        </w:rPr>
        <w:t>تنفذ بشكل محدود جداً على الجرائم الشديدة الخطورة وذلك بعد المرور بجميع مراحل التقاضي ووفق الضمانات التي حددها القانون. كما تؤكد المملكة</w:t>
      </w:r>
      <w:r w:rsidR="00BE69D6" w:rsidRPr="005C16AE">
        <w:rPr>
          <w:rFonts w:hint="cs"/>
          <w:rtl/>
          <w:lang w:val="fr-FR" w:bidi="ar-BH"/>
        </w:rPr>
        <w:t xml:space="preserve"> على أنه لا يوجد </w:t>
      </w:r>
      <w:r w:rsidR="00BE69D6" w:rsidRPr="005C16AE">
        <w:rPr>
          <w:rFonts w:hint="cs"/>
          <w:rtl/>
          <w:lang w:val="fr-FR"/>
        </w:rPr>
        <w:t>ما يسمى بالسجناء السياسيين في مملكة البحرين حيث إن المحكوم عليهم قد تمت محاكمتهم بسبب ارتكابهم أفعال مخالفة للقانون الوطني ضمن محاكمات عادلة وفي ظل قضاء مستقل.</w:t>
      </w:r>
    </w:p>
    <w:p w14:paraId="24399DFD" w14:textId="285C9010" w:rsidR="00A31A27" w:rsidRPr="00A31A27" w:rsidRDefault="00A31A27" w:rsidP="00A31A27">
      <w:pPr>
        <w:spacing w:before="120"/>
        <w:jc w:val="center"/>
        <w:rPr>
          <w:u w:val="single"/>
          <w:rtl/>
          <w:lang w:eastAsia="zh-TW" w:bidi="ar-DZ"/>
        </w:rPr>
      </w:pPr>
      <w:r>
        <w:rPr>
          <w:u w:val="single"/>
          <w:rtl/>
          <w:lang w:eastAsia="zh-TW" w:bidi="ar-DZ"/>
        </w:rPr>
        <w:tab/>
      </w:r>
      <w:r>
        <w:rPr>
          <w:u w:val="single"/>
          <w:rtl/>
          <w:lang w:eastAsia="zh-TW" w:bidi="ar-DZ"/>
        </w:rPr>
        <w:tab/>
      </w:r>
      <w:r>
        <w:rPr>
          <w:u w:val="single"/>
          <w:rtl/>
          <w:lang w:eastAsia="zh-TW" w:bidi="ar-DZ"/>
        </w:rPr>
        <w:tab/>
      </w:r>
    </w:p>
    <w:sectPr w:rsidR="00A31A27" w:rsidRPr="00A31A27" w:rsidSect="009C6B1B">
      <w:headerReference w:type="even" r:id="rId11"/>
      <w:headerReference w:type="default" r:id="rId12"/>
      <w:footerReference w:type="even" r:id="rId13"/>
      <w:footerReference w:type="default" r:id="rId14"/>
      <w:endnotePr>
        <w:numFmt w:val="decimal"/>
      </w:endnotePr>
      <w:type w:val="continuous"/>
      <w:pgSz w:w="11907" w:h="16840" w:code="9"/>
      <w:pgMar w:top="1418" w:right="1134" w:bottom="1134" w:left="1134" w:header="851" w:footer="567"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6C603" w14:textId="77777777" w:rsidR="00D61D17" w:rsidRPr="002901D9" w:rsidRDefault="00D61D17" w:rsidP="002901D9">
      <w:pPr>
        <w:spacing w:after="60" w:line="240" w:lineRule="auto"/>
        <w:rPr>
          <w:i/>
          <w:iCs/>
        </w:rPr>
      </w:pPr>
      <w:r>
        <w:rPr>
          <w:rFonts w:hint="cs"/>
          <w:i/>
          <w:iCs/>
          <w:rtl/>
        </w:rPr>
        <w:t>الحواشي</w:t>
      </w:r>
    </w:p>
  </w:endnote>
  <w:endnote w:type="continuationSeparator" w:id="0">
    <w:p w14:paraId="081D1511" w14:textId="77777777" w:rsidR="00D61D17" w:rsidRDefault="00D61D17" w:rsidP="006563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charset w:val="B2"/>
    <w:family w:val="roman"/>
    <w:pitch w:val="variable"/>
    <w:sig w:usb0="00000000"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48D1E" w14:textId="77B06B76" w:rsidR="009C6B1B" w:rsidRPr="00A31529" w:rsidRDefault="00A31529" w:rsidP="00A31529">
    <w:pPr>
      <w:pStyle w:val="Footer"/>
      <w:tabs>
        <w:tab w:val="right" w:pos="9598"/>
      </w:tabs>
      <w:rPr>
        <w:sz w:val="17"/>
      </w:rPr>
    </w:pPr>
    <w:r>
      <w:rPr>
        <w:sz w:val="17"/>
      </w:rPr>
      <w:tab/>
    </w:r>
    <w:r w:rsidRPr="00A31529">
      <w:rPr>
        <w:b/>
        <w:sz w:val="18"/>
      </w:rPr>
      <w:fldChar w:fldCharType="begin"/>
    </w:r>
    <w:r w:rsidRPr="00A31529">
      <w:rPr>
        <w:b/>
        <w:sz w:val="18"/>
      </w:rPr>
      <w:instrText xml:space="preserve"> PAGE  \* MERGEFORMAT </w:instrText>
    </w:r>
    <w:r w:rsidRPr="00A31529">
      <w:rPr>
        <w:b/>
        <w:sz w:val="18"/>
      </w:rPr>
      <w:fldChar w:fldCharType="separate"/>
    </w:r>
    <w:r w:rsidR="005C6E66">
      <w:rPr>
        <w:b/>
        <w:noProof/>
        <w:sz w:val="18"/>
      </w:rPr>
      <w:t>2</w:t>
    </w:r>
    <w:r w:rsidRPr="00A31529">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04763" w14:textId="123210D7" w:rsidR="006959B0" w:rsidRPr="00A31529" w:rsidRDefault="00A31529" w:rsidP="006959B0">
    <w:pPr>
      <w:pStyle w:val="Footer"/>
      <w:tabs>
        <w:tab w:val="right" w:pos="9599"/>
      </w:tabs>
      <w:jc w:val="left"/>
      <w:rPr>
        <w:b/>
        <w:sz w:val="18"/>
        <w:lang w:val="en-US"/>
      </w:rPr>
    </w:pPr>
    <w:r w:rsidRPr="00A31529">
      <w:rPr>
        <w:b/>
        <w:sz w:val="18"/>
        <w:lang w:val="en-US"/>
      </w:rPr>
      <w:fldChar w:fldCharType="begin"/>
    </w:r>
    <w:r w:rsidRPr="00A31529">
      <w:rPr>
        <w:b/>
        <w:sz w:val="18"/>
        <w:lang w:val="en-US"/>
      </w:rPr>
      <w:instrText xml:space="preserve"> PAGE  \* MERGEFORMAT </w:instrText>
    </w:r>
    <w:r w:rsidRPr="00A31529">
      <w:rPr>
        <w:b/>
        <w:sz w:val="18"/>
        <w:lang w:val="en-US"/>
      </w:rPr>
      <w:fldChar w:fldCharType="separate"/>
    </w:r>
    <w:r w:rsidR="005C6E66">
      <w:rPr>
        <w:b/>
        <w:noProof/>
        <w:sz w:val="18"/>
        <w:lang w:val="en-US"/>
      </w:rPr>
      <w:t>9</w:t>
    </w:r>
    <w:r w:rsidRPr="00A31529">
      <w:rPr>
        <w:b/>
        <w:sz w:val="18"/>
        <w:lang w:val="en-US"/>
      </w:rPr>
      <w:fldChar w:fldCharType="end"/>
    </w:r>
    <w:r>
      <w:rPr>
        <w:b/>
        <w:sz w:val="18"/>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99C93" w14:textId="77777777" w:rsidR="00D61D17" w:rsidRPr="0054762C" w:rsidRDefault="00D61D17" w:rsidP="000E524A">
      <w:pPr>
        <w:pStyle w:val="Footer"/>
        <w:bidi/>
        <w:spacing w:after="80" w:line="200" w:lineRule="exact"/>
        <w:ind w:left="680"/>
      </w:pPr>
      <w:r>
        <w:rPr>
          <w:rtl/>
        </w:rPr>
        <w:t>__________</w:t>
      </w:r>
    </w:p>
  </w:footnote>
  <w:footnote w:type="continuationSeparator" w:id="0">
    <w:p w14:paraId="3D32AD32" w14:textId="77777777" w:rsidR="00D61D17" w:rsidRDefault="00D61D17" w:rsidP="006563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33D92" w14:textId="69C2F201" w:rsidR="009C6B1B" w:rsidRPr="00A31529" w:rsidRDefault="00A31529" w:rsidP="00A31529">
    <w:pPr>
      <w:pStyle w:val="Header"/>
      <w:jc w:val="right"/>
    </w:pPr>
    <w:r w:rsidRPr="00A31529">
      <w:t>A/HRC/</w:t>
    </w:r>
    <w:r w:rsidR="00BE69D6">
      <w:t>52/4/Add.1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EF0D6" w14:textId="61B5291F" w:rsidR="009C6B1B" w:rsidRPr="00A31529" w:rsidRDefault="00A31529" w:rsidP="00A31529">
    <w:pPr>
      <w:pStyle w:val="Header"/>
      <w:jc w:val="left"/>
    </w:pPr>
    <w:r w:rsidRPr="00A31529">
      <w:t>A/HRC/</w:t>
    </w:r>
    <w:r w:rsidR="00BE69D6">
      <w:t>52/4/Add.1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51AF4"/>
    <w:multiLevelType w:val="hybridMultilevel"/>
    <w:tmpl w:val="7740538E"/>
    <w:lvl w:ilvl="0" w:tplc="E89AD7DE">
      <w:start w:val="1"/>
      <w:numFmt w:val="bullet"/>
      <w:pStyle w:val="Bullet1GA"/>
      <w:lvlText w:val=""/>
      <w:lvlJc w:val="left"/>
      <w:pPr>
        <w:tabs>
          <w:tab w:val="num" w:pos="2495"/>
        </w:tabs>
        <w:ind w:left="2495" w:hanging="54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F272F0"/>
    <w:multiLevelType w:val="hybridMultilevel"/>
    <w:tmpl w:val="842AD3E4"/>
    <w:lvl w:ilvl="0" w:tplc="E6B8D5B8">
      <w:start w:val="1"/>
      <w:numFmt w:val="decimal"/>
      <w:pStyle w:val="Roman1GA"/>
      <w:lvlText w:val="'%1'"/>
      <w:lvlJc w:val="right"/>
      <w:pPr>
        <w:tabs>
          <w:tab w:val="num" w:pos="2310"/>
        </w:tabs>
        <w:ind w:left="2310" w:hanging="360"/>
      </w:pPr>
      <w:rPr>
        <w:rFonts w:ascii="Times New Roman" w:hAnsi="Times New Roman" w:cs="Traditional Arabic" w:hint="default"/>
        <w:sz w:val="20"/>
        <w:szCs w:val="28"/>
      </w:rPr>
    </w:lvl>
    <w:lvl w:ilvl="1" w:tplc="04090003" w:tentative="1">
      <w:start w:val="1"/>
      <w:numFmt w:val="bullet"/>
      <w:lvlText w:val="o"/>
      <w:lvlJc w:val="left"/>
      <w:pPr>
        <w:tabs>
          <w:tab w:val="num" w:pos="3028"/>
        </w:tabs>
        <w:ind w:left="3028" w:hanging="360"/>
      </w:pPr>
      <w:rPr>
        <w:rFonts w:ascii="Courier New" w:hAnsi="Courier New" w:cs="Courier New" w:hint="default"/>
      </w:rPr>
    </w:lvl>
    <w:lvl w:ilvl="2" w:tplc="04090005" w:tentative="1">
      <w:start w:val="1"/>
      <w:numFmt w:val="bullet"/>
      <w:lvlText w:val=""/>
      <w:lvlJc w:val="left"/>
      <w:pPr>
        <w:tabs>
          <w:tab w:val="num" w:pos="3748"/>
        </w:tabs>
        <w:ind w:left="3748" w:hanging="360"/>
      </w:pPr>
      <w:rPr>
        <w:rFonts w:ascii="Wingdings" w:hAnsi="Wingdings" w:hint="default"/>
      </w:rPr>
    </w:lvl>
    <w:lvl w:ilvl="3" w:tplc="04090001" w:tentative="1">
      <w:start w:val="1"/>
      <w:numFmt w:val="bullet"/>
      <w:lvlText w:val=""/>
      <w:lvlJc w:val="left"/>
      <w:pPr>
        <w:tabs>
          <w:tab w:val="num" w:pos="4468"/>
        </w:tabs>
        <w:ind w:left="4468" w:hanging="360"/>
      </w:pPr>
      <w:rPr>
        <w:rFonts w:ascii="Symbol" w:hAnsi="Symbol" w:hint="default"/>
      </w:rPr>
    </w:lvl>
    <w:lvl w:ilvl="4" w:tplc="04090003" w:tentative="1">
      <w:start w:val="1"/>
      <w:numFmt w:val="bullet"/>
      <w:lvlText w:val="o"/>
      <w:lvlJc w:val="left"/>
      <w:pPr>
        <w:tabs>
          <w:tab w:val="num" w:pos="5188"/>
        </w:tabs>
        <w:ind w:left="5188" w:hanging="360"/>
      </w:pPr>
      <w:rPr>
        <w:rFonts w:ascii="Courier New" w:hAnsi="Courier New" w:cs="Courier New" w:hint="default"/>
      </w:rPr>
    </w:lvl>
    <w:lvl w:ilvl="5" w:tplc="04090005" w:tentative="1">
      <w:start w:val="1"/>
      <w:numFmt w:val="bullet"/>
      <w:lvlText w:val=""/>
      <w:lvlJc w:val="left"/>
      <w:pPr>
        <w:tabs>
          <w:tab w:val="num" w:pos="5908"/>
        </w:tabs>
        <w:ind w:left="5908" w:hanging="360"/>
      </w:pPr>
      <w:rPr>
        <w:rFonts w:ascii="Wingdings" w:hAnsi="Wingdings" w:hint="default"/>
      </w:rPr>
    </w:lvl>
    <w:lvl w:ilvl="6" w:tplc="04090001" w:tentative="1">
      <w:start w:val="1"/>
      <w:numFmt w:val="bullet"/>
      <w:lvlText w:val=""/>
      <w:lvlJc w:val="left"/>
      <w:pPr>
        <w:tabs>
          <w:tab w:val="num" w:pos="6628"/>
        </w:tabs>
        <w:ind w:left="6628" w:hanging="360"/>
      </w:pPr>
      <w:rPr>
        <w:rFonts w:ascii="Symbol" w:hAnsi="Symbol" w:hint="default"/>
      </w:rPr>
    </w:lvl>
    <w:lvl w:ilvl="7" w:tplc="04090003" w:tentative="1">
      <w:start w:val="1"/>
      <w:numFmt w:val="bullet"/>
      <w:lvlText w:val="o"/>
      <w:lvlJc w:val="left"/>
      <w:pPr>
        <w:tabs>
          <w:tab w:val="num" w:pos="7348"/>
        </w:tabs>
        <w:ind w:left="7348" w:hanging="360"/>
      </w:pPr>
      <w:rPr>
        <w:rFonts w:ascii="Courier New" w:hAnsi="Courier New" w:cs="Courier New" w:hint="default"/>
      </w:rPr>
    </w:lvl>
    <w:lvl w:ilvl="8" w:tplc="04090005" w:tentative="1">
      <w:start w:val="1"/>
      <w:numFmt w:val="bullet"/>
      <w:lvlText w:val=""/>
      <w:lvlJc w:val="left"/>
      <w:pPr>
        <w:tabs>
          <w:tab w:val="num" w:pos="8068"/>
        </w:tabs>
        <w:ind w:left="8068" w:hanging="360"/>
      </w:pPr>
      <w:rPr>
        <w:rFonts w:ascii="Wingdings" w:hAnsi="Wingdings" w:hint="default"/>
      </w:rPr>
    </w:lvl>
  </w:abstractNum>
  <w:abstractNum w:abstractNumId="2" w15:restartNumberingAfterBreak="0">
    <w:nsid w:val="32A75D52"/>
    <w:multiLevelType w:val="hybridMultilevel"/>
    <w:tmpl w:val="AF6C6348"/>
    <w:lvl w:ilvl="0" w:tplc="308CB36A">
      <w:start w:val="1"/>
      <w:numFmt w:val="decimal"/>
      <w:pStyle w:val="ParaNoGA"/>
      <w:lvlText w:val="%1-"/>
      <w:lvlJc w:val="left"/>
      <w:pPr>
        <w:tabs>
          <w:tab w:val="num" w:pos="1361"/>
        </w:tabs>
        <w:ind w:left="124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54B2370"/>
    <w:multiLevelType w:val="hybridMultilevel"/>
    <w:tmpl w:val="64AEC0BA"/>
    <w:lvl w:ilvl="0" w:tplc="DE1A3C16">
      <w:start w:val="1"/>
      <w:numFmt w:val="bullet"/>
      <w:pStyle w:val="Bullet2GA"/>
      <w:lvlText w:val=""/>
      <w:lvlJc w:val="left"/>
      <w:pPr>
        <w:tabs>
          <w:tab w:val="num" w:pos="3215"/>
        </w:tabs>
        <w:ind w:left="3215" w:hanging="360"/>
      </w:pPr>
      <w:rPr>
        <w:rFonts w:ascii="Symbol" w:hAnsi="Symbol" w:hint="default"/>
      </w:rPr>
    </w:lvl>
    <w:lvl w:ilvl="1" w:tplc="04090003" w:tentative="1">
      <w:start w:val="1"/>
      <w:numFmt w:val="bullet"/>
      <w:lvlText w:val="o"/>
      <w:lvlJc w:val="left"/>
      <w:pPr>
        <w:tabs>
          <w:tab w:val="num" w:pos="3935"/>
        </w:tabs>
        <w:ind w:left="3935" w:hanging="360"/>
      </w:pPr>
      <w:rPr>
        <w:rFonts w:ascii="Courier New" w:hAnsi="Courier New" w:cs="Courier New" w:hint="default"/>
      </w:rPr>
    </w:lvl>
    <w:lvl w:ilvl="2" w:tplc="04090005" w:tentative="1">
      <w:start w:val="1"/>
      <w:numFmt w:val="bullet"/>
      <w:lvlText w:val=""/>
      <w:lvlJc w:val="left"/>
      <w:pPr>
        <w:tabs>
          <w:tab w:val="num" w:pos="4655"/>
        </w:tabs>
        <w:ind w:left="4655" w:hanging="360"/>
      </w:pPr>
      <w:rPr>
        <w:rFonts w:ascii="Wingdings" w:hAnsi="Wingdings" w:hint="default"/>
      </w:rPr>
    </w:lvl>
    <w:lvl w:ilvl="3" w:tplc="04090001" w:tentative="1">
      <w:start w:val="1"/>
      <w:numFmt w:val="bullet"/>
      <w:lvlText w:val=""/>
      <w:lvlJc w:val="left"/>
      <w:pPr>
        <w:tabs>
          <w:tab w:val="num" w:pos="5375"/>
        </w:tabs>
        <w:ind w:left="5375" w:hanging="360"/>
      </w:pPr>
      <w:rPr>
        <w:rFonts w:ascii="Symbol" w:hAnsi="Symbol" w:hint="default"/>
      </w:rPr>
    </w:lvl>
    <w:lvl w:ilvl="4" w:tplc="04090003" w:tentative="1">
      <w:start w:val="1"/>
      <w:numFmt w:val="bullet"/>
      <w:lvlText w:val="o"/>
      <w:lvlJc w:val="left"/>
      <w:pPr>
        <w:tabs>
          <w:tab w:val="num" w:pos="6095"/>
        </w:tabs>
        <w:ind w:left="6095" w:hanging="360"/>
      </w:pPr>
      <w:rPr>
        <w:rFonts w:ascii="Courier New" w:hAnsi="Courier New" w:cs="Courier New" w:hint="default"/>
      </w:rPr>
    </w:lvl>
    <w:lvl w:ilvl="5" w:tplc="04090005" w:tentative="1">
      <w:start w:val="1"/>
      <w:numFmt w:val="bullet"/>
      <w:lvlText w:val=""/>
      <w:lvlJc w:val="left"/>
      <w:pPr>
        <w:tabs>
          <w:tab w:val="num" w:pos="6815"/>
        </w:tabs>
        <w:ind w:left="6815" w:hanging="360"/>
      </w:pPr>
      <w:rPr>
        <w:rFonts w:ascii="Wingdings" w:hAnsi="Wingdings" w:hint="default"/>
      </w:rPr>
    </w:lvl>
    <w:lvl w:ilvl="6" w:tplc="04090001" w:tentative="1">
      <w:start w:val="1"/>
      <w:numFmt w:val="bullet"/>
      <w:lvlText w:val=""/>
      <w:lvlJc w:val="left"/>
      <w:pPr>
        <w:tabs>
          <w:tab w:val="num" w:pos="7535"/>
        </w:tabs>
        <w:ind w:left="7535" w:hanging="360"/>
      </w:pPr>
      <w:rPr>
        <w:rFonts w:ascii="Symbol" w:hAnsi="Symbol" w:hint="default"/>
      </w:rPr>
    </w:lvl>
    <w:lvl w:ilvl="7" w:tplc="04090003" w:tentative="1">
      <w:start w:val="1"/>
      <w:numFmt w:val="bullet"/>
      <w:lvlText w:val="o"/>
      <w:lvlJc w:val="left"/>
      <w:pPr>
        <w:tabs>
          <w:tab w:val="num" w:pos="8255"/>
        </w:tabs>
        <w:ind w:left="8255" w:hanging="360"/>
      </w:pPr>
      <w:rPr>
        <w:rFonts w:ascii="Courier New" w:hAnsi="Courier New" w:cs="Courier New" w:hint="default"/>
      </w:rPr>
    </w:lvl>
    <w:lvl w:ilvl="8" w:tplc="04090005" w:tentative="1">
      <w:start w:val="1"/>
      <w:numFmt w:val="bullet"/>
      <w:lvlText w:val=""/>
      <w:lvlJc w:val="left"/>
      <w:pPr>
        <w:tabs>
          <w:tab w:val="num" w:pos="8975"/>
        </w:tabs>
        <w:ind w:left="8975" w:hanging="360"/>
      </w:pPr>
      <w:rPr>
        <w:rFonts w:ascii="Wingdings" w:hAnsi="Wingdings" w:hint="default"/>
      </w:rPr>
    </w:lvl>
  </w:abstractNum>
  <w:abstractNum w:abstractNumId="4" w15:restartNumberingAfterBreak="0">
    <w:nsid w:val="48F8044A"/>
    <w:multiLevelType w:val="hybridMultilevel"/>
    <w:tmpl w:val="973C8384"/>
    <w:lvl w:ilvl="0" w:tplc="F1944034">
      <w:start w:val="1"/>
      <w:numFmt w:val="decimal"/>
      <w:lvlText w:val="(%1)"/>
      <w:lvlJc w:val="right"/>
      <w:pPr>
        <w:ind w:left="720" w:hanging="360"/>
      </w:pPr>
      <w:rPr>
        <w:rFonts w:ascii="Traditional Arabic" w:hAnsi="Traditional Arabic" w:cs="Traditional Arabic"/>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CD5A59"/>
    <w:multiLevelType w:val="hybridMultilevel"/>
    <w:tmpl w:val="5D8E7F50"/>
    <w:lvl w:ilvl="0" w:tplc="F1944034">
      <w:start w:val="1"/>
      <w:numFmt w:val="decimal"/>
      <w:lvlRestart w:val="0"/>
      <w:lvlText w:val="(%1)"/>
      <w:lvlJc w:val="right"/>
      <w:pPr>
        <w:tabs>
          <w:tab w:val="num" w:pos="1292"/>
        </w:tabs>
        <w:ind w:left="1292" w:hanging="227"/>
      </w:pPr>
      <w:rPr>
        <w:rFonts w:ascii="Traditional Arabic" w:hAnsi="Traditional Arabic" w:cs="Traditional Arabic"/>
        <w:sz w:val="26"/>
        <w:szCs w:val="26"/>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15:restartNumberingAfterBreak="0">
    <w:nsid w:val="7AE32A09"/>
    <w:multiLevelType w:val="hybridMultilevel"/>
    <w:tmpl w:val="8F4C0150"/>
    <w:lvl w:ilvl="0" w:tplc="C9160F04">
      <w:start w:val="1"/>
      <w:numFmt w:val="decimal"/>
      <w:pStyle w:val="Roman2GA"/>
      <w:lvlText w:val="'%1'"/>
      <w:lvlJc w:val="right"/>
      <w:pPr>
        <w:tabs>
          <w:tab w:val="num" w:pos="2877"/>
        </w:tabs>
        <w:ind w:left="2877" w:hanging="360"/>
      </w:pPr>
      <w:rPr>
        <w:rFonts w:ascii="Times New Roman" w:hAnsi="Times New Roman" w:cs="Traditional Arabic" w:hint="default"/>
        <w:sz w:val="20"/>
        <w:szCs w:val="28"/>
      </w:rPr>
    </w:lvl>
    <w:lvl w:ilvl="1" w:tplc="04090003" w:tentative="1">
      <w:start w:val="1"/>
      <w:numFmt w:val="bullet"/>
      <w:lvlText w:val="o"/>
      <w:lvlJc w:val="left"/>
      <w:pPr>
        <w:tabs>
          <w:tab w:val="num" w:pos="3595"/>
        </w:tabs>
        <w:ind w:left="3595" w:hanging="360"/>
      </w:pPr>
      <w:rPr>
        <w:rFonts w:ascii="Courier New" w:hAnsi="Courier New" w:cs="Courier New" w:hint="default"/>
      </w:rPr>
    </w:lvl>
    <w:lvl w:ilvl="2" w:tplc="04090005" w:tentative="1">
      <w:start w:val="1"/>
      <w:numFmt w:val="bullet"/>
      <w:lvlText w:val=""/>
      <w:lvlJc w:val="left"/>
      <w:pPr>
        <w:tabs>
          <w:tab w:val="num" w:pos="4315"/>
        </w:tabs>
        <w:ind w:left="4315" w:hanging="360"/>
      </w:pPr>
      <w:rPr>
        <w:rFonts w:ascii="Wingdings" w:hAnsi="Wingdings" w:hint="default"/>
      </w:rPr>
    </w:lvl>
    <w:lvl w:ilvl="3" w:tplc="04090001" w:tentative="1">
      <w:start w:val="1"/>
      <w:numFmt w:val="bullet"/>
      <w:lvlText w:val=""/>
      <w:lvlJc w:val="left"/>
      <w:pPr>
        <w:tabs>
          <w:tab w:val="num" w:pos="5035"/>
        </w:tabs>
        <w:ind w:left="5035" w:hanging="360"/>
      </w:pPr>
      <w:rPr>
        <w:rFonts w:ascii="Symbol" w:hAnsi="Symbol" w:hint="default"/>
      </w:rPr>
    </w:lvl>
    <w:lvl w:ilvl="4" w:tplc="04090003" w:tentative="1">
      <w:start w:val="1"/>
      <w:numFmt w:val="bullet"/>
      <w:lvlText w:val="o"/>
      <w:lvlJc w:val="left"/>
      <w:pPr>
        <w:tabs>
          <w:tab w:val="num" w:pos="5755"/>
        </w:tabs>
        <w:ind w:left="5755" w:hanging="360"/>
      </w:pPr>
      <w:rPr>
        <w:rFonts w:ascii="Courier New" w:hAnsi="Courier New" w:cs="Courier New" w:hint="default"/>
      </w:rPr>
    </w:lvl>
    <w:lvl w:ilvl="5" w:tplc="04090005" w:tentative="1">
      <w:start w:val="1"/>
      <w:numFmt w:val="bullet"/>
      <w:lvlText w:val=""/>
      <w:lvlJc w:val="left"/>
      <w:pPr>
        <w:tabs>
          <w:tab w:val="num" w:pos="6475"/>
        </w:tabs>
        <w:ind w:left="6475" w:hanging="360"/>
      </w:pPr>
      <w:rPr>
        <w:rFonts w:ascii="Wingdings" w:hAnsi="Wingdings" w:hint="default"/>
      </w:rPr>
    </w:lvl>
    <w:lvl w:ilvl="6" w:tplc="04090001" w:tentative="1">
      <w:start w:val="1"/>
      <w:numFmt w:val="bullet"/>
      <w:lvlText w:val=""/>
      <w:lvlJc w:val="left"/>
      <w:pPr>
        <w:tabs>
          <w:tab w:val="num" w:pos="7195"/>
        </w:tabs>
        <w:ind w:left="7195" w:hanging="360"/>
      </w:pPr>
      <w:rPr>
        <w:rFonts w:ascii="Symbol" w:hAnsi="Symbol" w:hint="default"/>
      </w:rPr>
    </w:lvl>
    <w:lvl w:ilvl="7" w:tplc="04090003" w:tentative="1">
      <w:start w:val="1"/>
      <w:numFmt w:val="bullet"/>
      <w:lvlText w:val="o"/>
      <w:lvlJc w:val="left"/>
      <w:pPr>
        <w:tabs>
          <w:tab w:val="num" w:pos="7915"/>
        </w:tabs>
        <w:ind w:left="7915" w:hanging="360"/>
      </w:pPr>
      <w:rPr>
        <w:rFonts w:ascii="Courier New" w:hAnsi="Courier New" w:cs="Courier New" w:hint="default"/>
      </w:rPr>
    </w:lvl>
    <w:lvl w:ilvl="8" w:tplc="04090005" w:tentative="1">
      <w:start w:val="1"/>
      <w:numFmt w:val="bullet"/>
      <w:lvlText w:val=""/>
      <w:lvlJc w:val="left"/>
      <w:pPr>
        <w:tabs>
          <w:tab w:val="num" w:pos="8635"/>
        </w:tabs>
        <w:ind w:left="8635"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2"/>
  </w:num>
  <w:num w:numId="6">
    <w:abstractNumId w:val="1"/>
  </w:num>
  <w:num w:numId="7">
    <w:abstractNumId w:val="6"/>
  </w:num>
  <w:num w:numId="8">
    <w:abstractNumId w:val="0"/>
  </w:num>
  <w:num w:numId="9">
    <w:abstractNumId w:val="3"/>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attachedTemplate r:id="rId1"/>
  <w:defaultTabStop w:val="567"/>
  <w:evenAndOddHeaders/>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D17"/>
    <w:rsid w:val="000076D5"/>
    <w:rsid w:val="00043663"/>
    <w:rsid w:val="000505CF"/>
    <w:rsid w:val="000A5A8A"/>
    <w:rsid w:val="000D701C"/>
    <w:rsid w:val="000E2A71"/>
    <w:rsid w:val="000E524A"/>
    <w:rsid w:val="000F4D63"/>
    <w:rsid w:val="00160263"/>
    <w:rsid w:val="001773DB"/>
    <w:rsid w:val="00181F96"/>
    <w:rsid w:val="001A1371"/>
    <w:rsid w:val="001B346A"/>
    <w:rsid w:val="001E1CAD"/>
    <w:rsid w:val="001E290D"/>
    <w:rsid w:val="002144FA"/>
    <w:rsid w:val="0023469A"/>
    <w:rsid w:val="00243C8A"/>
    <w:rsid w:val="00267A0E"/>
    <w:rsid w:val="00281242"/>
    <w:rsid w:val="002901D9"/>
    <w:rsid w:val="002976C2"/>
    <w:rsid w:val="002F6166"/>
    <w:rsid w:val="003149D0"/>
    <w:rsid w:val="00325CC1"/>
    <w:rsid w:val="003260FF"/>
    <w:rsid w:val="00343D95"/>
    <w:rsid w:val="00374341"/>
    <w:rsid w:val="003D1062"/>
    <w:rsid w:val="003E159A"/>
    <w:rsid w:val="004205C7"/>
    <w:rsid w:val="00420D7B"/>
    <w:rsid w:val="00442FBA"/>
    <w:rsid w:val="00450B21"/>
    <w:rsid w:val="00453B63"/>
    <w:rsid w:val="00455780"/>
    <w:rsid w:val="00463400"/>
    <w:rsid w:val="004B0A1C"/>
    <w:rsid w:val="004D298E"/>
    <w:rsid w:val="004E32F4"/>
    <w:rsid w:val="00517BC9"/>
    <w:rsid w:val="005212F8"/>
    <w:rsid w:val="00527E4C"/>
    <w:rsid w:val="0054472E"/>
    <w:rsid w:val="0054762C"/>
    <w:rsid w:val="005662A9"/>
    <w:rsid w:val="005817D9"/>
    <w:rsid w:val="005827D4"/>
    <w:rsid w:val="005838CF"/>
    <w:rsid w:val="0059622A"/>
    <w:rsid w:val="005C5878"/>
    <w:rsid w:val="005C6E66"/>
    <w:rsid w:val="005C7CEA"/>
    <w:rsid w:val="005D3C0B"/>
    <w:rsid w:val="005E5217"/>
    <w:rsid w:val="005E5F8E"/>
    <w:rsid w:val="005F0FA4"/>
    <w:rsid w:val="005F30EE"/>
    <w:rsid w:val="0060470A"/>
    <w:rsid w:val="0060473A"/>
    <w:rsid w:val="00606EDF"/>
    <w:rsid w:val="00625C3C"/>
    <w:rsid w:val="00656392"/>
    <w:rsid w:val="00673245"/>
    <w:rsid w:val="0068781D"/>
    <w:rsid w:val="006959B0"/>
    <w:rsid w:val="006B3E27"/>
    <w:rsid w:val="006B6507"/>
    <w:rsid w:val="006C104C"/>
    <w:rsid w:val="00733704"/>
    <w:rsid w:val="00740188"/>
    <w:rsid w:val="00764796"/>
    <w:rsid w:val="0078071A"/>
    <w:rsid w:val="007A70BB"/>
    <w:rsid w:val="00852A9A"/>
    <w:rsid w:val="00866B12"/>
    <w:rsid w:val="00871544"/>
    <w:rsid w:val="008930DB"/>
    <w:rsid w:val="00895D16"/>
    <w:rsid w:val="008F49E1"/>
    <w:rsid w:val="0090370F"/>
    <w:rsid w:val="00916CB0"/>
    <w:rsid w:val="009269D2"/>
    <w:rsid w:val="00942135"/>
    <w:rsid w:val="009521B0"/>
    <w:rsid w:val="00963FCC"/>
    <w:rsid w:val="009A7E9F"/>
    <w:rsid w:val="009C6B1B"/>
    <w:rsid w:val="009E5018"/>
    <w:rsid w:val="00A12B37"/>
    <w:rsid w:val="00A31529"/>
    <w:rsid w:val="00A31A27"/>
    <w:rsid w:val="00A50EC0"/>
    <w:rsid w:val="00A74331"/>
    <w:rsid w:val="00AB3BCA"/>
    <w:rsid w:val="00AB6758"/>
    <w:rsid w:val="00AF203E"/>
    <w:rsid w:val="00B13763"/>
    <w:rsid w:val="00B41921"/>
    <w:rsid w:val="00B477A4"/>
    <w:rsid w:val="00B54045"/>
    <w:rsid w:val="00BA5E8B"/>
    <w:rsid w:val="00BE69D6"/>
    <w:rsid w:val="00C022F5"/>
    <w:rsid w:val="00C06421"/>
    <w:rsid w:val="00C17AAF"/>
    <w:rsid w:val="00C438D7"/>
    <w:rsid w:val="00C53FE8"/>
    <w:rsid w:val="00C81B50"/>
    <w:rsid w:val="00CA655B"/>
    <w:rsid w:val="00CB1B44"/>
    <w:rsid w:val="00CB3C3C"/>
    <w:rsid w:val="00CD1801"/>
    <w:rsid w:val="00D10EF1"/>
    <w:rsid w:val="00D42810"/>
    <w:rsid w:val="00D61D17"/>
    <w:rsid w:val="00D914A7"/>
    <w:rsid w:val="00DD13C3"/>
    <w:rsid w:val="00DD596E"/>
    <w:rsid w:val="00DD621E"/>
    <w:rsid w:val="00DF0575"/>
    <w:rsid w:val="00E70E04"/>
    <w:rsid w:val="00E75996"/>
    <w:rsid w:val="00EC05A7"/>
    <w:rsid w:val="00EC4B6B"/>
    <w:rsid w:val="00ED7442"/>
    <w:rsid w:val="00EE0B18"/>
    <w:rsid w:val="00EF1EE5"/>
    <w:rsid w:val="00F6741C"/>
    <w:rsid w:val="00F763B4"/>
    <w:rsid w:val="00F900C3"/>
    <w:rsid w:val="00FB195D"/>
    <w:rsid w:val="00FC105F"/>
    <w:rsid w:val="00FC75D1"/>
    <w:rsid w:val="00FD28F3"/>
    <w:rsid w:val="00FD4BC9"/>
    <w:rsid w:val="00FF2AB2"/>
    <w:rsid w:val="00FF6E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4A61A6B"/>
  <w15:docId w15:val="{87ABEA04-B69F-4AC4-A5FF-142A5A64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796"/>
    <w:pPr>
      <w:bidi/>
      <w:spacing w:line="240" w:lineRule="atLeast"/>
      <w:jc w:val="lowKashida"/>
    </w:pPr>
    <w:rPr>
      <w:rFonts w:ascii="Times New Roman" w:hAnsi="Times New Roman" w:cs="Traditional Arabic"/>
      <w:szCs w:val="28"/>
      <w:lang w:eastAsia="en-US"/>
    </w:rPr>
  </w:style>
  <w:style w:type="paragraph" w:styleId="Heading1">
    <w:name w:val="heading 1"/>
    <w:aliases w:val="Table_GA"/>
    <w:basedOn w:val="SingleTxtGA"/>
    <w:next w:val="Normal"/>
    <w:link w:val="Heading1Char"/>
    <w:qFormat/>
    <w:rsid w:val="00AB6758"/>
    <w:pPr>
      <w:suppressAutoHyphens/>
      <w:bidi w:val="0"/>
      <w:outlineLvl w:val="0"/>
    </w:pPr>
  </w:style>
  <w:style w:type="paragraph" w:styleId="Heading2">
    <w:name w:val="heading 2"/>
    <w:basedOn w:val="Normal"/>
    <w:next w:val="Normal"/>
    <w:link w:val="Heading2Char"/>
    <w:uiPriority w:val="9"/>
    <w:unhideWhenUsed/>
    <w:rsid w:val="00455780"/>
    <w:pPr>
      <w:keepNext/>
      <w:keepLines/>
      <w:spacing w:before="200"/>
      <w:outlineLvl w:val="1"/>
    </w:pPr>
    <w:rPr>
      <w:rFonts w:ascii="Cambria" w:eastAsia="SimSun" w:hAnsi="Cambria" w:cs="Times New Roman"/>
      <w:b/>
      <w:bCs/>
      <w:color w:val="4F81BD"/>
      <w:sz w:val="26"/>
      <w:szCs w:val="26"/>
    </w:rPr>
  </w:style>
  <w:style w:type="paragraph" w:styleId="Heading3">
    <w:name w:val="heading 3"/>
    <w:basedOn w:val="Normal"/>
    <w:next w:val="Normal"/>
    <w:link w:val="Heading3Char"/>
    <w:uiPriority w:val="9"/>
    <w:unhideWhenUsed/>
    <w:rsid w:val="00EC4B6B"/>
    <w:pPr>
      <w:keepNext/>
      <w:keepLines/>
      <w:spacing w:before="200"/>
      <w:outlineLvl w:val="2"/>
    </w:pPr>
    <w:rPr>
      <w:rFonts w:ascii="Cambria" w:eastAsia="SimSun" w:hAnsi="Cambria" w:cs="Times New Roman"/>
      <w:b/>
      <w:bCs/>
      <w:color w:val="4F81BD"/>
    </w:rPr>
  </w:style>
  <w:style w:type="paragraph" w:styleId="Heading4">
    <w:name w:val="heading 4"/>
    <w:basedOn w:val="Normal"/>
    <w:next w:val="Normal"/>
    <w:link w:val="Heading4Char"/>
    <w:uiPriority w:val="9"/>
    <w:unhideWhenUsed/>
    <w:rsid w:val="00EC4B6B"/>
    <w:pPr>
      <w:keepNext/>
      <w:keepLines/>
      <w:spacing w:before="200"/>
      <w:outlineLvl w:val="3"/>
    </w:pPr>
    <w:rPr>
      <w:rFonts w:ascii="Cambria" w:eastAsia="SimSun" w:hAnsi="Cambria" w:cs="Times New Roman"/>
      <w:b/>
      <w:bCs/>
      <w:i/>
      <w:iCs/>
      <w:color w:val="4F81BD"/>
    </w:rPr>
  </w:style>
  <w:style w:type="paragraph" w:styleId="Heading5">
    <w:name w:val="heading 5"/>
    <w:basedOn w:val="Normal"/>
    <w:next w:val="Normal"/>
    <w:link w:val="Heading5Char"/>
    <w:uiPriority w:val="9"/>
    <w:unhideWhenUsed/>
    <w:rsid w:val="00EC4B6B"/>
    <w:pPr>
      <w:keepNext/>
      <w:keepLines/>
      <w:spacing w:before="200"/>
      <w:outlineLvl w:val="4"/>
    </w:pPr>
    <w:rPr>
      <w:rFonts w:ascii="Cambria" w:eastAsia="SimSun" w:hAnsi="Cambria" w:cs="Times New Roman"/>
      <w:color w:val="243F60"/>
    </w:rPr>
  </w:style>
  <w:style w:type="paragraph" w:styleId="Heading6">
    <w:name w:val="heading 6"/>
    <w:basedOn w:val="Normal"/>
    <w:next w:val="Normal"/>
    <w:link w:val="Heading6Char"/>
    <w:uiPriority w:val="9"/>
    <w:unhideWhenUsed/>
    <w:rsid w:val="00EC4B6B"/>
    <w:pPr>
      <w:keepNext/>
      <w:keepLines/>
      <w:spacing w:before="200"/>
      <w:outlineLvl w:val="5"/>
    </w:pPr>
    <w:rPr>
      <w:rFonts w:ascii="Cambria" w:eastAsia="SimSun" w:hAnsi="Cambria" w:cs="Times New Roman"/>
      <w:i/>
      <w:iCs/>
      <w:color w:val="243F60"/>
    </w:rPr>
  </w:style>
  <w:style w:type="paragraph" w:styleId="Heading7">
    <w:name w:val="heading 7"/>
    <w:basedOn w:val="Normal"/>
    <w:next w:val="Normal"/>
    <w:link w:val="Heading7Char"/>
    <w:uiPriority w:val="9"/>
    <w:unhideWhenUsed/>
    <w:rsid w:val="00EC4B6B"/>
    <w:pPr>
      <w:keepNext/>
      <w:keepLines/>
      <w:spacing w:before="200"/>
      <w:outlineLvl w:val="6"/>
    </w:pPr>
    <w:rPr>
      <w:rFonts w:ascii="Cambria" w:eastAsia="SimSun" w:hAnsi="Cambria" w:cs="Times New Roman"/>
      <w:i/>
      <w:iCs/>
      <w:color w:val="404040"/>
    </w:rPr>
  </w:style>
  <w:style w:type="paragraph" w:styleId="Heading8">
    <w:name w:val="heading 8"/>
    <w:basedOn w:val="Normal"/>
    <w:next w:val="Normal"/>
    <w:link w:val="Heading8Char"/>
    <w:uiPriority w:val="9"/>
    <w:unhideWhenUsed/>
    <w:rsid w:val="00EC4B6B"/>
    <w:pPr>
      <w:keepNext/>
      <w:keepLines/>
      <w:spacing w:before="200"/>
      <w:outlineLvl w:val="7"/>
    </w:pPr>
    <w:rPr>
      <w:rFonts w:ascii="Cambria" w:eastAsia="SimSun" w:hAnsi="Cambria" w:cs="Times New Roman"/>
      <w:color w:val="404040"/>
      <w:szCs w:val="20"/>
    </w:rPr>
  </w:style>
  <w:style w:type="paragraph" w:styleId="Heading9">
    <w:name w:val="heading 9"/>
    <w:basedOn w:val="Normal"/>
    <w:next w:val="Normal"/>
    <w:link w:val="Heading9Char"/>
    <w:uiPriority w:val="9"/>
    <w:unhideWhenUsed/>
    <w:rsid w:val="00EC4B6B"/>
    <w:pPr>
      <w:keepNext/>
      <w:keepLines/>
      <w:spacing w:before="200"/>
      <w:outlineLvl w:val="8"/>
    </w:pPr>
    <w:rPr>
      <w:rFonts w:ascii="Cambria" w:eastAsia="SimSun" w:hAnsi="Cambria"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A1371"/>
    <w:pPr>
      <w:spacing w:line="240" w:lineRule="auto"/>
    </w:pPr>
    <w:rPr>
      <w:szCs w:val="20"/>
    </w:rPr>
  </w:style>
  <w:style w:type="character" w:customStyle="1" w:styleId="FootnoteTextChar">
    <w:name w:val="Footnote Text Char"/>
    <w:link w:val="FootnoteText"/>
    <w:uiPriority w:val="99"/>
    <w:semiHidden/>
    <w:rsid w:val="001A1371"/>
    <w:rPr>
      <w:sz w:val="20"/>
      <w:szCs w:val="20"/>
    </w:rPr>
  </w:style>
  <w:style w:type="character" w:styleId="FootnoteReference">
    <w:name w:val="footnote reference"/>
    <w:aliases w:val="4_GA"/>
    <w:qFormat/>
    <w:rsid w:val="00764796"/>
    <w:rPr>
      <w:rFonts w:ascii="Times New Roman Bold" w:hAnsi="Times New Roman Bold" w:cs="Traditional Arabic"/>
      <w:b/>
      <w:kern w:val="0"/>
      <w:sz w:val="18"/>
      <w:szCs w:val="20"/>
      <w:vertAlign w:val="superscript"/>
    </w:rPr>
  </w:style>
  <w:style w:type="paragraph" w:customStyle="1" w:styleId="HMGA">
    <w:name w:val="_ H __M_GA"/>
    <w:basedOn w:val="Normal"/>
    <w:next w:val="Normal"/>
    <w:qFormat/>
    <w:rsid w:val="00AB6758"/>
    <w:pPr>
      <w:keepNext/>
      <w:keepLines/>
      <w:tabs>
        <w:tab w:val="right" w:pos="1021"/>
      </w:tabs>
      <w:suppressAutoHyphens/>
      <w:spacing w:before="360" w:after="240" w:line="480" w:lineRule="exact"/>
      <w:ind w:left="1247" w:right="1247" w:hanging="1247"/>
    </w:pPr>
    <w:rPr>
      <w:b/>
      <w:bCs/>
      <w:sz w:val="34"/>
      <w:szCs w:val="44"/>
    </w:rPr>
  </w:style>
  <w:style w:type="paragraph" w:customStyle="1" w:styleId="HChGA">
    <w:name w:val="_ H _Ch_GA"/>
    <w:basedOn w:val="Normal"/>
    <w:next w:val="Normal"/>
    <w:qFormat/>
    <w:rsid w:val="00AB6758"/>
    <w:pPr>
      <w:keepNext/>
      <w:keepLines/>
      <w:tabs>
        <w:tab w:val="right" w:pos="1021"/>
      </w:tabs>
      <w:suppressAutoHyphens/>
      <w:spacing w:before="360" w:after="240" w:line="440" w:lineRule="exact"/>
      <w:ind w:left="1247" w:right="1247" w:hanging="1247"/>
    </w:pPr>
    <w:rPr>
      <w:b/>
      <w:bCs/>
      <w:sz w:val="28"/>
      <w:szCs w:val="38"/>
    </w:rPr>
  </w:style>
  <w:style w:type="paragraph" w:customStyle="1" w:styleId="H1GA">
    <w:name w:val="_ H_1_GA"/>
    <w:basedOn w:val="Normal"/>
    <w:next w:val="Normal"/>
    <w:qFormat/>
    <w:rsid w:val="00AB6758"/>
    <w:pPr>
      <w:keepNext/>
      <w:keepLines/>
      <w:tabs>
        <w:tab w:val="right" w:pos="1021"/>
      </w:tabs>
      <w:suppressAutoHyphens/>
      <w:spacing w:before="240" w:after="240" w:line="400" w:lineRule="exact"/>
      <w:ind w:left="1247" w:right="1247" w:hanging="1247"/>
    </w:pPr>
    <w:rPr>
      <w:b/>
      <w:bCs/>
      <w:sz w:val="24"/>
      <w:szCs w:val="34"/>
    </w:rPr>
  </w:style>
  <w:style w:type="paragraph" w:customStyle="1" w:styleId="H23GA">
    <w:name w:val="_ H_2/3_GA"/>
    <w:basedOn w:val="Normal"/>
    <w:next w:val="Normal"/>
    <w:link w:val="H23GAChar"/>
    <w:qFormat/>
    <w:rsid w:val="00764796"/>
    <w:pPr>
      <w:keepNext/>
      <w:keepLines/>
      <w:tabs>
        <w:tab w:val="right" w:pos="1021"/>
      </w:tabs>
      <w:suppressAutoHyphens/>
      <w:spacing w:before="240" w:after="120" w:line="380" w:lineRule="exact"/>
      <w:ind w:left="1247" w:right="1247" w:hanging="1247"/>
    </w:pPr>
    <w:rPr>
      <w:rFonts w:ascii="Times New Roman Bold" w:hAnsi="Times New Roman Bold"/>
      <w:b/>
      <w:bCs/>
      <w:lang w:eastAsia="ar-SA"/>
    </w:rPr>
  </w:style>
  <w:style w:type="paragraph" w:customStyle="1" w:styleId="H4GA">
    <w:name w:val="_ H_4_GA"/>
    <w:basedOn w:val="Normal"/>
    <w:next w:val="Normal"/>
    <w:qFormat/>
    <w:rsid w:val="00527E4C"/>
    <w:pPr>
      <w:keepNext/>
      <w:keepLines/>
      <w:tabs>
        <w:tab w:val="right" w:pos="1021"/>
      </w:tabs>
      <w:suppressAutoHyphens/>
      <w:spacing w:before="240" w:after="120" w:line="380" w:lineRule="exact"/>
      <w:ind w:left="1247" w:right="1247" w:hanging="1247"/>
    </w:pPr>
    <w:rPr>
      <w:i/>
      <w:iCs/>
    </w:rPr>
  </w:style>
  <w:style w:type="paragraph" w:customStyle="1" w:styleId="H56GA">
    <w:name w:val="_ H_5/6_GA"/>
    <w:basedOn w:val="Normal"/>
    <w:next w:val="Normal"/>
    <w:qFormat/>
    <w:rsid w:val="00527E4C"/>
    <w:pPr>
      <w:keepNext/>
      <w:keepLines/>
      <w:tabs>
        <w:tab w:val="right" w:pos="1021"/>
      </w:tabs>
      <w:suppressAutoHyphens/>
      <w:spacing w:before="240" w:after="120" w:line="380" w:lineRule="exact"/>
      <w:ind w:left="1247" w:right="1247" w:hanging="1247"/>
    </w:pPr>
  </w:style>
  <w:style w:type="paragraph" w:customStyle="1" w:styleId="SingleTxtGA">
    <w:name w:val="_ Single Txt_GA"/>
    <w:basedOn w:val="Normal"/>
    <w:link w:val="SingleTxtGAChar"/>
    <w:qFormat/>
    <w:rsid w:val="00AB3BCA"/>
    <w:pPr>
      <w:tabs>
        <w:tab w:val="left" w:pos="1928"/>
        <w:tab w:val="left" w:pos="2608"/>
        <w:tab w:val="left" w:pos="3289"/>
        <w:tab w:val="left" w:pos="3969"/>
        <w:tab w:val="left" w:pos="4649"/>
        <w:tab w:val="left" w:pos="5330"/>
      </w:tabs>
      <w:spacing w:after="120" w:line="360" w:lineRule="exact"/>
      <w:ind w:left="1247" w:right="1247"/>
    </w:pPr>
  </w:style>
  <w:style w:type="paragraph" w:customStyle="1" w:styleId="SLGA">
    <w:name w:val="__S_L_GA"/>
    <w:basedOn w:val="Normal"/>
    <w:next w:val="Normal"/>
    <w:qFormat/>
    <w:rsid w:val="00AB6758"/>
    <w:pPr>
      <w:keepNext/>
      <w:keepLines/>
      <w:suppressAutoHyphens/>
      <w:bidi w:val="0"/>
      <w:spacing w:before="240" w:after="240" w:line="800" w:lineRule="exact"/>
      <w:ind w:left="1247" w:right="1247"/>
    </w:pPr>
    <w:rPr>
      <w:b/>
      <w:bCs/>
      <w:sz w:val="56"/>
      <w:szCs w:val="84"/>
    </w:rPr>
  </w:style>
  <w:style w:type="paragraph" w:customStyle="1" w:styleId="SMGA">
    <w:name w:val="__S_M_GA"/>
    <w:basedOn w:val="Normal"/>
    <w:next w:val="Normal"/>
    <w:qFormat/>
    <w:rsid w:val="00AB6758"/>
    <w:pPr>
      <w:keepNext/>
      <w:keepLines/>
      <w:suppressAutoHyphens/>
      <w:bidi w:val="0"/>
      <w:spacing w:before="240" w:after="240" w:line="560" w:lineRule="exact"/>
      <w:ind w:left="1247" w:right="1247"/>
    </w:pPr>
    <w:rPr>
      <w:b/>
      <w:bCs/>
      <w:sz w:val="40"/>
      <w:szCs w:val="60"/>
    </w:rPr>
  </w:style>
  <w:style w:type="paragraph" w:customStyle="1" w:styleId="SSGA">
    <w:name w:val="__S_S_GA"/>
    <w:basedOn w:val="Normal"/>
    <w:next w:val="Normal"/>
    <w:qFormat/>
    <w:rsid w:val="00AB6758"/>
    <w:pPr>
      <w:keepNext/>
      <w:keepLines/>
      <w:suppressAutoHyphens/>
      <w:bidi w:val="0"/>
      <w:spacing w:before="240" w:after="240" w:line="440" w:lineRule="exact"/>
      <w:ind w:left="1134" w:right="1134"/>
    </w:pPr>
    <w:rPr>
      <w:b/>
      <w:bCs/>
      <w:sz w:val="28"/>
      <w:szCs w:val="38"/>
    </w:rPr>
  </w:style>
  <w:style w:type="paragraph" w:customStyle="1" w:styleId="XLargeGA">
    <w:name w:val="__XLarge_GA"/>
    <w:basedOn w:val="Normal"/>
    <w:qFormat/>
    <w:rsid w:val="00AB6758"/>
    <w:pPr>
      <w:keepNext/>
      <w:keepLines/>
      <w:tabs>
        <w:tab w:val="right" w:leader="dot" w:pos="360"/>
      </w:tabs>
      <w:suppressAutoHyphens/>
      <w:spacing w:before="240" w:after="240" w:line="580" w:lineRule="exact"/>
      <w:ind w:left="1247" w:right="1247"/>
    </w:pPr>
    <w:rPr>
      <w:b/>
      <w:bCs/>
      <w:sz w:val="40"/>
      <w:szCs w:val="60"/>
    </w:rPr>
  </w:style>
  <w:style w:type="paragraph" w:customStyle="1" w:styleId="Bullet1GA">
    <w:name w:val="_Bullet 1_GA"/>
    <w:basedOn w:val="Normal"/>
    <w:qFormat/>
    <w:rsid w:val="00AB3BCA"/>
    <w:pPr>
      <w:numPr>
        <w:numId w:val="8"/>
      </w:numPr>
      <w:suppressAutoHyphens/>
      <w:bidi w:val="0"/>
      <w:spacing w:after="120" w:line="360" w:lineRule="exact"/>
      <w:ind w:left="2494" w:right="1247" w:hanging="544"/>
    </w:pPr>
  </w:style>
  <w:style w:type="paragraph" w:customStyle="1" w:styleId="Bullet2GA">
    <w:name w:val="_Bullet 2_GA"/>
    <w:basedOn w:val="Normal"/>
    <w:qFormat/>
    <w:rsid w:val="00AB3BCA"/>
    <w:pPr>
      <w:numPr>
        <w:numId w:val="9"/>
      </w:numPr>
      <w:tabs>
        <w:tab w:val="left" w:pos="3062"/>
      </w:tabs>
      <w:suppressAutoHyphens/>
      <w:bidi w:val="0"/>
      <w:spacing w:after="120" w:line="360" w:lineRule="exact"/>
      <w:ind w:right="1247" w:hanging="357"/>
    </w:pPr>
  </w:style>
  <w:style w:type="paragraph" w:customStyle="1" w:styleId="ParaNoGA">
    <w:name w:val="_ParaNo._GA"/>
    <w:basedOn w:val="SingleTxtGA"/>
    <w:qFormat/>
    <w:rsid w:val="00AB6758"/>
    <w:pPr>
      <w:numPr>
        <w:numId w:val="5"/>
      </w:numPr>
      <w:suppressAutoHyphens/>
      <w:bidi w:val="0"/>
    </w:pPr>
  </w:style>
  <w:style w:type="paragraph" w:customStyle="1" w:styleId="Roman1GA">
    <w:name w:val="_Roman 1_GA"/>
    <w:basedOn w:val="Bullet1GA"/>
    <w:qFormat/>
    <w:rsid w:val="00764796"/>
    <w:pPr>
      <w:numPr>
        <w:numId w:val="10"/>
      </w:numPr>
      <w:ind w:left="2307" w:hanging="357"/>
    </w:pPr>
  </w:style>
  <w:style w:type="paragraph" w:customStyle="1" w:styleId="Roman2GA">
    <w:name w:val="_Roman 2_GA"/>
    <w:basedOn w:val="Bullet2GA"/>
    <w:next w:val="Normal"/>
    <w:qFormat/>
    <w:rsid w:val="00F900C3"/>
    <w:pPr>
      <w:numPr>
        <w:numId w:val="11"/>
      </w:numPr>
    </w:pPr>
  </w:style>
  <w:style w:type="paragraph" w:styleId="EndnoteText">
    <w:name w:val="endnote text"/>
    <w:aliases w:val="2_ GA"/>
    <w:basedOn w:val="Normal"/>
    <w:link w:val="EndnoteTextChar"/>
    <w:qFormat/>
    <w:rsid w:val="00764796"/>
    <w:pPr>
      <w:tabs>
        <w:tab w:val="right" w:pos="1021"/>
      </w:tabs>
      <w:spacing w:after="120" w:line="280" w:lineRule="exact"/>
      <w:ind w:left="1247" w:right="1247" w:hanging="1247"/>
    </w:pPr>
    <w:rPr>
      <w:sz w:val="18"/>
      <w:szCs w:val="26"/>
    </w:rPr>
  </w:style>
  <w:style w:type="character" w:customStyle="1" w:styleId="EndnoteTextChar">
    <w:name w:val="Endnote Text Char"/>
    <w:aliases w:val="2_ GA Char"/>
    <w:link w:val="EndnoteText"/>
    <w:rsid w:val="00764796"/>
    <w:rPr>
      <w:rFonts w:ascii="Times New Roman" w:hAnsi="Times New Roman" w:cs="Traditional Arabic"/>
      <w:sz w:val="18"/>
      <w:szCs w:val="26"/>
    </w:rPr>
  </w:style>
  <w:style w:type="character" w:customStyle="1" w:styleId="EndtnoteReference">
    <w:name w:val="Endtnote Reference"/>
    <w:aliases w:val="1_GA"/>
    <w:qFormat/>
    <w:rsid w:val="00764796"/>
    <w:rPr>
      <w:rFonts w:ascii="Times New Roman Bold" w:hAnsi="Times New Roman Bold" w:cs="Traditional Arabic"/>
      <w:b/>
      <w:kern w:val="0"/>
      <w:sz w:val="18"/>
      <w:szCs w:val="20"/>
      <w:vertAlign w:val="superscript"/>
    </w:rPr>
  </w:style>
  <w:style w:type="paragraph" w:styleId="Footer">
    <w:name w:val="footer"/>
    <w:aliases w:val="3_GA,3_G"/>
    <w:basedOn w:val="Normal"/>
    <w:link w:val="FooterChar"/>
    <w:qFormat/>
    <w:rsid w:val="00AB6758"/>
    <w:pPr>
      <w:suppressAutoHyphens/>
      <w:bidi w:val="0"/>
      <w:spacing w:line="240" w:lineRule="auto"/>
    </w:pPr>
    <w:rPr>
      <w:sz w:val="16"/>
      <w:szCs w:val="22"/>
      <w:lang w:val="en-GB"/>
    </w:rPr>
  </w:style>
  <w:style w:type="character" w:customStyle="1" w:styleId="FooterChar">
    <w:name w:val="Footer Char"/>
    <w:aliases w:val="3_GA Char,3_G Char"/>
    <w:link w:val="Footer"/>
    <w:rsid w:val="00AB6758"/>
    <w:rPr>
      <w:rFonts w:ascii="Times New Roman" w:eastAsia="Times New Roman" w:hAnsi="Times New Roman" w:cs="Traditional Arabic"/>
      <w:sz w:val="16"/>
      <w:lang w:val="en-GB"/>
    </w:rPr>
  </w:style>
  <w:style w:type="paragraph" w:customStyle="1" w:styleId="FootnoteText1">
    <w:name w:val="Footnote Text1"/>
    <w:aliases w:val="5_GA"/>
    <w:basedOn w:val="Normal"/>
    <w:qFormat/>
    <w:rsid w:val="00764796"/>
    <w:pPr>
      <w:spacing w:after="60" w:line="280" w:lineRule="exact"/>
      <w:ind w:left="1247" w:right="1247" w:hanging="567"/>
    </w:pPr>
    <w:rPr>
      <w:sz w:val="18"/>
      <w:szCs w:val="26"/>
    </w:rPr>
  </w:style>
  <w:style w:type="paragraph" w:styleId="Header">
    <w:name w:val="header"/>
    <w:aliases w:val="6_GA"/>
    <w:basedOn w:val="Normal"/>
    <w:link w:val="HeaderChar"/>
    <w:qFormat/>
    <w:rsid w:val="00AB6758"/>
    <w:pPr>
      <w:pBdr>
        <w:bottom w:val="single" w:sz="4" w:space="4" w:color="auto"/>
      </w:pBdr>
      <w:suppressAutoHyphens/>
      <w:bidi w:val="0"/>
    </w:pPr>
    <w:rPr>
      <w:b/>
      <w:bCs/>
      <w:sz w:val="18"/>
      <w:szCs w:val="26"/>
    </w:rPr>
  </w:style>
  <w:style w:type="character" w:customStyle="1" w:styleId="HeaderChar">
    <w:name w:val="Header Char"/>
    <w:aliases w:val="6_GA Char"/>
    <w:link w:val="Header"/>
    <w:rsid w:val="00AB6758"/>
    <w:rPr>
      <w:rFonts w:ascii="Times New Roman" w:eastAsia="Times New Roman" w:hAnsi="Times New Roman" w:cs="Traditional Arabic"/>
      <w:b/>
      <w:bCs/>
      <w:sz w:val="18"/>
      <w:szCs w:val="26"/>
    </w:rPr>
  </w:style>
  <w:style w:type="character" w:customStyle="1" w:styleId="Heading1Char">
    <w:name w:val="Heading 1 Char"/>
    <w:aliases w:val="Table_GA Char"/>
    <w:link w:val="Heading1"/>
    <w:rsid w:val="00AB6758"/>
    <w:rPr>
      <w:rFonts w:ascii="Times New Roman" w:eastAsia="Times New Roman" w:hAnsi="Times New Roman" w:cs="Traditional Arabic"/>
      <w:sz w:val="20"/>
      <w:szCs w:val="30"/>
    </w:rPr>
  </w:style>
  <w:style w:type="character" w:styleId="PageNumber">
    <w:name w:val="page number"/>
    <w:aliases w:val="7_GA"/>
    <w:qFormat/>
    <w:rsid w:val="00AB6758"/>
    <w:rPr>
      <w:rFonts w:ascii="Times New Roman" w:hAnsi="Times New Roman"/>
      <w:b/>
      <w:sz w:val="18"/>
    </w:rPr>
  </w:style>
  <w:style w:type="paragraph" w:customStyle="1" w:styleId="XXLargeGA">
    <w:name w:val="XXLarge_GA"/>
    <w:basedOn w:val="XLargeGA"/>
    <w:next w:val="Normal"/>
    <w:qFormat/>
    <w:rsid w:val="00AB6758"/>
    <w:pPr>
      <w:spacing w:line="820" w:lineRule="exact"/>
    </w:pPr>
    <w:rPr>
      <w:spacing w:val="-8"/>
      <w:w w:val="96"/>
      <w:sz w:val="57"/>
      <w:szCs w:val="86"/>
    </w:rPr>
  </w:style>
  <w:style w:type="character" w:customStyle="1" w:styleId="Heading2Char">
    <w:name w:val="Heading 2 Char"/>
    <w:link w:val="Heading2"/>
    <w:uiPriority w:val="9"/>
    <w:rsid w:val="00455780"/>
    <w:rPr>
      <w:rFonts w:ascii="Cambria" w:eastAsia="SimSun" w:hAnsi="Cambria" w:cs="Times New Roman"/>
      <w:b/>
      <w:bCs/>
      <w:color w:val="4F81BD"/>
      <w:sz w:val="26"/>
      <w:szCs w:val="26"/>
    </w:rPr>
  </w:style>
  <w:style w:type="character" w:styleId="BookTitle">
    <w:name w:val="Book Title"/>
    <w:uiPriority w:val="33"/>
    <w:rsid w:val="00455780"/>
    <w:rPr>
      <w:b/>
      <w:bCs/>
      <w:smallCaps/>
      <w:spacing w:val="5"/>
    </w:rPr>
  </w:style>
  <w:style w:type="character" w:customStyle="1" w:styleId="Heading3Char">
    <w:name w:val="Heading 3 Char"/>
    <w:link w:val="Heading3"/>
    <w:uiPriority w:val="9"/>
    <w:rsid w:val="00EC4B6B"/>
    <w:rPr>
      <w:rFonts w:ascii="Cambria" w:eastAsia="SimSun" w:hAnsi="Cambria" w:cs="Times New Roman"/>
      <w:b/>
      <w:bCs/>
      <w:color w:val="4F81BD"/>
      <w:sz w:val="20"/>
      <w:szCs w:val="30"/>
    </w:rPr>
  </w:style>
  <w:style w:type="character" w:customStyle="1" w:styleId="Heading4Char">
    <w:name w:val="Heading 4 Char"/>
    <w:link w:val="Heading4"/>
    <w:uiPriority w:val="9"/>
    <w:rsid w:val="00EC4B6B"/>
    <w:rPr>
      <w:rFonts w:ascii="Cambria" w:eastAsia="SimSun" w:hAnsi="Cambria" w:cs="Times New Roman"/>
      <w:b/>
      <w:bCs/>
      <w:i/>
      <w:iCs/>
      <w:color w:val="4F81BD"/>
      <w:sz w:val="20"/>
      <w:szCs w:val="30"/>
    </w:rPr>
  </w:style>
  <w:style w:type="character" w:customStyle="1" w:styleId="Heading5Char">
    <w:name w:val="Heading 5 Char"/>
    <w:link w:val="Heading5"/>
    <w:uiPriority w:val="9"/>
    <w:rsid w:val="00EC4B6B"/>
    <w:rPr>
      <w:rFonts w:ascii="Cambria" w:eastAsia="SimSun" w:hAnsi="Cambria" w:cs="Times New Roman"/>
      <w:color w:val="243F60"/>
      <w:sz w:val="20"/>
      <w:szCs w:val="30"/>
    </w:rPr>
  </w:style>
  <w:style w:type="character" w:customStyle="1" w:styleId="Heading6Char">
    <w:name w:val="Heading 6 Char"/>
    <w:link w:val="Heading6"/>
    <w:uiPriority w:val="9"/>
    <w:rsid w:val="00EC4B6B"/>
    <w:rPr>
      <w:rFonts w:ascii="Cambria" w:eastAsia="SimSun" w:hAnsi="Cambria" w:cs="Times New Roman"/>
      <w:i/>
      <w:iCs/>
      <w:color w:val="243F60"/>
      <w:sz w:val="20"/>
      <w:szCs w:val="30"/>
    </w:rPr>
  </w:style>
  <w:style w:type="character" w:customStyle="1" w:styleId="Heading7Char">
    <w:name w:val="Heading 7 Char"/>
    <w:link w:val="Heading7"/>
    <w:uiPriority w:val="9"/>
    <w:rsid w:val="00EC4B6B"/>
    <w:rPr>
      <w:rFonts w:ascii="Cambria" w:eastAsia="SimSun" w:hAnsi="Cambria" w:cs="Times New Roman"/>
      <w:i/>
      <w:iCs/>
      <w:color w:val="404040"/>
      <w:sz w:val="20"/>
      <w:szCs w:val="30"/>
    </w:rPr>
  </w:style>
  <w:style w:type="character" w:customStyle="1" w:styleId="Heading8Char">
    <w:name w:val="Heading 8 Char"/>
    <w:link w:val="Heading8"/>
    <w:uiPriority w:val="9"/>
    <w:rsid w:val="00EC4B6B"/>
    <w:rPr>
      <w:rFonts w:ascii="Cambria" w:eastAsia="SimSun" w:hAnsi="Cambria" w:cs="Times New Roman"/>
      <w:color w:val="404040"/>
      <w:sz w:val="20"/>
      <w:szCs w:val="20"/>
    </w:rPr>
  </w:style>
  <w:style w:type="character" w:customStyle="1" w:styleId="Heading9Char">
    <w:name w:val="Heading 9 Char"/>
    <w:link w:val="Heading9"/>
    <w:uiPriority w:val="9"/>
    <w:rsid w:val="00EC4B6B"/>
    <w:rPr>
      <w:rFonts w:ascii="Cambria" w:eastAsia="SimSun" w:hAnsi="Cambria" w:cs="Times New Roman"/>
      <w:i/>
      <w:iCs/>
      <w:color w:val="404040"/>
      <w:sz w:val="20"/>
      <w:szCs w:val="20"/>
    </w:rPr>
  </w:style>
  <w:style w:type="paragraph" w:styleId="Title">
    <w:name w:val="Title"/>
    <w:basedOn w:val="Normal"/>
    <w:next w:val="Normal"/>
    <w:link w:val="TitleChar"/>
    <w:uiPriority w:val="10"/>
    <w:rsid w:val="00EC4B6B"/>
    <w:pPr>
      <w:pBdr>
        <w:bottom w:val="single" w:sz="8" w:space="4" w:color="4F81BD"/>
      </w:pBdr>
      <w:spacing w:after="300" w:line="240" w:lineRule="auto"/>
      <w:contextualSpacing/>
    </w:pPr>
    <w:rPr>
      <w:rFonts w:ascii="Cambria" w:eastAsia="SimSun" w:hAnsi="Cambria" w:cs="Times New Roman"/>
      <w:color w:val="17365D"/>
      <w:spacing w:val="5"/>
      <w:kern w:val="28"/>
      <w:sz w:val="52"/>
      <w:szCs w:val="52"/>
    </w:rPr>
  </w:style>
  <w:style w:type="character" w:customStyle="1" w:styleId="TitleChar">
    <w:name w:val="Title Char"/>
    <w:link w:val="Title"/>
    <w:uiPriority w:val="10"/>
    <w:rsid w:val="00EC4B6B"/>
    <w:rPr>
      <w:rFonts w:ascii="Cambria" w:eastAsia="SimSun" w:hAnsi="Cambria" w:cs="Times New Roman"/>
      <w:color w:val="17365D"/>
      <w:spacing w:val="5"/>
      <w:kern w:val="28"/>
      <w:sz w:val="52"/>
      <w:szCs w:val="52"/>
    </w:rPr>
  </w:style>
  <w:style w:type="paragraph" w:styleId="Subtitle">
    <w:name w:val="Subtitle"/>
    <w:basedOn w:val="Normal"/>
    <w:next w:val="Normal"/>
    <w:link w:val="SubtitleChar"/>
    <w:uiPriority w:val="11"/>
    <w:rsid w:val="00EC4B6B"/>
    <w:pPr>
      <w:numPr>
        <w:ilvl w:val="1"/>
      </w:numPr>
    </w:pPr>
    <w:rPr>
      <w:rFonts w:ascii="Cambria" w:eastAsia="SimSun" w:hAnsi="Cambria" w:cs="Times New Roman"/>
      <w:i/>
      <w:iCs/>
      <w:color w:val="4F81BD"/>
      <w:spacing w:val="15"/>
      <w:sz w:val="24"/>
      <w:szCs w:val="24"/>
    </w:rPr>
  </w:style>
  <w:style w:type="character" w:customStyle="1" w:styleId="SubtitleChar">
    <w:name w:val="Subtitle Char"/>
    <w:link w:val="Subtitle"/>
    <w:uiPriority w:val="11"/>
    <w:rsid w:val="00EC4B6B"/>
    <w:rPr>
      <w:rFonts w:ascii="Cambria" w:eastAsia="SimSun" w:hAnsi="Cambria" w:cs="Times New Roman"/>
      <w:i/>
      <w:iCs/>
      <w:color w:val="4F81BD"/>
      <w:spacing w:val="15"/>
      <w:sz w:val="24"/>
      <w:szCs w:val="24"/>
    </w:rPr>
  </w:style>
  <w:style w:type="character" w:styleId="SubtleEmphasis">
    <w:name w:val="Subtle Emphasis"/>
    <w:uiPriority w:val="19"/>
    <w:rsid w:val="00EC4B6B"/>
    <w:rPr>
      <w:i/>
      <w:iCs/>
      <w:color w:val="808080"/>
    </w:rPr>
  </w:style>
  <w:style w:type="table" w:styleId="ColorfulGrid-Accent6">
    <w:name w:val="Colorful Grid Accent 6"/>
    <w:basedOn w:val="TableNormal"/>
    <w:uiPriority w:val="73"/>
    <w:rsid w:val="00EC4B6B"/>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Emphasis">
    <w:name w:val="Emphasis"/>
    <w:uiPriority w:val="20"/>
    <w:rsid w:val="003260FF"/>
    <w:rPr>
      <w:i/>
      <w:iCs/>
    </w:rPr>
  </w:style>
  <w:style w:type="character" w:styleId="IntenseEmphasis">
    <w:name w:val="Intense Emphasis"/>
    <w:uiPriority w:val="21"/>
    <w:rsid w:val="003260FF"/>
    <w:rPr>
      <w:b/>
      <w:bCs/>
      <w:i/>
      <w:iCs/>
      <w:color w:val="4F81BD"/>
    </w:rPr>
  </w:style>
  <w:style w:type="character" w:styleId="Strong">
    <w:name w:val="Strong"/>
    <w:uiPriority w:val="22"/>
    <w:rsid w:val="003260FF"/>
    <w:rPr>
      <w:b/>
      <w:bCs/>
    </w:rPr>
  </w:style>
  <w:style w:type="paragraph" w:styleId="Quote">
    <w:name w:val="Quote"/>
    <w:basedOn w:val="Normal"/>
    <w:next w:val="Normal"/>
    <w:link w:val="QuoteChar"/>
    <w:uiPriority w:val="29"/>
    <w:rsid w:val="003260FF"/>
    <w:rPr>
      <w:i/>
      <w:iCs/>
      <w:color w:val="000000"/>
    </w:rPr>
  </w:style>
  <w:style w:type="character" w:customStyle="1" w:styleId="QuoteChar">
    <w:name w:val="Quote Char"/>
    <w:link w:val="Quote"/>
    <w:uiPriority w:val="29"/>
    <w:rsid w:val="003260FF"/>
    <w:rPr>
      <w:rFonts w:ascii="Times New Roman" w:hAnsi="Times New Roman" w:cs="Traditional Arabic"/>
      <w:i/>
      <w:iCs/>
      <w:color w:val="000000"/>
      <w:sz w:val="20"/>
      <w:szCs w:val="30"/>
    </w:rPr>
  </w:style>
  <w:style w:type="paragraph" w:styleId="IntenseQuote">
    <w:name w:val="Intense Quote"/>
    <w:basedOn w:val="Normal"/>
    <w:next w:val="Normal"/>
    <w:link w:val="IntenseQuoteChar"/>
    <w:uiPriority w:val="30"/>
    <w:rsid w:val="003260F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260FF"/>
    <w:rPr>
      <w:rFonts w:ascii="Times New Roman" w:hAnsi="Times New Roman" w:cs="Traditional Arabic"/>
      <w:b/>
      <w:bCs/>
      <w:i/>
      <w:iCs/>
      <w:color w:val="4F81BD"/>
      <w:sz w:val="20"/>
      <w:szCs w:val="30"/>
    </w:rPr>
  </w:style>
  <w:style w:type="character" w:styleId="SubtleReference">
    <w:name w:val="Subtle Reference"/>
    <w:uiPriority w:val="31"/>
    <w:rsid w:val="003260FF"/>
    <w:rPr>
      <w:smallCaps/>
      <w:color w:val="C0504D"/>
      <w:u w:val="single"/>
    </w:rPr>
  </w:style>
  <w:style w:type="character" w:styleId="IntenseReference">
    <w:name w:val="Intense Reference"/>
    <w:uiPriority w:val="32"/>
    <w:rsid w:val="003260FF"/>
    <w:rPr>
      <w:b/>
      <w:bCs/>
      <w:smallCaps/>
      <w:color w:val="C0504D"/>
      <w:spacing w:val="5"/>
      <w:u w:val="single"/>
    </w:rPr>
  </w:style>
  <w:style w:type="paragraph" w:styleId="ListParagraph">
    <w:name w:val="List Paragraph"/>
    <w:basedOn w:val="Normal"/>
    <w:uiPriority w:val="34"/>
    <w:rsid w:val="003260FF"/>
    <w:pPr>
      <w:ind w:left="720"/>
      <w:contextualSpacing/>
    </w:pPr>
  </w:style>
  <w:style w:type="table" w:styleId="MediumShading1-Accent4">
    <w:name w:val="Medium Shading 1 Accent 4"/>
    <w:basedOn w:val="TableNormal"/>
    <w:uiPriority w:val="63"/>
    <w:rsid w:val="003260F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EndnoteReference">
    <w:name w:val="endnote reference"/>
    <w:uiPriority w:val="99"/>
    <w:semiHidden/>
    <w:unhideWhenUsed/>
    <w:rsid w:val="00F900C3"/>
    <w:rPr>
      <w:vertAlign w:val="superscript"/>
    </w:rPr>
  </w:style>
  <w:style w:type="table" w:styleId="TableGrid">
    <w:name w:val="Table Grid"/>
    <w:basedOn w:val="TableNormal"/>
    <w:rsid w:val="006B3E27"/>
    <w:pPr>
      <w:bidi/>
      <w:jc w:val="lowKashida"/>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3E27"/>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6B3E27"/>
    <w:rPr>
      <w:rFonts w:ascii="Tahoma" w:hAnsi="Tahoma" w:cs="Tahoma"/>
      <w:sz w:val="16"/>
      <w:szCs w:val="16"/>
    </w:rPr>
  </w:style>
  <w:style w:type="paragraph" w:customStyle="1" w:styleId="SingleTxtG">
    <w:name w:val="_ Single Txt_G"/>
    <w:basedOn w:val="Normal"/>
    <w:link w:val="SingleTxtGChar"/>
    <w:qFormat/>
    <w:rsid w:val="00A31A27"/>
    <w:pPr>
      <w:suppressAutoHyphens/>
      <w:bidi w:val="0"/>
      <w:spacing w:after="120"/>
      <w:ind w:left="1134" w:right="1134"/>
      <w:jc w:val="both"/>
    </w:pPr>
    <w:rPr>
      <w:szCs w:val="30"/>
      <w:lang w:val="en-GB"/>
    </w:rPr>
  </w:style>
  <w:style w:type="paragraph" w:customStyle="1" w:styleId="HChG">
    <w:name w:val="_ H _Ch_G"/>
    <w:basedOn w:val="Normal"/>
    <w:next w:val="Normal"/>
    <w:link w:val="HChGChar"/>
    <w:rsid w:val="00A31A27"/>
    <w:pPr>
      <w:keepNext/>
      <w:keepLines/>
      <w:tabs>
        <w:tab w:val="right" w:pos="851"/>
      </w:tabs>
      <w:suppressAutoHyphens/>
      <w:bidi w:val="0"/>
      <w:spacing w:before="360" w:after="240" w:line="300" w:lineRule="exact"/>
      <w:ind w:left="1134" w:right="1134" w:hanging="1134"/>
      <w:jc w:val="left"/>
    </w:pPr>
    <w:rPr>
      <w:b/>
      <w:sz w:val="28"/>
      <w:szCs w:val="30"/>
      <w:lang w:val="en-GB"/>
    </w:rPr>
  </w:style>
  <w:style w:type="paragraph" w:customStyle="1" w:styleId="SMG">
    <w:name w:val="__S_M_G"/>
    <w:basedOn w:val="Normal"/>
    <w:next w:val="Normal"/>
    <w:rsid w:val="00A31A27"/>
    <w:pPr>
      <w:keepNext/>
      <w:keepLines/>
      <w:suppressAutoHyphens/>
      <w:bidi w:val="0"/>
      <w:spacing w:before="240" w:after="240" w:line="420" w:lineRule="exact"/>
      <w:ind w:left="1134" w:right="1134"/>
      <w:jc w:val="left"/>
    </w:pPr>
    <w:rPr>
      <w:rFonts w:hint="cs"/>
      <w:b/>
      <w:sz w:val="40"/>
      <w:szCs w:val="30"/>
      <w:lang w:val="en-GB"/>
    </w:rPr>
  </w:style>
  <w:style w:type="character" w:customStyle="1" w:styleId="SingleTxtGChar">
    <w:name w:val="_ Single Txt_G Char"/>
    <w:link w:val="SingleTxtG"/>
    <w:rsid w:val="00A31A27"/>
    <w:rPr>
      <w:rFonts w:ascii="Times New Roman" w:hAnsi="Times New Roman" w:cs="Traditional Arabic"/>
      <w:szCs w:val="30"/>
      <w:lang w:val="en-GB" w:eastAsia="en-US"/>
    </w:rPr>
  </w:style>
  <w:style w:type="character" w:customStyle="1" w:styleId="HChGChar">
    <w:name w:val="_ H _Ch_G Char"/>
    <w:link w:val="HChG"/>
    <w:rsid w:val="00A31A27"/>
    <w:rPr>
      <w:rFonts w:ascii="Times New Roman" w:hAnsi="Times New Roman" w:cs="Traditional Arabic"/>
      <w:b/>
      <w:sz w:val="28"/>
      <w:szCs w:val="30"/>
      <w:lang w:val="en-GB" w:eastAsia="en-US"/>
    </w:rPr>
  </w:style>
  <w:style w:type="paragraph" w:customStyle="1" w:styleId="H1">
    <w:name w:val="_ H_1"/>
    <w:basedOn w:val="Normal"/>
    <w:next w:val="Normal"/>
    <w:qFormat/>
    <w:rsid w:val="00BE69D6"/>
    <w:pPr>
      <w:keepNext/>
      <w:keepLines/>
      <w:spacing w:line="400" w:lineRule="exact"/>
      <w:outlineLvl w:val="0"/>
    </w:pPr>
    <w:rPr>
      <w:rFonts w:eastAsiaTheme="minorHAnsi"/>
      <w:b/>
      <w:bCs/>
      <w:w w:val="103"/>
      <w:kern w:val="14"/>
      <w:sz w:val="24"/>
      <w:szCs w:val="34"/>
    </w:rPr>
  </w:style>
  <w:style w:type="character" w:customStyle="1" w:styleId="SingleTxtGAChar">
    <w:name w:val="_ Single Txt_GA Char"/>
    <w:link w:val="SingleTxtGA"/>
    <w:rsid w:val="00BE69D6"/>
    <w:rPr>
      <w:rFonts w:ascii="Times New Roman" w:hAnsi="Times New Roman" w:cs="Traditional Arabic"/>
      <w:szCs w:val="28"/>
      <w:lang w:eastAsia="en-US"/>
    </w:rPr>
  </w:style>
  <w:style w:type="character" w:customStyle="1" w:styleId="H23GAChar">
    <w:name w:val="_ H_2/3_GA Char"/>
    <w:basedOn w:val="DefaultParagraphFont"/>
    <w:link w:val="H23GA"/>
    <w:rsid w:val="00BE69D6"/>
    <w:rPr>
      <w:rFonts w:ascii="Times New Roman Bold" w:hAnsi="Times New Roman Bold" w:cs="Traditional Arabic"/>
      <w:b/>
      <w:bCs/>
      <w:szCs w:val="28"/>
      <w:lang w:eastAsia="ar-SA"/>
    </w:rPr>
  </w:style>
  <w:style w:type="paragraph" w:styleId="Revision">
    <w:name w:val="Revision"/>
    <w:hidden/>
    <w:uiPriority w:val="99"/>
    <w:semiHidden/>
    <w:rsid w:val="000A5A8A"/>
    <w:rPr>
      <w:rFonts w:ascii="Times New Roman" w:hAnsi="Times New Roman" w:cs="Traditional Arabic"/>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7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Templat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E89B9A523FF84E9CADE6C6FDF39262" ma:contentTypeVersion="0" ma:contentTypeDescription="Create a new document." ma:contentTypeScope="" ma:versionID="492384d3aab1a672291b473361d36ec0">
  <xsd:schema xmlns:xsd="http://www.w3.org/2001/XMLSchema" xmlns:xs="http://www.w3.org/2001/XMLSchema" xmlns:p="http://schemas.microsoft.com/office/2006/metadata/properties" targetNamespace="http://schemas.microsoft.com/office/2006/metadata/properties" ma:root="true" ma:fieldsID="6486bee6e5d8fbc42cc88386ba023c8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C34AD-4F73-4CE5-9BEE-E1E2435B2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BE5596-80AF-44F7-8D47-5DCC03226E04}">
  <ds:schemaRefs>
    <ds:schemaRef ds:uri="http://schemas.microsoft.com/sharepoint/v3/contenttype/forms"/>
  </ds:schemaRefs>
</ds:datastoreItem>
</file>

<file path=customXml/itemProps3.xml><?xml version="1.0" encoding="utf-8"?>
<ds:datastoreItem xmlns:ds="http://schemas.openxmlformats.org/officeDocument/2006/customXml" ds:itemID="{B746BFDB-61DA-4536-B60D-04B9090A181E}">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4.xml><?xml version="1.0" encoding="utf-8"?>
<ds:datastoreItem xmlns:ds="http://schemas.openxmlformats.org/officeDocument/2006/customXml" ds:itemID="{244B91DD-4F4B-43FE-8676-9BA1B22E2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A.dotm</Template>
  <TotalTime>0</TotalTime>
  <Pages>10</Pages>
  <Words>2118</Words>
  <Characters>12078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A/HRC/SS/#</vt:lpstr>
    </vt:vector>
  </TitlesOfParts>
  <Company>DCM</Company>
  <LinksUpToDate>false</LinksUpToDate>
  <CharactersWithSpaces>14168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A/HRC/SS/#</dc:title>
  <dc:subject>GE.</dc:subject>
  <dc:creator>IBAL</dc:creator>
  <cp:keywords>ODS No.</cp:keywords>
  <dc:description>Original: English _x000d_
Distribution: General_x000d_
Date:</dc:description>
  <cp:lastModifiedBy>Veronique Lanz</cp:lastModifiedBy>
  <cp:revision>2</cp:revision>
  <cp:lastPrinted>2023-02-28T16:41:00Z</cp:lastPrinted>
  <dcterms:created xsi:type="dcterms:W3CDTF">2023-03-10T07:20:00Z</dcterms:created>
  <dcterms:modified xsi:type="dcterms:W3CDTF">2023-03-10T07:20:00Z</dcterms:modified>
  <cp:category>Final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0x010100B6E89B9A523FF84E9CADE6C6FDF39262</vt:lpwstr>
  </property>
</Properties>
</file>