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5D97" w:rsidRDefault="009B5D97" w:rsidP="00F07C07">
      <w:pPr>
        <w:spacing w:line="360" w:lineRule="auto"/>
        <w:jc w:val="center"/>
        <w:outlineLvl w:val="1"/>
        <w:rPr>
          <w:rFonts w:asciiTheme="majorBidi" w:hAnsiTheme="majorBidi" w:cstheme="majorBidi"/>
          <w:b/>
          <w:bCs/>
          <w:sz w:val="24"/>
          <w:szCs w:val="24"/>
          <w:lang w:val="en-AU"/>
        </w:rPr>
      </w:pPr>
    </w:p>
    <w:p w:rsidR="009B5D97" w:rsidRDefault="00F74687" w:rsidP="00F07C07">
      <w:pPr>
        <w:outlineLvl w:val="1"/>
        <w:rPr>
          <w:b/>
          <w:bCs/>
          <w:sz w:val="24"/>
          <w:szCs w:val="24"/>
          <w:lang w:val="en-AU"/>
        </w:rPr>
      </w:pPr>
      <w:r>
        <w:rPr>
          <w:b/>
          <w:bCs/>
          <w:sz w:val="24"/>
          <w:szCs w:val="24"/>
          <w:lang w:val="en-AU"/>
        </w:rPr>
        <w:t xml:space="preserve">Submission to the United Nations </w:t>
      </w:r>
      <w:r w:rsidR="009B5D97" w:rsidRPr="000254BB">
        <w:rPr>
          <w:b/>
          <w:bCs/>
          <w:sz w:val="24"/>
          <w:szCs w:val="24"/>
          <w:lang w:val="en-AU"/>
        </w:rPr>
        <w:t>Special Rapporteur on the promotion and protection of human rights in the context of climate change</w:t>
      </w:r>
    </w:p>
    <w:p w:rsidR="00F07C07" w:rsidRPr="000254BB" w:rsidRDefault="00F07C07" w:rsidP="00F07C07">
      <w:pPr>
        <w:outlineLvl w:val="1"/>
        <w:rPr>
          <w:b/>
          <w:bCs/>
          <w:sz w:val="24"/>
          <w:szCs w:val="24"/>
          <w:lang w:val="en-AU"/>
        </w:rPr>
      </w:pPr>
    </w:p>
    <w:p w:rsidR="009B5D97" w:rsidRPr="000254BB" w:rsidRDefault="009B5D97" w:rsidP="00F07C07">
      <w:pPr>
        <w:rPr>
          <w:b/>
          <w:bCs/>
          <w:sz w:val="24"/>
          <w:szCs w:val="24"/>
          <w:lang w:val="en-AU"/>
        </w:rPr>
      </w:pPr>
      <w:r w:rsidRPr="000254BB">
        <w:rPr>
          <w:b/>
          <w:bCs/>
          <w:sz w:val="24"/>
          <w:szCs w:val="24"/>
          <w:lang w:val="en-AU"/>
        </w:rPr>
        <w:t>“Enhancing climate change legislation, support for climate change litigation and advancement of the principle of intergeneration justice”</w:t>
      </w:r>
    </w:p>
    <w:p w:rsidR="009B5D97" w:rsidRPr="000254BB" w:rsidRDefault="009B5D97" w:rsidP="00F07C07">
      <w:pPr>
        <w:outlineLvl w:val="1"/>
        <w:rPr>
          <w:b/>
          <w:bCs/>
          <w:sz w:val="24"/>
          <w:szCs w:val="24"/>
          <w:lang w:val="en-AU"/>
        </w:rPr>
      </w:pPr>
    </w:p>
    <w:p w:rsidR="009B5D97" w:rsidRDefault="00F74687" w:rsidP="00F07C07">
      <w:pPr>
        <w:rPr>
          <w:b/>
          <w:bCs/>
          <w:sz w:val="24"/>
          <w:szCs w:val="24"/>
          <w:lang w:val="en-AU"/>
        </w:rPr>
      </w:pPr>
      <w:r>
        <w:rPr>
          <w:b/>
          <w:bCs/>
          <w:sz w:val="24"/>
          <w:szCs w:val="24"/>
          <w:lang w:val="en-AU"/>
        </w:rPr>
        <w:t>Submission by Parul Kumar</w:t>
      </w:r>
      <w:r w:rsidR="00395605">
        <w:rPr>
          <w:b/>
          <w:bCs/>
          <w:sz w:val="24"/>
          <w:szCs w:val="24"/>
          <w:lang w:val="en-AU"/>
        </w:rPr>
        <w:t xml:space="preserve"> (LL.M.)</w:t>
      </w:r>
      <w:r>
        <w:rPr>
          <w:b/>
          <w:bCs/>
          <w:sz w:val="24"/>
          <w:szCs w:val="24"/>
          <w:lang w:val="en-AU"/>
        </w:rPr>
        <w:t xml:space="preserve">, </w:t>
      </w:r>
      <w:hyperlink r:id="rId8" w:anchor="/projecten/3H230191?hl=en&amp;lang=en" w:history="1">
        <w:r w:rsidRPr="004D3495">
          <w:rPr>
            <w:rStyle w:val="Hyperlink"/>
            <w:b/>
            <w:bCs/>
            <w:sz w:val="24"/>
            <w:szCs w:val="24"/>
            <w:lang w:val="en-AU"/>
          </w:rPr>
          <w:t>PhD Candidate at the Faculty of Law and Criminology</w:t>
        </w:r>
        <w:r w:rsidR="00395605" w:rsidRPr="004D3495">
          <w:rPr>
            <w:rStyle w:val="Hyperlink"/>
            <w:b/>
            <w:bCs/>
            <w:sz w:val="24"/>
            <w:szCs w:val="24"/>
            <w:lang w:val="en-AU"/>
          </w:rPr>
          <w:t>,</w:t>
        </w:r>
        <w:r w:rsidRPr="004D3495">
          <w:rPr>
            <w:rStyle w:val="Hyperlink"/>
            <w:b/>
            <w:bCs/>
            <w:sz w:val="24"/>
            <w:szCs w:val="24"/>
            <w:lang w:val="en-AU"/>
          </w:rPr>
          <w:t xml:space="preserve"> KU Leuven</w:t>
        </w:r>
      </w:hyperlink>
      <w:r w:rsidR="00844FBB">
        <w:rPr>
          <w:b/>
          <w:bCs/>
          <w:sz w:val="24"/>
          <w:szCs w:val="24"/>
          <w:lang w:val="en-AU"/>
        </w:rPr>
        <w:t xml:space="preserve"> in response to Question 5</w:t>
      </w:r>
      <w:r w:rsidR="004D3495">
        <w:rPr>
          <w:b/>
          <w:bCs/>
          <w:sz w:val="24"/>
          <w:szCs w:val="24"/>
          <w:lang w:val="en-AU"/>
        </w:rPr>
        <w:t xml:space="preserve"> (May 25, 2023)</w:t>
      </w:r>
    </w:p>
    <w:p w:rsidR="00F74687" w:rsidRPr="000254BB" w:rsidRDefault="00F74687" w:rsidP="00F07C07">
      <w:pPr>
        <w:spacing w:line="360" w:lineRule="auto"/>
        <w:rPr>
          <w:b/>
          <w:bCs/>
          <w:sz w:val="24"/>
          <w:szCs w:val="24"/>
          <w:lang w:val="en-AU"/>
        </w:rPr>
      </w:pPr>
    </w:p>
    <w:p w:rsidR="00844FBB" w:rsidRDefault="00844FBB" w:rsidP="00F07C07">
      <w:pPr>
        <w:spacing w:line="360" w:lineRule="auto"/>
        <w:jc w:val="both"/>
        <w:outlineLvl w:val="1"/>
        <w:rPr>
          <w:b/>
          <w:bCs/>
          <w:sz w:val="24"/>
          <w:szCs w:val="24"/>
          <w:lang w:val="en-AU"/>
        </w:rPr>
      </w:pPr>
    </w:p>
    <w:p w:rsidR="009B5D97" w:rsidRDefault="009B5D97" w:rsidP="00F07C07">
      <w:pPr>
        <w:pStyle w:val="ListParagraph"/>
        <w:widowControl w:val="0"/>
        <w:numPr>
          <w:ilvl w:val="0"/>
          <w:numId w:val="1"/>
        </w:numPr>
        <w:autoSpaceDE w:val="0"/>
        <w:autoSpaceDN w:val="0"/>
        <w:spacing w:line="360" w:lineRule="auto"/>
        <w:ind w:right="1380"/>
        <w:contextualSpacing w:val="0"/>
        <w:jc w:val="both"/>
        <w:outlineLvl w:val="1"/>
        <w:rPr>
          <w:b/>
          <w:bCs/>
          <w:i/>
          <w:iCs/>
          <w:sz w:val="24"/>
          <w:szCs w:val="24"/>
        </w:rPr>
      </w:pPr>
      <w:r w:rsidRPr="00844FBB">
        <w:rPr>
          <w:b/>
          <w:bCs/>
          <w:i/>
          <w:iCs/>
          <w:sz w:val="24"/>
          <w:szCs w:val="24"/>
        </w:rPr>
        <w:t>How are human rights considerations being incorporated into climate change litigation?</w:t>
      </w:r>
    </w:p>
    <w:p w:rsidR="00F07C07" w:rsidRPr="00844FBB" w:rsidRDefault="00F07C07" w:rsidP="00F07C07">
      <w:pPr>
        <w:pStyle w:val="ListParagraph"/>
        <w:widowControl w:val="0"/>
        <w:autoSpaceDE w:val="0"/>
        <w:autoSpaceDN w:val="0"/>
        <w:spacing w:line="360" w:lineRule="auto"/>
        <w:ind w:right="1380"/>
        <w:contextualSpacing w:val="0"/>
        <w:jc w:val="both"/>
        <w:outlineLvl w:val="1"/>
        <w:rPr>
          <w:b/>
          <w:bCs/>
          <w:i/>
          <w:iCs/>
          <w:sz w:val="24"/>
          <w:szCs w:val="24"/>
        </w:rPr>
      </w:pPr>
    </w:p>
    <w:p w:rsidR="00BC7733" w:rsidRPr="004D3495" w:rsidRDefault="00BC7733" w:rsidP="004D3495">
      <w:pPr>
        <w:pStyle w:val="NormalWeb"/>
        <w:spacing w:before="0" w:beforeAutospacing="0" w:after="0" w:afterAutospacing="0" w:line="360" w:lineRule="auto"/>
        <w:ind w:left="720"/>
        <w:rPr>
          <w:b/>
          <w:bCs/>
          <w:i/>
          <w:iCs/>
          <w:lang w:val="en-GB" w:eastAsia="en-US"/>
        </w:rPr>
      </w:pPr>
      <w:r w:rsidRPr="004D3495">
        <w:rPr>
          <w:b/>
          <w:bCs/>
          <w:i/>
          <w:iCs/>
          <w:lang w:val="en-GB" w:eastAsia="en-US"/>
        </w:rPr>
        <w:t xml:space="preserve">The “rights turn” in climate litigation </w:t>
      </w:r>
    </w:p>
    <w:p w:rsidR="00613CFB" w:rsidRDefault="00613CFB" w:rsidP="00F07C07">
      <w:pPr>
        <w:pStyle w:val="NormalWeb"/>
        <w:spacing w:before="0" w:beforeAutospacing="0" w:after="0" w:afterAutospacing="0" w:line="360" w:lineRule="auto"/>
        <w:ind w:left="720"/>
        <w:rPr>
          <w:lang w:val="en-GB" w:eastAsia="en-US"/>
        </w:rPr>
      </w:pPr>
      <w:r w:rsidRPr="00613CFB">
        <w:rPr>
          <w:lang w:val="en-GB" w:eastAsia="en-US"/>
        </w:rPr>
        <w:t xml:space="preserve">Climate litigation has been </w:t>
      </w:r>
      <w:r>
        <w:rPr>
          <w:lang w:val="en-GB" w:eastAsia="en-US"/>
        </w:rPr>
        <w:t xml:space="preserve">described as having taken shape across three waves: the first wave was dominated by challenges in the period between the mid-1980s and the mid-2000s against the government predominantly in the United States of America (USA) and Australia; the second wave in the early and mid-2000s was characterised by cases with a wider variety, including those with a focus on </w:t>
      </w:r>
      <w:r w:rsidR="00E741B4">
        <w:rPr>
          <w:lang w:val="en-GB" w:eastAsia="en-US"/>
        </w:rPr>
        <w:t>filling gaps in</w:t>
      </w:r>
      <w:r>
        <w:rPr>
          <w:lang w:val="en-GB" w:eastAsia="en-US"/>
        </w:rPr>
        <w:t xml:space="preserve"> climate l</w:t>
      </w:r>
      <w:r w:rsidR="00E741B4">
        <w:rPr>
          <w:lang w:val="en-GB" w:eastAsia="en-US"/>
        </w:rPr>
        <w:t>egislatio</w:t>
      </w:r>
      <w:r>
        <w:rPr>
          <w:lang w:val="en-GB" w:eastAsia="en-US"/>
        </w:rPr>
        <w:t>n; the third wave</w:t>
      </w:r>
      <w:r w:rsidR="004D3495">
        <w:rPr>
          <w:lang w:val="en-GB" w:eastAsia="en-US"/>
        </w:rPr>
        <w:t>, which</w:t>
      </w:r>
      <w:r>
        <w:rPr>
          <w:lang w:val="en-GB" w:eastAsia="en-US"/>
        </w:rPr>
        <w:t xml:space="preserve"> is </w:t>
      </w:r>
      <w:r w:rsidR="00E741B4">
        <w:rPr>
          <w:lang w:val="en-GB" w:eastAsia="en-US"/>
        </w:rPr>
        <w:t>considered to have</w:t>
      </w:r>
      <w:r>
        <w:rPr>
          <w:lang w:val="en-GB" w:eastAsia="en-US"/>
        </w:rPr>
        <w:t xml:space="preserve"> begun around 2015</w:t>
      </w:r>
      <w:r w:rsidR="004D3495">
        <w:rPr>
          <w:lang w:val="en-GB" w:eastAsia="en-US"/>
        </w:rPr>
        <w:t xml:space="preserve"> -</w:t>
      </w:r>
      <w:r>
        <w:rPr>
          <w:lang w:val="en-GB" w:eastAsia="en-US"/>
        </w:rPr>
        <w:t xml:space="preserve"> </w:t>
      </w:r>
      <w:r w:rsidR="00E741B4">
        <w:rPr>
          <w:lang w:val="en-GB" w:eastAsia="en-US"/>
        </w:rPr>
        <w:t>the year</w:t>
      </w:r>
      <w:r>
        <w:rPr>
          <w:lang w:val="en-GB" w:eastAsia="en-US"/>
        </w:rPr>
        <w:t xml:space="preserve"> of the adoption of the Paris Agreement</w:t>
      </w:r>
      <w:r w:rsidR="004D3495">
        <w:rPr>
          <w:lang w:val="en-GB" w:eastAsia="en-US"/>
        </w:rPr>
        <w:t xml:space="preserve"> - </w:t>
      </w:r>
      <w:r w:rsidR="008C345B">
        <w:rPr>
          <w:lang w:val="en-GB" w:eastAsia="en-US"/>
        </w:rPr>
        <w:t xml:space="preserve">has seen more strategic climate litigation, </w:t>
      </w:r>
      <w:r w:rsidR="00E741B4">
        <w:rPr>
          <w:lang w:val="en-GB" w:eastAsia="en-US"/>
        </w:rPr>
        <w:t>with the</w:t>
      </w:r>
      <w:r w:rsidR="008C345B">
        <w:rPr>
          <w:lang w:val="en-GB" w:eastAsia="en-US"/>
        </w:rPr>
        <w:t xml:space="preserve"> adopt</w:t>
      </w:r>
      <w:r w:rsidR="00E741B4">
        <w:rPr>
          <w:lang w:val="en-GB" w:eastAsia="en-US"/>
        </w:rPr>
        <w:t>ion of</w:t>
      </w:r>
      <w:r w:rsidR="008C345B">
        <w:rPr>
          <w:lang w:val="en-GB" w:eastAsia="en-US"/>
        </w:rPr>
        <w:t xml:space="preserve"> human rights and constitutional law arguments</w:t>
      </w:r>
      <w:r w:rsidR="00E741B4">
        <w:rPr>
          <w:lang w:val="en-GB" w:eastAsia="en-US"/>
        </w:rPr>
        <w:t xml:space="preserve"> forming a key feature of such litigation</w:t>
      </w:r>
      <w:r w:rsidR="008C345B">
        <w:rPr>
          <w:lang w:val="en-GB" w:eastAsia="en-US"/>
        </w:rPr>
        <w:t xml:space="preserve"> </w:t>
      </w:r>
      <w:sdt>
        <w:sdtPr>
          <w:rPr>
            <w:lang w:val="en-GB" w:eastAsia="en-US"/>
          </w:rPr>
          <w:id w:val="-1474816874"/>
          <w:citation/>
        </w:sdtPr>
        <w:sdtEndPr/>
        <w:sdtContent>
          <w:r w:rsidR="008C345B">
            <w:rPr>
              <w:lang w:val="en-GB" w:eastAsia="en-US"/>
            </w:rPr>
            <w:fldChar w:fldCharType="begin"/>
          </w:r>
          <w:r w:rsidR="008C345B">
            <w:rPr>
              <w:lang w:val="en-GB" w:eastAsia="en-US"/>
            </w:rPr>
            <w:instrText xml:space="preserve"> CITATION Set22 \l 2057 </w:instrText>
          </w:r>
          <w:r w:rsidR="008C345B">
            <w:rPr>
              <w:lang w:val="en-GB" w:eastAsia="en-US"/>
            </w:rPr>
            <w:fldChar w:fldCharType="separate"/>
          </w:r>
          <w:r w:rsidR="008C345B">
            <w:rPr>
              <w:noProof/>
              <w:lang w:val="en-GB" w:eastAsia="en-US"/>
            </w:rPr>
            <w:t>(Setzer, Narulla, Higham, &amp; Bradeen, 2022)</w:t>
          </w:r>
          <w:r w:rsidR="008C345B">
            <w:rPr>
              <w:lang w:val="en-GB" w:eastAsia="en-US"/>
            </w:rPr>
            <w:fldChar w:fldCharType="end"/>
          </w:r>
        </w:sdtContent>
      </w:sdt>
      <w:r w:rsidR="008C345B">
        <w:rPr>
          <w:lang w:val="en-GB" w:eastAsia="en-US"/>
        </w:rPr>
        <w:t>.</w:t>
      </w:r>
    </w:p>
    <w:p w:rsidR="00E741B4" w:rsidRDefault="00E741B4" w:rsidP="00F07C07">
      <w:pPr>
        <w:pStyle w:val="NormalWeb"/>
        <w:spacing w:before="0" w:beforeAutospacing="0" w:after="0" w:afterAutospacing="0" w:line="360" w:lineRule="auto"/>
        <w:ind w:left="720"/>
        <w:rPr>
          <w:lang w:val="en-GB" w:eastAsia="en-US"/>
        </w:rPr>
      </w:pPr>
    </w:p>
    <w:p w:rsidR="00E741B4" w:rsidRDefault="00E741B4" w:rsidP="00F07C07">
      <w:pPr>
        <w:pStyle w:val="NormalWeb"/>
        <w:spacing w:before="0" w:beforeAutospacing="0" w:after="0" w:afterAutospacing="0" w:line="360" w:lineRule="auto"/>
        <w:ind w:left="720"/>
        <w:rPr>
          <w:lang w:val="en-GB" w:eastAsia="en-US"/>
        </w:rPr>
      </w:pPr>
      <w:r>
        <w:rPr>
          <w:lang w:val="en-GB" w:eastAsia="en-US"/>
        </w:rPr>
        <w:t>The shift towards using human rights considerations in climate litigation has been referred to as the “rights turn” in climate litigation</w:t>
      </w:r>
      <w:r w:rsidR="00DA471A">
        <w:rPr>
          <w:lang w:val="en-GB" w:eastAsia="en-US"/>
        </w:rPr>
        <w:t>, initially in the context of six cases from different jurisdictions: Pakistan, the Netherlands, Austria, the USA, the Philippines, and South Africa</w:t>
      </w:r>
      <w:sdt>
        <w:sdtPr>
          <w:rPr>
            <w:lang w:val="en-GB" w:eastAsia="en-US"/>
          </w:rPr>
          <w:id w:val="544570369"/>
          <w:citation/>
        </w:sdtPr>
        <w:sdtEndPr/>
        <w:sdtContent>
          <w:r>
            <w:rPr>
              <w:lang w:val="en-GB" w:eastAsia="en-US"/>
            </w:rPr>
            <w:fldChar w:fldCharType="begin"/>
          </w:r>
          <w:r>
            <w:rPr>
              <w:lang w:val="en-GB" w:eastAsia="en-US"/>
            </w:rPr>
            <w:instrText xml:space="preserve"> CITATION Pee18 \l 2057 </w:instrText>
          </w:r>
          <w:r>
            <w:rPr>
              <w:lang w:val="en-GB" w:eastAsia="en-US"/>
            </w:rPr>
            <w:fldChar w:fldCharType="separate"/>
          </w:r>
          <w:r>
            <w:rPr>
              <w:noProof/>
              <w:lang w:val="en-GB" w:eastAsia="en-US"/>
            </w:rPr>
            <w:t xml:space="preserve"> (Peel &amp; Osofsky, 2018)</w:t>
          </w:r>
          <w:r>
            <w:rPr>
              <w:lang w:val="en-GB" w:eastAsia="en-US"/>
            </w:rPr>
            <w:fldChar w:fldCharType="end"/>
          </w:r>
        </w:sdtContent>
      </w:sdt>
      <w:r w:rsidR="00DA471A">
        <w:rPr>
          <w:lang w:val="en-GB" w:eastAsia="en-US"/>
        </w:rPr>
        <w:t>. In recent years, rights-based arguments have successfully been before the</w:t>
      </w:r>
      <w:r w:rsidR="004D3495">
        <w:rPr>
          <w:lang w:val="en-GB" w:eastAsia="en-US"/>
        </w:rPr>
        <w:t xml:space="preserve"> European Court of Human Rights and the</w:t>
      </w:r>
      <w:r w:rsidR="00DA471A">
        <w:rPr>
          <w:lang w:val="en-GB" w:eastAsia="en-US"/>
        </w:rPr>
        <w:t xml:space="preserve"> German Constitutional Court, and c</w:t>
      </w:r>
      <w:r w:rsidR="00DA471A" w:rsidRPr="00DA471A">
        <w:rPr>
          <w:lang w:val="en-GB" w:eastAsia="en-US"/>
        </w:rPr>
        <w:t xml:space="preserve">ases </w:t>
      </w:r>
      <w:r w:rsidR="00DA471A">
        <w:rPr>
          <w:lang w:val="en-GB" w:eastAsia="en-US"/>
        </w:rPr>
        <w:t>based on</w:t>
      </w:r>
      <w:r w:rsidR="00DA471A" w:rsidRPr="00DA471A">
        <w:rPr>
          <w:lang w:val="en-GB" w:eastAsia="en-US"/>
        </w:rPr>
        <w:t xml:space="preserve"> human rights arguments have also been </w:t>
      </w:r>
      <w:r w:rsidR="00DA471A">
        <w:rPr>
          <w:lang w:val="en-GB" w:eastAsia="en-US"/>
        </w:rPr>
        <w:t>filed in other European countries</w:t>
      </w:r>
      <w:r w:rsidR="00DA471A" w:rsidRPr="00DA471A">
        <w:rPr>
          <w:lang w:val="en-GB" w:eastAsia="en-US"/>
        </w:rPr>
        <w:t xml:space="preserve"> such as Norway, Belgium, and Italy</w:t>
      </w:r>
      <w:r w:rsidR="00DA471A">
        <w:rPr>
          <w:lang w:val="en-GB" w:eastAsia="en-US"/>
        </w:rPr>
        <w:t xml:space="preserve"> </w:t>
      </w:r>
      <w:sdt>
        <w:sdtPr>
          <w:rPr>
            <w:lang w:val="en-GB" w:eastAsia="en-US"/>
          </w:rPr>
          <w:id w:val="-1036425372"/>
          <w:citation/>
        </w:sdtPr>
        <w:sdtEndPr/>
        <w:sdtContent>
          <w:r w:rsidR="00DA471A">
            <w:rPr>
              <w:lang w:val="en-GB" w:eastAsia="en-US"/>
            </w:rPr>
            <w:fldChar w:fldCharType="begin"/>
          </w:r>
          <w:r w:rsidR="00DA471A">
            <w:rPr>
              <w:lang w:val="en-GB" w:eastAsia="en-US"/>
            </w:rPr>
            <w:instrText xml:space="preserve"> CITATION Pee18 \l 2057 </w:instrText>
          </w:r>
          <w:r w:rsidR="00DA471A">
            <w:rPr>
              <w:lang w:val="en-GB" w:eastAsia="en-US"/>
            </w:rPr>
            <w:fldChar w:fldCharType="separate"/>
          </w:r>
          <w:r w:rsidR="00DA471A">
            <w:rPr>
              <w:noProof/>
              <w:lang w:val="en-GB" w:eastAsia="en-US"/>
            </w:rPr>
            <w:t>(Peel &amp; Osofsky, 2018)</w:t>
          </w:r>
          <w:r w:rsidR="00DA471A">
            <w:rPr>
              <w:lang w:val="en-GB" w:eastAsia="en-US"/>
            </w:rPr>
            <w:fldChar w:fldCharType="end"/>
          </w:r>
        </w:sdtContent>
      </w:sdt>
      <w:r w:rsidR="00DA471A" w:rsidRPr="00DA471A">
        <w:rPr>
          <w:lang w:val="en-GB" w:eastAsia="en-US"/>
        </w:rPr>
        <w:t>.</w:t>
      </w:r>
      <w:r w:rsidR="00DA471A">
        <w:rPr>
          <w:lang w:val="en-GB" w:eastAsia="en-US"/>
        </w:rPr>
        <w:t xml:space="preserve">  </w:t>
      </w:r>
      <w:r>
        <w:rPr>
          <w:lang w:val="en-GB" w:eastAsia="en-US"/>
        </w:rPr>
        <w:t xml:space="preserve"> </w:t>
      </w:r>
    </w:p>
    <w:p w:rsidR="00F07C07" w:rsidRDefault="00F07C07" w:rsidP="00F07C07">
      <w:pPr>
        <w:pStyle w:val="NormalWeb"/>
        <w:spacing w:before="0" w:beforeAutospacing="0" w:after="0" w:afterAutospacing="0" w:line="360" w:lineRule="auto"/>
        <w:ind w:left="720"/>
        <w:rPr>
          <w:lang w:val="en-GB" w:eastAsia="en-US"/>
        </w:rPr>
      </w:pPr>
    </w:p>
    <w:p w:rsidR="006A0F61" w:rsidRDefault="006A0F61" w:rsidP="00F07C07">
      <w:pPr>
        <w:pStyle w:val="NormalWeb"/>
        <w:spacing w:before="0" w:beforeAutospacing="0" w:after="0" w:afterAutospacing="0" w:line="360" w:lineRule="auto"/>
        <w:ind w:left="720"/>
        <w:rPr>
          <w:lang w:val="en-GB"/>
        </w:rPr>
      </w:pPr>
      <w:r w:rsidRPr="00523C69">
        <w:rPr>
          <w:lang w:val="en-GB" w:eastAsia="en-US"/>
        </w:rPr>
        <w:t>Human rights claims are being brought before domestic courts using national constitutional law provisions (</w:t>
      </w:r>
      <w:proofErr w:type="gramStart"/>
      <w:r w:rsidRPr="00523C69">
        <w:rPr>
          <w:lang w:val="en-GB" w:eastAsia="en-US"/>
        </w:rPr>
        <w:t>e.g.</w:t>
      </w:r>
      <w:proofErr w:type="gramEnd"/>
      <w:r w:rsidRPr="00523C69">
        <w:rPr>
          <w:lang w:val="en-GB" w:eastAsia="en-US"/>
        </w:rPr>
        <w:t xml:space="preserve"> </w:t>
      </w:r>
      <w:r w:rsidRPr="00A65477">
        <w:rPr>
          <w:i/>
          <w:lang w:val="en-GB"/>
        </w:rPr>
        <w:t>Louisa Neubauer et al. v. Germany</w:t>
      </w:r>
      <w:bookmarkStart w:id="0" w:name="_Ref130931896"/>
      <w:bookmarkEnd w:id="0"/>
      <w:r w:rsidRPr="00523C69">
        <w:rPr>
          <w:lang w:val="en-GB"/>
        </w:rPr>
        <w:t xml:space="preserve"> </w:t>
      </w:r>
      <w:r w:rsidR="00523C69" w:rsidRPr="00523C69">
        <w:rPr>
          <w:lang w:val="en-GB"/>
        </w:rPr>
        <w:t xml:space="preserve">(Germany)) </w:t>
      </w:r>
      <w:r w:rsidRPr="00523C69">
        <w:rPr>
          <w:lang w:val="en-GB"/>
        </w:rPr>
        <w:t>as well as</w:t>
      </w:r>
      <w:r w:rsidR="009A7A16">
        <w:rPr>
          <w:lang w:val="en-GB"/>
        </w:rPr>
        <w:t xml:space="preserve"> before international courts such as the European Court of Human Rights</w:t>
      </w:r>
      <w:r w:rsidRPr="00523C69">
        <w:rPr>
          <w:lang w:val="en-GB"/>
        </w:rPr>
        <w:t xml:space="preserve"> under human rights conventions such as the European Convention of Human Rights (ECHR) </w:t>
      </w:r>
      <w:r w:rsidR="00523C69" w:rsidRPr="00523C69">
        <w:rPr>
          <w:lang w:val="en-GB"/>
        </w:rPr>
        <w:t xml:space="preserve">(e.g. </w:t>
      </w:r>
      <w:r w:rsidR="00523C69" w:rsidRPr="00844FBB">
        <w:rPr>
          <w:i/>
          <w:iCs/>
          <w:lang w:val="en-IN"/>
        </w:rPr>
        <w:t>Urgenda Foundation v. State of the Netherlands</w:t>
      </w:r>
      <w:r w:rsidR="00523C69" w:rsidRPr="00523C69">
        <w:rPr>
          <w:lang w:val="en-IN"/>
        </w:rPr>
        <w:t xml:space="preserve"> (the Netherlands)).</w:t>
      </w:r>
      <w:r w:rsidR="00523C69" w:rsidRPr="00523C69">
        <w:rPr>
          <w:lang w:val="en-GB"/>
        </w:rPr>
        <w:t xml:space="preserve"> </w:t>
      </w:r>
    </w:p>
    <w:p w:rsidR="00F07C07" w:rsidRPr="00523C69" w:rsidRDefault="00F07C07" w:rsidP="00F07C07">
      <w:pPr>
        <w:pStyle w:val="NormalWeb"/>
        <w:spacing w:before="0" w:beforeAutospacing="0" w:after="0" w:afterAutospacing="0" w:line="360" w:lineRule="auto"/>
        <w:ind w:left="720"/>
        <w:rPr>
          <w:lang w:val="en-GB"/>
        </w:rPr>
      </w:pPr>
    </w:p>
    <w:p w:rsidR="00F07C07" w:rsidRPr="004D3495" w:rsidRDefault="00BC7733" w:rsidP="004D3495">
      <w:pPr>
        <w:pStyle w:val="NormalWeb"/>
        <w:spacing w:before="0" w:beforeAutospacing="0" w:after="0" w:afterAutospacing="0" w:line="360" w:lineRule="auto"/>
        <w:ind w:left="720"/>
        <w:rPr>
          <w:b/>
          <w:bCs/>
          <w:i/>
          <w:iCs/>
          <w:lang w:val="en-GB" w:eastAsia="en-US"/>
        </w:rPr>
      </w:pPr>
      <w:r w:rsidRPr="004D3495">
        <w:rPr>
          <w:b/>
          <w:bCs/>
          <w:i/>
          <w:iCs/>
          <w:lang w:val="en-GB" w:eastAsia="en-US"/>
        </w:rPr>
        <w:t>Litigants and stakeholders involved in human rights-based climate litigation</w:t>
      </w:r>
    </w:p>
    <w:p w:rsidR="009A7A16" w:rsidRDefault="006A0F61" w:rsidP="00F07C07">
      <w:pPr>
        <w:pStyle w:val="NormalWeb"/>
        <w:spacing w:before="0" w:beforeAutospacing="0" w:after="0" w:afterAutospacing="0" w:line="360" w:lineRule="auto"/>
        <w:ind w:left="720"/>
        <w:rPr>
          <w:lang w:val="en-GB"/>
        </w:rPr>
      </w:pPr>
      <w:r>
        <w:rPr>
          <w:lang w:val="en-GB"/>
        </w:rPr>
        <w:t xml:space="preserve">Human rights-based claims </w:t>
      </w:r>
      <w:r w:rsidR="004D3495">
        <w:rPr>
          <w:lang w:val="en-GB"/>
        </w:rPr>
        <w:t>i</w:t>
      </w:r>
      <w:r>
        <w:rPr>
          <w:lang w:val="en-GB"/>
        </w:rPr>
        <w:t xml:space="preserve">n climate litigation are often brought by groups who argue that their rights are being violated by inaction or inadequate action by governments on climate protection and climate change mitigation. </w:t>
      </w:r>
      <w:r w:rsidR="00523C69">
        <w:rPr>
          <w:lang w:val="en-GB"/>
        </w:rPr>
        <w:t>Some</w:t>
      </w:r>
      <w:r w:rsidR="00A04B53">
        <w:rPr>
          <w:lang w:val="en-GB"/>
        </w:rPr>
        <w:t xml:space="preserve"> examples</w:t>
      </w:r>
      <w:r w:rsidR="00523C69">
        <w:rPr>
          <w:lang w:val="en-GB"/>
        </w:rPr>
        <w:t xml:space="preserve"> of litigators</w:t>
      </w:r>
      <w:r w:rsidR="00A04B53">
        <w:rPr>
          <w:lang w:val="en-GB"/>
        </w:rPr>
        <w:t xml:space="preserve"> include children and youth </w:t>
      </w:r>
      <w:r w:rsidR="00A04B53" w:rsidRPr="009A7A16">
        <w:rPr>
          <w:lang w:val="en-GB"/>
        </w:rPr>
        <w:t>(</w:t>
      </w:r>
      <w:r w:rsidR="00A65477" w:rsidRPr="009A7A16">
        <w:rPr>
          <w:lang w:val="en-GB"/>
        </w:rPr>
        <w:t xml:space="preserve">e.g. </w:t>
      </w:r>
      <w:r w:rsidR="00A65477" w:rsidRPr="009A7A16">
        <w:rPr>
          <w:i/>
          <w:lang w:val="en-GB"/>
        </w:rPr>
        <w:t>Louisa Neubauer et al. v. Germany;</w:t>
      </w:r>
      <w:r w:rsidR="00A65477" w:rsidRPr="009A7A16">
        <w:rPr>
          <w:rFonts w:asciiTheme="majorBidi" w:hAnsiTheme="majorBidi" w:cstheme="majorBidi"/>
          <w:i/>
          <w:iCs/>
          <w:lang w:val="en-GB"/>
        </w:rPr>
        <w:t xml:space="preserve"> </w:t>
      </w:r>
      <w:r w:rsidR="004332CE" w:rsidRPr="009A7A16">
        <w:rPr>
          <w:rFonts w:asciiTheme="majorBidi" w:hAnsiTheme="majorBidi" w:cstheme="majorBidi"/>
          <w:i/>
          <w:iCs/>
          <w:lang w:val="en-GB"/>
        </w:rPr>
        <w:t>Indonesian Youths and others v. Indonesia</w:t>
      </w:r>
      <w:r w:rsidR="00844FBB" w:rsidRPr="009A7A16">
        <w:rPr>
          <w:rFonts w:asciiTheme="majorBidi" w:hAnsiTheme="majorBidi" w:cstheme="majorBidi"/>
          <w:i/>
          <w:iCs/>
          <w:lang w:val="en-GB"/>
        </w:rPr>
        <w:t>;</w:t>
      </w:r>
      <w:r w:rsidR="004332CE" w:rsidRPr="009A7A16">
        <w:rPr>
          <w:rFonts w:asciiTheme="majorBidi" w:hAnsiTheme="majorBidi" w:cstheme="majorBidi"/>
          <w:i/>
          <w:iCs/>
          <w:lang w:val="en-GB"/>
        </w:rPr>
        <w:t xml:space="preserve"> Pandey v. India (India)</w:t>
      </w:r>
      <w:r w:rsidR="00A04B53" w:rsidRPr="009A7A16">
        <w:rPr>
          <w:lang w:val="en-GB"/>
        </w:rPr>
        <w:t>)</w:t>
      </w:r>
      <w:r w:rsidR="00A04B53">
        <w:rPr>
          <w:lang w:val="en-GB"/>
        </w:rPr>
        <w:t>, older citizens</w:t>
      </w:r>
      <w:r w:rsidR="00A355F4">
        <w:rPr>
          <w:lang w:val="en-GB"/>
        </w:rPr>
        <w:t xml:space="preserve"> (e.g. </w:t>
      </w:r>
      <w:r w:rsidR="004332CE" w:rsidRPr="009A7A16">
        <w:rPr>
          <w:rFonts w:asciiTheme="majorBidi" w:hAnsiTheme="majorBidi" w:cstheme="majorBidi"/>
          <w:i/>
          <w:iCs/>
          <w:lang w:val="en-GB"/>
        </w:rPr>
        <w:t>KlimaSeniorinnen v. Switzerland</w:t>
      </w:r>
      <w:r w:rsidR="004332CE" w:rsidRPr="004332CE">
        <w:rPr>
          <w:rFonts w:asciiTheme="majorBidi" w:hAnsiTheme="majorBidi" w:cstheme="majorBidi"/>
          <w:lang w:val="en-GB"/>
        </w:rPr>
        <w:t xml:space="preserve"> (ECtHR)</w:t>
      </w:r>
      <w:r w:rsidR="009A7A16">
        <w:rPr>
          <w:rFonts w:asciiTheme="majorBidi" w:hAnsiTheme="majorBidi" w:cstheme="majorBidi"/>
          <w:lang w:val="en-GB"/>
        </w:rPr>
        <w:t>;</w:t>
      </w:r>
      <w:r w:rsidR="004332CE">
        <w:rPr>
          <w:rFonts w:asciiTheme="majorBidi" w:hAnsiTheme="majorBidi" w:cstheme="majorBidi"/>
          <w:lang w:val="en-GB"/>
        </w:rPr>
        <w:t xml:space="preserve"> </w:t>
      </w:r>
      <w:r w:rsidR="00A355F4" w:rsidRPr="009A7A16">
        <w:rPr>
          <w:i/>
          <w:iCs/>
          <w:lang w:val="en-GB"/>
        </w:rPr>
        <w:t>The Norwegian Grandparents’ Climate Campaign and others v. Norway</w:t>
      </w:r>
      <w:r w:rsidR="004332CE">
        <w:rPr>
          <w:lang w:val="en-GB"/>
        </w:rPr>
        <w:t xml:space="preserve"> (ECtHR)</w:t>
      </w:r>
      <w:r w:rsidR="00A355F4">
        <w:rPr>
          <w:lang w:val="en-GB"/>
        </w:rPr>
        <w:t>)</w:t>
      </w:r>
      <w:r w:rsidR="00A04B53">
        <w:rPr>
          <w:lang w:val="en-GB"/>
        </w:rPr>
        <w:t xml:space="preserve"> and indigenous communities (e.g. </w:t>
      </w:r>
      <w:r w:rsidR="004332CE" w:rsidRPr="00A65477">
        <w:rPr>
          <w:rFonts w:asciiTheme="majorBidi" w:hAnsiTheme="majorBidi" w:cstheme="majorBidi"/>
          <w:i/>
          <w:iCs/>
          <w:lang w:val="en-GB"/>
        </w:rPr>
        <w:t>Wayúu Indigenous community and others v. Ministry of Environment and others</w:t>
      </w:r>
      <w:r w:rsidR="004332CE" w:rsidRPr="004332CE">
        <w:rPr>
          <w:rFonts w:asciiTheme="majorBidi" w:hAnsiTheme="majorBidi" w:cstheme="majorBidi"/>
          <w:lang w:val="en-GB"/>
        </w:rPr>
        <w:t xml:space="preserve"> (Colombia)</w:t>
      </w:r>
      <w:r w:rsidR="004332CE">
        <w:rPr>
          <w:rFonts w:asciiTheme="majorBidi" w:hAnsiTheme="majorBidi" w:cstheme="majorBidi"/>
          <w:lang w:val="en-GB"/>
        </w:rPr>
        <w:t xml:space="preserve">, </w:t>
      </w:r>
      <w:r w:rsidR="00A04B53" w:rsidRPr="00A65477">
        <w:rPr>
          <w:i/>
          <w:iCs/>
          <w:lang w:val="en-GB"/>
        </w:rPr>
        <w:t>Decision SU-698/17 of November 28, 2017</w:t>
      </w:r>
      <w:r w:rsidR="00A04B53">
        <w:rPr>
          <w:lang w:val="en-GB"/>
        </w:rPr>
        <w:t xml:space="preserve"> </w:t>
      </w:r>
      <w:r w:rsidR="004332CE">
        <w:rPr>
          <w:lang w:val="en-GB"/>
        </w:rPr>
        <w:t>(</w:t>
      </w:r>
      <w:r w:rsidR="00A04B53">
        <w:rPr>
          <w:lang w:val="en-GB"/>
        </w:rPr>
        <w:t>Colombia</w:t>
      </w:r>
      <w:r w:rsidR="004332CE">
        <w:rPr>
          <w:lang w:val="en-GB"/>
        </w:rPr>
        <w:t xml:space="preserve">), </w:t>
      </w:r>
      <w:r w:rsidR="004332CE" w:rsidRPr="00A65477">
        <w:rPr>
          <w:rFonts w:asciiTheme="majorBidi" w:hAnsiTheme="majorBidi" w:cstheme="majorBidi"/>
          <w:i/>
          <w:iCs/>
          <w:lang w:val="en-GB"/>
        </w:rPr>
        <w:t>Arayara Association of Education and Culture and others v. FUNAI</w:t>
      </w:r>
      <w:r w:rsidR="00A65477">
        <w:rPr>
          <w:rFonts w:asciiTheme="majorBidi" w:hAnsiTheme="majorBidi" w:cstheme="majorBidi"/>
          <w:lang w:val="en-GB"/>
        </w:rPr>
        <w:t xml:space="preserve"> (Brazil),</w:t>
      </w:r>
      <w:r w:rsidR="004332CE" w:rsidRPr="004332CE">
        <w:rPr>
          <w:rFonts w:asciiTheme="majorBidi" w:hAnsiTheme="majorBidi" w:cstheme="majorBidi"/>
          <w:lang w:val="en-GB"/>
        </w:rPr>
        <w:t xml:space="preserve"> </w:t>
      </w:r>
      <w:r w:rsidR="004332CE" w:rsidRPr="00A65477">
        <w:rPr>
          <w:rFonts w:asciiTheme="majorBidi" w:hAnsiTheme="majorBidi" w:cstheme="majorBidi"/>
          <w:i/>
          <w:iCs/>
          <w:lang w:val="en-GB"/>
        </w:rPr>
        <w:t>Copelmi Mineração Ltda. and FEPAM (Mina Guaíba Project and affected indigenous communities)</w:t>
      </w:r>
      <w:r w:rsidR="004332CE" w:rsidRPr="004332CE">
        <w:rPr>
          <w:rFonts w:asciiTheme="majorBidi" w:hAnsiTheme="majorBidi" w:cstheme="majorBidi"/>
          <w:lang w:val="en-GB"/>
        </w:rPr>
        <w:t xml:space="preserve"> (Brazil)</w:t>
      </w:r>
      <w:r w:rsidR="00A04B53">
        <w:rPr>
          <w:lang w:val="en-GB"/>
        </w:rPr>
        <w:t xml:space="preserve">). </w:t>
      </w:r>
    </w:p>
    <w:p w:rsidR="00F07C07" w:rsidRDefault="00F07C07" w:rsidP="00F07C07">
      <w:pPr>
        <w:pStyle w:val="NormalWeb"/>
        <w:spacing w:before="0" w:beforeAutospacing="0" w:after="0" w:afterAutospacing="0" w:line="360" w:lineRule="auto"/>
        <w:ind w:left="720"/>
        <w:rPr>
          <w:lang w:val="en-GB"/>
        </w:rPr>
      </w:pPr>
    </w:p>
    <w:p w:rsidR="006A0F61" w:rsidRDefault="00A04B53" w:rsidP="00F07C07">
      <w:pPr>
        <w:pStyle w:val="NormalWeb"/>
        <w:spacing w:before="0" w:beforeAutospacing="0" w:after="0" w:afterAutospacing="0" w:line="360" w:lineRule="auto"/>
        <w:ind w:left="720"/>
        <w:rPr>
          <w:lang w:val="en-GB"/>
        </w:rPr>
      </w:pPr>
      <w:r>
        <w:rPr>
          <w:lang w:val="en-GB"/>
        </w:rPr>
        <w:t xml:space="preserve">At present, the Sabin Center for Climate Change Law indicates that human rights-based climate litigation cases brought against the government </w:t>
      </w:r>
      <w:r w:rsidR="00A355F4">
        <w:rPr>
          <w:lang w:val="en-GB"/>
        </w:rPr>
        <w:t xml:space="preserve">outside USA </w:t>
      </w:r>
      <w:r>
        <w:rPr>
          <w:lang w:val="en-GB"/>
        </w:rPr>
        <w:t xml:space="preserve">include 21 cases brought by youth and children, 10 cases brought by indigenous groups, and 2 cases brought by women </w:t>
      </w:r>
      <w:sdt>
        <w:sdtPr>
          <w:rPr>
            <w:lang w:val="en-GB"/>
          </w:rPr>
          <w:id w:val="1674529268"/>
          <w:citation/>
        </w:sdtPr>
        <w:sdtEndPr/>
        <w:sdtContent>
          <w:r w:rsidR="00A355F4">
            <w:rPr>
              <w:lang w:val="en-GB"/>
            </w:rPr>
            <w:fldChar w:fldCharType="begin"/>
          </w:r>
          <w:r w:rsidR="00A355F4">
            <w:rPr>
              <w:lang w:val="en-GB"/>
            </w:rPr>
            <w:instrText xml:space="preserve"> CITATION Non23 \l 2057 </w:instrText>
          </w:r>
          <w:r w:rsidR="00A355F4">
            <w:rPr>
              <w:lang w:val="en-GB"/>
            </w:rPr>
            <w:fldChar w:fldCharType="separate"/>
          </w:r>
          <w:r w:rsidR="00A355F4">
            <w:rPr>
              <w:noProof/>
              <w:lang w:val="en-GB"/>
            </w:rPr>
            <w:t>(Non-U.S. Climate Change Litigation, 2023)</w:t>
          </w:r>
          <w:r w:rsidR="00A355F4">
            <w:rPr>
              <w:lang w:val="en-GB"/>
            </w:rPr>
            <w:fldChar w:fldCharType="end"/>
          </w:r>
        </w:sdtContent>
      </w:sdt>
      <w:r>
        <w:rPr>
          <w:lang w:val="en-GB"/>
        </w:rPr>
        <w:t>.</w:t>
      </w:r>
      <w:r w:rsidR="00844FBB">
        <w:rPr>
          <w:lang w:val="en-GB"/>
        </w:rPr>
        <w:t xml:space="preserve"> These cases </w:t>
      </w:r>
      <w:r w:rsidR="00A65477">
        <w:rPr>
          <w:lang w:val="en-GB"/>
        </w:rPr>
        <w:t>underscore</w:t>
      </w:r>
      <w:r w:rsidR="00844FBB">
        <w:rPr>
          <w:lang w:val="en-GB"/>
        </w:rPr>
        <w:t xml:space="preserve"> the significance of human rights and constitutional law as avenues enabling </w:t>
      </w:r>
      <w:r w:rsidR="00A65477">
        <w:rPr>
          <w:lang w:val="en-GB"/>
        </w:rPr>
        <w:t>marginalised or vulnerable groups to</w:t>
      </w:r>
      <w:r w:rsidR="00844FBB">
        <w:rPr>
          <w:lang w:val="en-GB"/>
        </w:rPr>
        <w:t xml:space="preserve"> mak</w:t>
      </w:r>
      <w:r w:rsidR="00A65477">
        <w:rPr>
          <w:lang w:val="en-GB"/>
        </w:rPr>
        <w:t>e</w:t>
      </w:r>
      <w:r w:rsidR="00844FBB">
        <w:rPr>
          <w:lang w:val="en-GB"/>
        </w:rPr>
        <w:t xml:space="preserve"> legal claims </w:t>
      </w:r>
      <w:r w:rsidR="00A65477">
        <w:rPr>
          <w:lang w:val="en-GB"/>
        </w:rPr>
        <w:t>against the state</w:t>
      </w:r>
      <w:r w:rsidR="00844FBB">
        <w:rPr>
          <w:lang w:val="en-GB"/>
        </w:rPr>
        <w:t xml:space="preserve">, </w:t>
      </w:r>
      <w:proofErr w:type="gramStart"/>
      <w:r w:rsidR="00844FBB">
        <w:rPr>
          <w:lang w:val="en-GB"/>
        </w:rPr>
        <w:t>and also</w:t>
      </w:r>
      <w:proofErr w:type="gramEnd"/>
      <w:r w:rsidR="00844FBB">
        <w:rPr>
          <w:lang w:val="en-GB"/>
        </w:rPr>
        <w:t xml:space="preserve"> </w:t>
      </w:r>
      <w:r w:rsidR="00A65477">
        <w:rPr>
          <w:lang w:val="en-GB"/>
        </w:rPr>
        <w:t>highlight</w:t>
      </w:r>
      <w:r w:rsidR="00844FBB">
        <w:rPr>
          <w:lang w:val="en-GB"/>
        </w:rPr>
        <w:t xml:space="preserve"> the </w:t>
      </w:r>
      <w:r w:rsidR="00A65477">
        <w:rPr>
          <w:lang w:val="en-GB"/>
        </w:rPr>
        <w:t>intersection of climate impacts and specific circumstances for groups and communities that could exacerbate those risks.</w:t>
      </w:r>
      <w:r w:rsidR="00844FBB">
        <w:rPr>
          <w:lang w:val="en-GB"/>
        </w:rPr>
        <w:t xml:space="preserve"> </w:t>
      </w:r>
    </w:p>
    <w:p w:rsidR="00F07C07" w:rsidRPr="006A0F61" w:rsidRDefault="00F07C07" w:rsidP="00F07C07">
      <w:pPr>
        <w:pStyle w:val="NormalWeb"/>
        <w:spacing w:before="0" w:beforeAutospacing="0" w:after="0" w:afterAutospacing="0" w:line="360" w:lineRule="auto"/>
        <w:ind w:left="720"/>
        <w:rPr>
          <w:lang w:val="en-GB"/>
        </w:rPr>
      </w:pPr>
    </w:p>
    <w:p w:rsidR="004D3495" w:rsidRPr="004D3495" w:rsidRDefault="00491CC6" w:rsidP="004D3495">
      <w:pPr>
        <w:pStyle w:val="NormalWeb"/>
        <w:spacing w:before="0" w:beforeAutospacing="0" w:after="0" w:afterAutospacing="0" w:line="360" w:lineRule="auto"/>
        <w:ind w:left="720"/>
        <w:rPr>
          <w:b/>
          <w:bCs/>
          <w:i/>
          <w:iCs/>
          <w:lang w:val="en-GB" w:eastAsia="en-US"/>
        </w:rPr>
      </w:pPr>
      <w:r w:rsidRPr="004D3495">
        <w:rPr>
          <w:b/>
          <w:bCs/>
          <w:i/>
          <w:iCs/>
          <w:lang w:val="en-GB" w:eastAsia="en-US"/>
        </w:rPr>
        <w:t>The reliance on human rights in framework litigation in the Global North</w:t>
      </w:r>
    </w:p>
    <w:p w:rsidR="00491CC6" w:rsidRPr="00861A1C" w:rsidRDefault="00491CC6" w:rsidP="00F07C07">
      <w:pPr>
        <w:pStyle w:val="NormalWeb"/>
        <w:spacing w:before="0" w:beforeAutospacing="0" w:after="0" w:afterAutospacing="0" w:line="360" w:lineRule="auto"/>
        <w:ind w:left="720"/>
        <w:rPr>
          <w:iCs/>
          <w:lang w:val="en-GB" w:eastAsia="en-US"/>
        </w:rPr>
      </w:pPr>
      <w:r>
        <w:rPr>
          <w:lang w:val="en-GB" w:eastAsia="en-US"/>
        </w:rPr>
        <w:t xml:space="preserve">Framework cases against governments are a sub-category of climate litigation cases, where the litigants’ challenge is made in relation to the government’s overarching response to climate change, rather than a specific project or individual policy </w:t>
      </w:r>
      <w:sdt>
        <w:sdtPr>
          <w:rPr>
            <w:lang w:val="en-GB" w:eastAsia="en-US"/>
          </w:rPr>
          <w:id w:val="455989759"/>
          <w:citation/>
        </w:sdtPr>
        <w:sdtEndPr/>
        <w:sdtContent>
          <w:r>
            <w:rPr>
              <w:lang w:val="en-GB" w:eastAsia="en-US"/>
            </w:rPr>
            <w:fldChar w:fldCharType="begin"/>
          </w:r>
          <w:r>
            <w:rPr>
              <w:lang w:val="en-GB" w:eastAsia="en-US"/>
            </w:rPr>
            <w:instrText xml:space="preserve"> CITATION Hig22 \l 2057 </w:instrText>
          </w:r>
          <w:r>
            <w:rPr>
              <w:lang w:val="en-GB" w:eastAsia="en-US"/>
            </w:rPr>
            <w:fldChar w:fldCharType="separate"/>
          </w:r>
          <w:r>
            <w:rPr>
              <w:noProof/>
              <w:lang w:val="en-GB" w:eastAsia="en-US"/>
            </w:rPr>
            <w:t>(Higham, Setzer, &amp; Bradeen, 2022)</w:t>
          </w:r>
          <w:r>
            <w:rPr>
              <w:lang w:val="en-GB" w:eastAsia="en-US"/>
            </w:rPr>
            <w:fldChar w:fldCharType="end"/>
          </w:r>
        </w:sdtContent>
      </w:sdt>
      <w:r>
        <w:rPr>
          <w:lang w:val="en-GB" w:eastAsia="en-US"/>
        </w:rPr>
        <w:t xml:space="preserve">. </w:t>
      </w:r>
      <w:r w:rsidR="00590E12">
        <w:rPr>
          <w:lang w:val="en-GB" w:eastAsia="en-US"/>
        </w:rPr>
        <w:t xml:space="preserve">Most of these cases have been brought in the Global North </w:t>
      </w:r>
      <w:sdt>
        <w:sdtPr>
          <w:rPr>
            <w:lang w:val="en-GB" w:eastAsia="en-US"/>
          </w:rPr>
          <w:id w:val="1347286054"/>
          <w:citation/>
        </w:sdtPr>
        <w:sdtEndPr/>
        <w:sdtContent>
          <w:r w:rsidR="00590E12">
            <w:rPr>
              <w:lang w:val="en-GB" w:eastAsia="en-US"/>
            </w:rPr>
            <w:fldChar w:fldCharType="begin"/>
          </w:r>
          <w:r w:rsidR="00590E12">
            <w:rPr>
              <w:lang w:val="en-GB" w:eastAsia="en-US"/>
            </w:rPr>
            <w:instrText xml:space="preserve"> CITATION Hig22 \l 2057 </w:instrText>
          </w:r>
          <w:r w:rsidR="00590E12">
            <w:rPr>
              <w:lang w:val="en-GB" w:eastAsia="en-US"/>
            </w:rPr>
            <w:fldChar w:fldCharType="separate"/>
          </w:r>
          <w:r w:rsidR="00590E12">
            <w:rPr>
              <w:noProof/>
              <w:lang w:val="en-GB" w:eastAsia="en-US"/>
            </w:rPr>
            <w:t>(Higham, Setzer, &amp; Bradeen, 2022)</w:t>
          </w:r>
          <w:r w:rsidR="00590E12">
            <w:rPr>
              <w:lang w:val="en-GB" w:eastAsia="en-US"/>
            </w:rPr>
            <w:fldChar w:fldCharType="end"/>
          </w:r>
        </w:sdtContent>
      </w:sdt>
      <w:r w:rsidR="00590E12">
        <w:rPr>
          <w:lang w:val="en-GB" w:eastAsia="en-US"/>
        </w:rPr>
        <w:t xml:space="preserve"> and have often relied on making a rights-based claim under constitutional law, or under regional or international human rights law </w:t>
      </w:r>
      <w:sdt>
        <w:sdtPr>
          <w:rPr>
            <w:lang w:val="en-GB" w:eastAsia="en-US"/>
          </w:rPr>
          <w:id w:val="1204983596"/>
          <w:citation/>
        </w:sdtPr>
        <w:sdtEndPr/>
        <w:sdtContent>
          <w:r w:rsidR="00590E12">
            <w:rPr>
              <w:lang w:val="en-GB" w:eastAsia="en-US"/>
            </w:rPr>
            <w:fldChar w:fldCharType="begin"/>
          </w:r>
          <w:r w:rsidR="00590E12">
            <w:rPr>
              <w:lang w:val="en-GB" w:eastAsia="en-US"/>
            </w:rPr>
            <w:instrText xml:space="preserve"> CITATION Max22 \l 2057 </w:instrText>
          </w:r>
          <w:r w:rsidR="00590E12">
            <w:rPr>
              <w:lang w:val="en-GB" w:eastAsia="en-US"/>
            </w:rPr>
            <w:fldChar w:fldCharType="separate"/>
          </w:r>
          <w:r w:rsidR="00590E12">
            <w:rPr>
              <w:noProof/>
              <w:lang w:val="en-GB" w:eastAsia="en-US"/>
            </w:rPr>
            <w:t>(Maxwell, Mead, &amp; van Berkel, 2022)</w:t>
          </w:r>
          <w:r w:rsidR="00590E12">
            <w:rPr>
              <w:lang w:val="en-GB" w:eastAsia="en-US"/>
            </w:rPr>
            <w:fldChar w:fldCharType="end"/>
          </w:r>
        </w:sdtContent>
      </w:sdt>
      <w:r w:rsidR="00590E12">
        <w:rPr>
          <w:lang w:val="en-GB" w:eastAsia="en-US"/>
        </w:rPr>
        <w:t>.</w:t>
      </w:r>
      <w:r w:rsidR="00547B85">
        <w:rPr>
          <w:lang w:val="en-GB" w:eastAsia="en-US"/>
        </w:rPr>
        <w:t xml:space="preserve"> These cases usually centre around the conduct of a State in connection with the reduction of Greenhouse Gas (GHG) emissions, failure to meet its carbon budgets or emission reduction targets, diluting or postponing emission reduction targets, etc. </w:t>
      </w:r>
      <w:sdt>
        <w:sdtPr>
          <w:rPr>
            <w:lang w:val="en-GB" w:eastAsia="en-US"/>
          </w:rPr>
          <w:id w:val="567621891"/>
          <w:citation/>
        </w:sdtPr>
        <w:sdtEndPr/>
        <w:sdtContent>
          <w:r w:rsidR="00547B85">
            <w:rPr>
              <w:lang w:val="en-GB" w:eastAsia="en-US"/>
            </w:rPr>
            <w:fldChar w:fldCharType="begin"/>
          </w:r>
          <w:r w:rsidR="00547B85">
            <w:rPr>
              <w:lang w:val="en-GB" w:eastAsia="en-US"/>
            </w:rPr>
            <w:instrText xml:space="preserve"> CITATION Max22 \l 2057 </w:instrText>
          </w:r>
          <w:r w:rsidR="00547B85">
            <w:rPr>
              <w:lang w:val="en-GB" w:eastAsia="en-US"/>
            </w:rPr>
            <w:fldChar w:fldCharType="separate"/>
          </w:r>
          <w:r w:rsidR="00547B85">
            <w:rPr>
              <w:noProof/>
              <w:lang w:val="en-GB" w:eastAsia="en-US"/>
            </w:rPr>
            <w:t>(Maxwell, Mead, &amp; van Berkel, 2022)</w:t>
          </w:r>
          <w:r w:rsidR="00547B85">
            <w:rPr>
              <w:lang w:val="en-GB" w:eastAsia="en-US"/>
            </w:rPr>
            <w:fldChar w:fldCharType="end"/>
          </w:r>
        </w:sdtContent>
      </w:sdt>
      <w:r w:rsidR="00547B85">
        <w:rPr>
          <w:lang w:val="en-GB" w:eastAsia="en-US"/>
        </w:rPr>
        <w:t xml:space="preserve">. As observed in the case of </w:t>
      </w:r>
      <w:r w:rsidR="00547B85" w:rsidRPr="00861A1C">
        <w:rPr>
          <w:i/>
          <w:lang w:val="en-GB"/>
        </w:rPr>
        <w:t>Louisa Neubauer et al. v. Germany</w:t>
      </w:r>
      <w:r w:rsidR="00547B85" w:rsidRPr="00861A1C">
        <w:rPr>
          <w:iCs/>
          <w:lang w:val="en-GB"/>
        </w:rPr>
        <w:t xml:space="preserve">, </w:t>
      </w:r>
      <w:r w:rsidR="00861A1C" w:rsidRPr="00861A1C">
        <w:rPr>
          <w:iCs/>
          <w:lang w:val="en-GB"/>
        </w:rPr>
        <w:t xml:space="preserve">the challenge in </w:t>
      </w:r>
      <w:r w:rsidR="00547B85" w:rsidRPr="00861A1C">
        <w:rPr>
          <w:iCs/>
          <w:lang w:val="en-GB"/>
        </w:rPr>
        <w:t xml:space="preserve">such framework litigation is often brought within the </w:t>
      </w:r>
      <w:r w:rsidR="00861A1C" w:rsidRPr="00861A1C">
        <w:rPr>
          <w:iCs/>
          <w:lang w:val="en-GB"/>
        </w:rPr>
        <w:t>framework of an existing legislation with the invocation of human rights (in this case, the constitutional protection of future generations).</w:t>
      </w:r>
      <w:r w:rsidR="00547B85" w:rsidRPr="00861A1C">
        <w:rPr>
          <w:iCs/>
          <w:lang w:val="en-GB" w:eastAsia="en-US"/>
        </w:rPr>
        <w:t xml:space="preserve">  </w:t>
      </w:r>
    </w:p>
    <w:p w:rsidR="00491CC6" w:rsidRDefault="00491CC6" w:rsidP="00F07C07">
      <w:pPr>
        <w:pStyle w:val="NormalWeb"/>
        <w:spacing w:before="0" w:beforeAutospacing="0" w:after="0" w:afterAutospacing="0" w:line="360" w:lineRule="auto"/>
        <w:ind w:left="720"/>
        <w:rPr>
          <w:i/>
          <w:iCs/>
          <w:lang w:val="en-GB" w:eastAsia="en-US"/>
        </w:rPr>
      </w:pPr>
    </w:p>
    <w:p w:rsidR="00BC7733" w:rsidRPr="004D3495" w:rsidRDefault="00264B46" w:rsidP="004D3495">
      <w:pPr>
        <w:pStyle w:val="NormalWeb"/>
        <w:spacing w:before="0" w:beforeAutospacing="0" w:after="0" w:afterAutospacing="0" w:line="360" w:lineRule="auto"/>
        <w:ind w:left="720"/>
        <w:rPr>
          <w:b/>
          <w:bCs/>
          <w:i/>
          <w:iCs/>
          <w:lang w:val="en-GB" w:eastAsia="en-US"/>
        </w:rPr>
      </w:pPr>
      <w:r w:rsidRPr="004D3495">
        <w:rPr>
          <w:b/>
          <w:bCs/>
          <w:i/>
          <w:iCs/>
          <w:lang w:val="en-GB" w:eastAsia="en-US"/>
        </w:rPr>
        <w:t>The role of human rights in climate litigation in the Global South</w:t>
      </w:r>
    </w:p>
    <w:p w:rsidR="003644F5" w:rsidRDefault="00C62E10" w:rsidP="00F07C07">
      <w:pPr>
        <w:pStyle w:val="NormalWeb"/>
        <w:spacing w:before="0" w:beforeAutospacing="0" w:after="0" w:afterAutospacing="0" w:line="360" w:lineRule="auto"/>
        <w:ind w:left="720"/>
        <w:rPr>
          <w:lang w:val="en-GB" w:eastAsia="en-US"/>
        </w:rPr>
      </w:pPr>
      <w:r>
        <w:rPr>
          <w:lang w:val="en-GB" w:eastAsia="en-US"/>
        </w:rPr>
        <w:t xml:space="preserve">The focus on human rights has shown a natural path for climate litigation in the Global South. Several countries in the Global South have developed a strong tradition of </w:t>
      </w:r>
      <w:r w:rsidR="00F83662">
        <w:rPr>
          <w:lang w:val="en-GB" w:eastAsia="en-US"/>
        </w:rPr>
        <w:t xml:space="preserve">judicial activism based on </w:t>
      </w:r>
      <w:r>
        <w:rPr>
          <w:lang w:val="en-GB" w:eastAsia="en-US"/>
        </w:rPr>
        <w:t>constitutional rights</w:t>
      </w:r>
      <w:r w:rsidR="00861A1C">
        <w:rPr>
          <w:lang w:val="en-GB" w:eastAsia="en-US"/>
        </w:rPr>
        <w:t xml:space="preserve"> in previous decades</w:t>
      </w:r>
      <w:r w:rsidR="00F83662">
        <w:rPr>
          <w:lang w:val="en-GB" w:eastAsia="en-US"/>
        </w:rPr>
        <w:t>, which also specifically encompass socio-economic rights</w:t>
      </w:r>
      <w:r w:rsidR="00B042B2">
        <w:rPr>
          <w:lang w:val="en-GB" w:eastAsia="en-US"/>
        </w:rPr>
        <w:t xml:space="preserve">, </w:t>
      </w:r>
      <w:r w:rsidR="00861A1C">
        <w:rPr>
          <w:lang w:val="en-GB" w:eastAsia="en-US"/>
        </w:rPr>
        <w:t>with</w:t>
      </w:r>
      <w:r w:rsidR="00B042B2">
        <w:rPr>
          <w:lang w:val="en-GB" w:eastAsia="en-US"/>
        </w:rPr>
        <w:t xml:space="preserve"> these features embody</w:t>
      </w:r>
      <w:r w:rsidR="00861A1C">
        <w:rPr>
          <w:lang w:val="en-GB" w:eastAsia="en-US"/>
        </w:rPr>
        <w:t>ing</w:t>
      </w:r>
      <w:r w:rsidR="00B042B2">
        <w:rPr>
          <w:lang w:val="en-GB" w:eastAsia="en-US"/>
        </w:rPr>
        <w:t xml:space="preserve"> the “Global South route” to climate litigation</w:t>
      </w:r>
      <w:r w:rsidR="001A1DDC">
        <w:rPr>
          <w:lang w:val="en-GB" w:eastAsia="en-US"/>
        </w:rPr>
        <w:t xml:space="preserve"> </w:t>
      </w:r>
      <w:sdt>
        <w:sdtPr>
          <w:rPr>
            <w:lang w:val="en-GB" w:eastAsia="en-US"/>
          </w:rPr>
          <w:id w:val="1901709808"/>
          <w:citation/>
        </w:sdtPr>
        <w:sdtEndPr/>
        <w:sdtContent>
          <w:r w:rsidR="001A1DDC">
            <w:rPr>
              <w:lang w:val="en-GB" w:eastAsia="en-US"/>
            </w:rPr>
            <w:fldChar w:fldCharType="begin"/>
          </w:r>
          <w:r w:rsidR="001A1DDC">
            <w:rPr>
              <w:lang w:val="en-GB" w:eastAsia="en-US"/>
            </w:rPr>
            <w:instrText xml:space="preserve"> CITATION Rod20 \l 2057 </w:instrText>
          </w:r>
          <w:r w:rsidR="001A1DDC">
            <w:rPr>
              <w:lang w:val="en-GB" w:eastAsia="en-US"/>
            </w:rPr>
            <w:fldChar w:fldCharType="separate"/>
          </w:r>
          <w:r w:rsidR="001A1DDC">
            <w:rPr>
              <w:noProof/>
              <w:lang w:val="en-GB" w:eastAsia="en-US"/>
            </w:rPr>
            <w:t>(Rodríguez-Garavito, 2020)</w:t>
          </w:r>
          <w:r w:rsidR="001A1DDC">
            <w:rPr>
              <w:lang w:val="en-GB" w:eastAsia="en-US"/>
            </w:rPr>
            <w:fldChar w:fldCharType="end"/>
          </w:r>
        </w:sdtContent>
      </w:sdt>
      <w:r w:rsidR="00F83662">
        <w:rPr>
          <w:lang w:val="en-GB" w:eastAsia="en-US"/>
        </w:rPr>
        <w:t xml:space="preserve">. In contrast to the </w:t>
      </w:r>
      <w:r w:rsidR="00F83662" w:rsidRPr="00861A1C">
        <w:rPr>
          <w:lang w:val="en-GB" w:eastAsia="en-US"/>
        </w:rPr>
        <w:t>framework litigation</w:t>
      </w:r>
      <w:r w:rsidR="00F83662">
        <w:rPr>
          <w:lang w:val="en-GB" w:eastAsia="en-US"/>
        </w:rPr>
        <w:t xml:space="preserve"> cases in the Global North, the claims in many Global South jurisdictions </w:t>
      </w:r>
      <w:r w:rsidR="00B042B2">
        <w:rPr>
          <w:lang w:val="en-GB" w:eastAsia="en-US"/>
        </w:rPr>
        <w:t>are usually not</w:t>
      </w:r>
      <w:r w:rsidR="00F83662">
        <w:rPr>
          <w:lang w:val="en-GB" w:eastAsia="en-US"/>
        </w:rPr>
        <w:t xml:space="preserve"> located in the context of an existing legislation, since many of these countries do not have a climate law. </w:t>
      </w:r>
      <w:r w:rsidR="003644F5">
        <w:rPr>
          <w:lang w:val="en-GB" w:eastAsia="en-US"/>
        </w:rPr>
        <w:t xml:space="preserve">Further, the avoidance of an explicit climate change framing in these cases is often a deliberate “stealth” strategy to litigate instead with reliance on claims considered less controversial, combined with arguments and legal precedent from other areas of law that have already been tested in court and can indirectly address climate change </w:t>
      </w:r>
      <w:sdt>
        <w:sdtPr>
          <w:rPr>
            <w:lang w:val="en-GB" w:eastAsia="en-US"/>
          </w:rPr>
          <w:id w:val="1512189711"/>
          <w:citation/>
        </w:sdtPr>
        <w:sdtEndPr/>
        <w:sdtContent>
          <w:r w:rsidR="003644F5">
            <w:rPr>
              <w:lang w:val="en-GB" w:eastAsia="en-US"/>
            </w:rPr>
            <w:fldChar w:fldCharType="begin"/>
          </w:r>
          <w:r w:rsidR="003644F5">
            <w:rPr>
              <w:lang w:val="en-GB" w:eastAsia="en-US"/>
            </w:rPr>
            <w:instrText xml:space="preserve"> CITATION Pee19 \l 2057 </w:instrText>
          </w:r>
          <w:r w:rsidR="003644F5">
            <w:rPr>
              <w:lang w:val="en-GB" w:eastAsia="en-US"/>
            </w:rPr>
            <w:fldChar w:fldCharType="separate"/>
          </w:r>
          <w:r w:rsidR="003644F5">
            <w:rPr>
              <w:noProof/>
              <w:lang w:val="en-GB" w:eastAsia="en-US"/>
            </w:rPr>
            <w:t>(Peel &amp; Lin, Transnational Climate Litigation: The Contribution of the Global South, 2019)</w:t>
          </w:r>
          <w:r w:rsidR="003644F5">
            <w:rPr>
              <w:lang w:val="en-GB" w:eastAsia="en-US"/>
            </w:rPr>
            <w:fldChar w:fldCharType="end"/>
          </w:r>
        </w:sdtContent>
      </w:sdt>
      <w:r w:rsidR="003644F5">
        <w:rPr>
          <w:lang w:val="en-GB" w:eastAsia="en-US"/>
        </w:rPr>
        <w:t>.</w:t>
      </w:r>
    </w:p>
    <w:p w:rsidR="003644F5" w:rsidRDefault="003644F5" w:rsidP="00F07C07">
      <w:pPr>
        <w:pStyle w:val="NormalWeb"/>
        <w:spacing w:before="0" w:beforeAutospacing="0" w:after="0" w:afterAutospacing="0" w:line="360" w:lineRule="auto"/>
        <w:ind w:left="720"/>
        <w:rPr>
          <w:lang w:val="en-GB" w:eastAsia="en-US"/>
        </w:rPr>
      </w:pPr>
    </w:p>
    <w:p w:rsidR="00613CFB" w:rsidRDefault="00B042B2" w:rsidP="00F07C07">
      <w:pPr>
        <w:pStyle w:val="NormalWeb"/>
        <w:spacing w:before="0" w:beforeAutospacing="0" w:after="0" w:afterAutospacing="0" w:line="360" w:lineRule="auto"/>
        <w:ind w:left="720"/>
        <w:rPr>
          <w:lang w:val="en-GB" w:eastAsia="en-US"/>
        </w:rPr>
      </w:pPr>
      <w:r>
        <w:rPr>
          <w:lang w:val="en-GB" w:eastAsia="en-US"/>
        </w:rPr>
        <w:t>The emission-reduction framing in the context of framework legislation in Global North European jurisdictions (</w:t>
      </w:r>
      <w:proofErr w:type="gramStart"/>
      <w:r>
        <w:rPr>
          <w:lang w:val="en-GB" w:eastAsia="en-US"/>
        </w:rPr>
        <w:t>e.g.</w:t>
      </w:r>
      <w:proofErr w:type="gramEnd"/>
      <w:r>
        <w:rPr>
          <w:lang w:val="en-GB" w:eastAsia="en-US"/>
        </w:rPr>
        <w:t xml:space="preserve"> in </w:t>
      </w:r>
      <w:r w:rsidRPr="00B042B2">
        <w:rPr>
          <w:i/>
          <w:iCs/>
          <w:lang w:val="en-GB" w:eastAsia="en-US"/>
        </w:rPr>
        <w:t>Urgenda</w:t>
      </w:r>
      <w:r>
        <w:rPr>
          <w:lang w:val="en-GB" w:eastAsia="en-US"/>
        </w:rPr>
        <w:t xml:space="preserve"> in the Netherlands and </w:t>
      </w:r>
      <w:r w:rsidRPr="00B042B2">
        <w:rPr>
          <w:i/>
          <w:iCs/>
          <w:lang w:val="en-GB" w:eastAsia="en-US"/>
        </w:rPr>
        <w:t>Louisa Neubauer</w:t>
      </w:r>
      <w:r>
        <w:rPr>
          <w:lang w:val="en-GB" w:eastAsia="en-US"/>
        </w:rPr>
        <w:t xml:space="preserve"> in Germany) which employ human rights as a litigation strategy can</w:t>
      </w:r>
      <w:r w:rsidR="00861A1C">
        <w:rPr>
          <w:lang w:val="en-GB" w:eastAsia="en-US"/>
        </w:rPr>
        <w:t>, therefore,</w:t>
      </w:r>
      <w:r>
        <w:rPr>
          <w:lang w:val="en-GB" w:eastAsia="en-US"/>
        </w:rPr>
        <w:t xml:space="preserve"> be contrasted with much of the litigation in the Global </w:t>
      </w:r>
      <w:r w:rsidR="00861A1C">
        <w:rPr>
          <w:lang w:val="en-GB" w:eastAsia="en-US"/>
        </w:rPr>
        <w:t>South</w:t>
      </w:r>
      <w:r w:rsidR="003644F5">
        <w:rPr>
          <w:lang w:val="en-GB" w:eastAsia="en-US"/>
        </w:rPr>
        <w:t xml:space="preserve">, where environmental rights have been closely linked to health and safety. For example, in </w:t>
      </w:r>
      <w:r w:rsidR="003644F5" w:rsidRPr="009A7A16">
        <w:rPr>
          <w:lang w:val="en-GB" w:eastAsia="en-US"/>
        </w:rPr>
        <w:t>India</w:t>
      </w:r>
      <w:r w:rsidR="00861A1C" w:rsidRPr="009A7A16">
        <w:rPr>
          <w:lang w:val="en-GB" w:eastAsia="en-US"/>
        </w:rPr>
        <w:t xml:space="preserve"> environmental rights have often been linked to </w:t>
      </w:r>
      <w:r w:rsidR="003644F5" w:rsidRPr="009A7A16">
        <w:rPr>
          <w:lang w:val="en-GB" w:eastAsia="en-US"/>
        </w:rPr>
        <w:t>the</w:t>
      </w:r>
      <w:r w:rsidR="00861A1C" w:rsidRPr="009A7A16">
        <w:rPr>
          <w:lang w:val="en-GB" w:eastAsia="en-US"/>
        </w:rPr>
        <w:t xml:space="preserve"> immediate concerns of citizens such as pollution-free water and air (</w:t>
      </w:r>
      <w:proofErr w:type="gramStart"/>
      <w:r w:rsidR="00861A1C" w:rsidRPr="009A7A16">
        <w:rPr>
          <w:lang w:val="en-GB" w:eastAsia="en-US"/>
        </w:rPr>
        <w:t>e.g.</w:t>
      </w:r>
      <w:proofErr w:type="gramEnd"/>
      <w:r w:rsidR="00861A1C" w:rsidRPr="009A7A16">
        <w:rPr>
          <w:lang w:val="en-GB" w:eastAsia="en-US"/>
        </w:rPr>
        <w:t xml:space="preserve"> </w:t>
      </w:r>
      <w:r w:rsidR="00861A1C" w:rsidRPr="009A7A16">
        <w:rPr>
          <w:i/>
          <w:iCs/>
          <w:lang w:val="en-GB"/>
        </w:rPr>
        <w:t>Subash Kumar v. State of Bihar</w:t>
      </w:r>
      <w:r w:rsidR="00861A1C" w:rsidRPr="009A7A16">
        <w:rPr>
          <w:lang w:val="en-GB"/>
        </w:rPr>
        <w:t xml:space="preserve">; </w:t>
      </w:r>
      <w:r w:rsidR="00861A1C" w:rsidRPr="009A7A16">
        <w:rPr>
          <w:i/>
          <w:iCs/>
          <w:lang w:val="en-GB"/>
        </w:rPr>
        <w:t>M.C. Mehta v. Union of India</w:t>
      </w:r>
      <w:r w:rsidR="00861A1C" w:rsidRPr="009A7A16">
        <w:rPr>
          <w:lang w:val="en-GB"/>
        </w:rPr>
        <w:t xml:space="preserve">; </w:t>
      </w:r>
      <w:r w:rsidR="00861A1C" w:rsidRPr="009A7A16">
        <w:rPr>
          <w:i/>
          <w:iCs/>
          <w:lang w:val="en-GB"/>
        </w:rPr>
        <w:t>Virender Gaur v. State of Haryana</w:t>
      </w:r>
      <w:r w:rsidR="00861A1C" w:rsidRPr="009A7A16">
        <w:rPr>
          <w:lang w:val="en-GB"/>
        </w:rPr>
        <w:t>)</w:t>
      </w:r>
      <w:r w:rsidR="00861A1C" w:rsidRPr="009A7A16">
        <w:rPr>
          <w:lang w:val="en-GB" w:eastAsia="en-US"/>
        </w:rPr>
        <w:t>, as well as environmental protection in the context of natural resources</w:t>
      </w:r>
      <w:r w:rsidR="003644F5" w:rsidRPr="009A7A16">
        <w:rPr>
          <w:lang w:val="en-GB" w:eastAsia="en-US"/>
        </w:rPr>
        <w:t xml:space="preserve"> (e.g. </w:t>
      </w:r>
      <w:r w:rsidR="003644F5" w:rsidRPr="009A7A16">
        <w:rPr>
          <w:i/>
          <w:iCs/>
          <w:lang w:val="en-GB"/>
        </w:rPr>
        <w:t>Intellectuals Forum, Tirupathi v. State of Andhra Pradesh</w:t>
      </w:r>
      <w:r w:rsidR="003644F5" w:rsidRPr="009A7A16">
        <w:rPr>
          <w:lang w:val="en-GB"/>
        </w:rPr>
        <w:t>)</w:t>
      </w:r>
      <w:r w:rsidRPr="009A7A16">
        <w:rPr>
          <w:lang w:val="en-GB" w:eastAsia="en-US"/>
        </w:rPr>
        <w:t>. It has been</w:t>
      </w:r>
      <w:r>
        <w:rPr>
          <w:lang w:val="en-GB" w:eastAsia="en-US"/>
        </w:rPr>
        <w:t xml:space="preserve"> argued that a narrow focus on emission reduction can, in fact, lead to ecological damage and human rights issues being overlooked </w:t>
      </w:r>
      <w:sdt>
        <w:sdtPr>
          <w:rPr>
            <w:lang w:val="en-GB" w:eastAsia="en-US"/>
          </w:rPr>
          <w:id w:val="-1641957100"/>
          <w:citation/>
        </w:sdtPr>
        <w:sdtEndPr/>
        <w:sdtContent>
          <w:r>
            <w:rPr>
              <w:lang w:val="en-GB" w:eastAsia="en-US"/>
            </w:rPr>
            <w:fldChar w:fldCharType="begin"/>
          </w:r>
          <w:r>
            <w:rPr>
              <w:lang w:val="en-GB" w:eastAsia="en-US"/>
            </w:rPr>
            <w:instrText xml:space="preserve"> CITATION Ohd21 \l 2057 </w:instrText>
          </w:r>
          <w:r>
            <w:rPr>
              <w:lang w:val="en-GB" w:eastAsia="en-US"/>
            </w:rPr>
            <w:fldChar w:fldCharType="separate"/>
          </w:r>
          <w:r>
            <w:rPr>
              <w:noProof/>
              <w:lang w:val="en-GB" w:eastAsia="en-US"/>
            </w:rPr>
            <w:t>(Ohdedar, 2021)</w:t>
          </w:r>
          <w:r>
            <w:rPr>
              <w:lang w:val="en-GB" w:eastAsia="en-US"/>
            </w:rPr>
            <w:fldChar w:fldCharType="end"/>
          </w:r>
        </w:sdtContent>
      </w:sdt>
      <w:r>
        <w:rPr>
          <w:lang w:val="en-GB" w:eastAsia="en-US"/>
        </w:rPr>
        <w:t>.</w:t>
      </w:r>
    </w:p>
    <w:p w:rsidR="00264482" w:rsidRDefault="00264482" w:rsidP="00F07C07">
      <w:pPr>
        <w:pStyle w:val="NormalWeb"/>
        <w:spacing w:before="0" w:beforeAutospacing="0" w:after="0" w:afterAutospacing="0" w:line="360" w:lineRule="auto"/>
        <w:ind w:left="720"/>
        <w:rPr>
          <w:lang w:val="en-GB" w:eastAsia="en-US"/>
        </w:rPr>
      </w:pPr>
    </w:p>
    <w:p w:rsidR="00B042B2" w:rsidRDefault="00264482" w:rsidP="00F07C07">
      <w:pPr>
        <w:pStyle w:val="NormalWeb"/>
        <w:spacing w:before="0" w:beforeAutospacing="0" w:after="0" w:afterAutospacing="0" w:line="360" w:lineRule="auto"/>
        <w:ind w:left="720"/>
        <w:rPr>
          <w:lang w:val="en-GB" w:eastAsia="en-US"/>
        </w:rPr>
      </w:pPr>
      <w:r>
        <w:rPr>
          <w:lang w:val="en-GB" w:eastAsia="en-US"/>
        </w:rPr>
        <w:t xml:space="preserve">Arguably, the value of rights-based environmental jurisprudence in Global South countries pre-dating the Paris Agreement (and by extension, pre-dating the commencement of the third wave of climate litigation typically characterised as being associated with human rights claims) should not be disregarded for its contribution to climate change mitigation, </w:t>
      </w:r>
      <w:r w:rsidR="00B042B2">
        <w:rPr>
          <w:lang w:val="en-GB" w:eastAsia="en-US"/>
        </w:rPr>
        <w:t>merely because</w:t>
      </w:r>
      <w:r>
        <w:rPr>
          <w:lang w:val="en-GB" w:eastAsia="en-US"/>
        </w:rPr>
        <w:t xml:space="preserve"> climate change features only peripherally in these </w:t>
      </w:r>
      <w:proofErr w:type="gramStart"/>
      <w:r>
        <w:rPr>
          <w:lang w:val="en-GB" w:eastAsia="en-US"/>
        </w:rPr>
        <w:t>cases, or</w:t>
      </w:r>
      <w:proofErr w:type="gramEnd"/>
      <w:r>
        <w:rPr>
          <w:lang w:val="en-GB" w:eastAsia="en-US"/>
        </w:rPr>
        <w:t xml:space="preserve"> is entirely absent from discussion. India offers an important example of a jurisdiction with judgments that have read environmental rights into the constitutional rights scheme </w:t>
      </w:r>
      <w:sdt>
        <w:sdtPr>
          <w:rPr>
            <w:lang w:val="en-GB" w:eastAsia="en-US"/>
          </w:rPr>
          <w:id w:val="-1575893468"/>
          <w:citation/>
        </w:sdtPr>
        <w:sdtEndPr/>
        <w:sdtContent>
          <w:r>
            <w:rPr>
              <w:lang w:val="en-GB" w:eastAsia="en-US"/>
            </w:rPr>
            <w:fldChar w:fldCharType="begin"/>
          </w:r>
          <w:r>
            <w:rPr>
              <w:lang w:val="en-GB" w:eastAsia="en-US"/>
            </w:rPr>
            <w:instrText xml:space="preserve"> CITATION Bhu19 \l 2057 </w:instrText>
          </w:r>
          <w:r>
            <w:rPr>
              <w:lang w:val="en-GB" w:eastAsia="en-US"/>
            </w:rPr>
            <w:fldChar w:fldCharType="separate"/>
          </w:r>
          <w:r>
            <w:rPr>
              <w:noProof/>
              <w:lang w:val="en-GB" w:eastAsia="en-US"/>
            </w:rPr>
            <w:t>(Bhullar, 2019)</w:t>
          </w:r>
          <w:r>
            <w:rPr>
              <w:lang w:val="en-GB" w:eastAsia="en-US"/>
            </w:rPr>
            <w:fldChar w:fldCharType="end"/>
          </w:r>
        </w:sdtContent>
      </w:sdt>
      <w:r>
        <w:rPr>
          <w:lang w:val="en-GB" w:eastAsia="en-US"/>
        </w:rPr>
        <w:t xml:space="preserve">, most prominently with reference to Article 21 of the Constitution, which guarantees the fundamental right to life. </w:t>
      </w:r>
    </w:p>
    <w:p w:rsidR="00B042B2" w:rsidRDefault="00B042B2" w:rsidP="00F07C07">
      <w:pPr>
        <w:pStyle w:val="NormalWeb"/>
        <w:spacing w:before="0" w:beforeAutospacing="0" w:after="0" w:afterAutospacing="0" w:line="360" w:lineRule="auto"/>
        <w:ind w:left="720"/>
        <w:rPr>
          <w:lang w:val="en-GB" w:eastAsia="en-US"/>
        </w:rPr>
      </w:pPr>
    </w:p>
    <w:p w:rsidR="00264482" w:rsidRDefault="00F40A14" w:rsidP="00F07C07">
      <w:pPr>
        <w:pStyle w:val="NormalWeb"/>
        <w:spacing w:before="0" w:beforeAutospacing="0" w:after="0" w:afterAutospacing="0" w:line="360" w:lineRule="auto"/>
        <w:ind w:left="720"/>
        <w:rPr>
          <w:lang w:val="en-GB" w:eastAsia="en-US"/>
        </w:rPr>
      </w:pPr>
      <w:r>
        <w:rPr>
          <w:lang w:val="en-GB" w:eastAsia="en-US"/>
        </w:rPr>
        <w:t>Scholars have now posited a broader definition of the term “climate litigation” to include not just cases with climate change as the central issue, but also cases with climate change as a peripheral issue, or cases where climate change is a motivating factor even when not raised as an issue, as well as cases which do not have a climate change framing but nonetheless have implications for climate mitigation and adaptation</w:t>
      </w:r>
      <w:r w:rsidR="00B063FF">
        <w:rPr>
          <w:lang w:val="en-GB" w:eastAsia="en-US"/>
        </w:rPr>
        <w:t xml:space="preserve"> </w:t>
      </w:r>
      <w:sdt>
        <w:sdtPr>
          <w:rPr>
            <w:lang w:val="en-GB" w:eastAsia="en-US"/>
          </w:rPr>
          <w:id w:val="-659237245"/>
          <w:citation/>
        </w:sdtPr>
        <w:sdtEndPr/>
        <w:sdtContent>
          <w:r w:rsidR="00B063FF">
            <w:rPr>
              <w:lang w:val="en-GB" w:eastAsia="en-US"/>
            </w:rPr>
            <w:fldChar w:fldCharType="begin"/>
          </w:r>
          <w:r w:rsidR="00B063FF">
            <w:rPr>
              <w:lang w:val="en-GB" w:eastAsia="en-US"/>
            </w:rPr>
            <w:instrText xml:space="preserve"> CITATION Pee15 \l 2057 </w:instrText>
          </w:r>
          <w:r w:rsidR="00B063FF">
            <w:rPr>
              <w:lang w:val="en-GB" w:eastAsia="en-US"/>
            </w:rPr>
            <w:fldChar w:fldCharType="separate"/>
          </w:r>
          <w:r w:rsidR="00B063FF">
            <w:rPr>
              <w:noProof/>
              <w:lang w:val="en-GB" w:eastAsia="en-US"/>
            </w:rPr>
            <w:t>(Peel &amp; Osofsky, Climate Change Litigation: Regulatory Pathways to Cleaner Energy, 2015)</w:t>
          </w:r>
          <w:r w:rsidR="00B063FF">
            <w:rPr>
              <w:lang w:val="en-GB" w:eastAsia="en-US"/>
            </w:rPr>
            <w:fldChar w:fldCharType="end"/>
          </w:r>
        </w:sdtContent>
      </w:sdt>
      <w:r>
        <w:rPr>
          <w:lang w:val="en-GB" w:eastAsia="en-US"/>
        </w:rPr>
        <w:t>.</w:t>
      </w:r>
      <w:r w:rsidR="00B063FF">
        <w:rPr>
          <w:lang w:val="en-GB" w:eastAsia="en-US"/>
        </w:rPr>
        <w:t xml:space="preserve"> A broader conceptualisation of climate litigation is also important for addressing human rights issues closely connected to the environment, even if litigated with</w:t>
      </w:r>
      <w:r w:rsidR="009A7A16">
        <w:rPr>
          <w:lang w:val="en-GB" w:eastAsia="en-US"/>
        </w:rPr>
        <w:t>out</w:t>
      </w:r>
      <w:r w:rsidR="00B063FF">
        <w:rPr>
          <w:lang w:val="en-GB" w:eastAsia="en-US"/>
        </w:rPr>
        <w:t xml:space="preserve"> an explicit climate change framing</w:t>
      </w:r>
      <w:r w:rsidR="003644F5">
        <w:rPr>
          <w:lang w:val="en-GB" w:eastAsia="en-US"/>
        </w:rPr>
        <w:t xml:space="preserve"> or reference to emission reduction</w:t>
      </w:r>
      <w:r w:rsidR="009A7A16">
        <w:rPr>
          <w:lang w:val="en-GB" w:eastAsia="en-US"/>
        </w:rPr>
        <w:t xml:space="preserve"> targets</w:t>
      </w:r>
      <w:r w:rsidR="00B063FF">
        <w:rPr>
          <w:lang w:val="en-GB" w:eastAsia="en-US"/>
        </w:rPr>
        <w:t>.</w:t>
      </w:r>
    </w:p>
    <w:p w:rsidR="009B5D97" w:rsidRPr="000254BB" w:rsidRDefault="009B5D97" w:rsidP="00F07C07">
      <w:pPr>
        <w:spacing w:line="360" w:lineRule="auto"/>
        <w:jc w:val="both"/>
        <w:rPr>
          <w:sz w:val="24"/>
          <w:szCs w:val="24"/>
        </w:rPr>
      </w:pPr>
    </w:p>
    <w:p w:rsidR="009B5D97" w:rsidRPr="000254BB" w:rsidRDefault="009B5D97" w:rsidP="00F07C07">
      <w:pPr>
        <w:pStyle w:val="Default"/>
        <w:spacing w:line="360" w:lineRule="auto"/>
        <w:jc w:val="both"/>
      </w:pPr>
    </w:p>
    <w:p w:rsidR="009B5D97" w:rsidRDefault="009B5D97" w:rsidP="00F07C07">
      <w:pPr>
        <w:spacing w:line="360" w:lineRule="auto"/>
        <w:rPr>
          <w:rFonts w:asciiTheme="majorBidi" w:hAnsiTheme="majorBidi" w:cstheme="majorBidi"/>
        </w:rPr>
      </w:pPr>
    </w:p>
    <w:p w:rsidR="00844FBB" w:rsidRDefault="00844FBB" w:rsidP="00F07C07">
      <w:pPr>
        <w:spacing w:line="360" w:lineRule="auto"/>
        <w:rPr>
          <w:rFonts w:asciiTheme="majorBidi" w:hAnsiTheme="majorBidi" w:cstheme="majorBidi"/>
        </w:rPr>
      </w:pPr>
      <w:r>
        <w:rPr>
          <w:rFonts w:asciiTheme="majorBidi" w:hAnsiTheme="majorBidi" w:cstheme="majorBidi"/>
        </w:rPr>
        <w:br w:type="page"/>
      </w:r>
    </w:p>
    <w:sdt>
      <w:sdtPr>
        <w:rPr>
          <w:rFonts w:ascii="Times New Roman" w:eastAsia="Times New Roman" w:hAnsi="Times New Roman" w:cs="Times New Roman"/>
          <w:color w:val="auto"/>
          <w:sz w:val="20"/>
          <w:szCs w:val="20"/>
          <w:lang w:val="en-GB" w:eastAsia="en-US"/>
        </w:rPr>
        <w:id w:val="-1387634254"/>
        <w:docPartObj>
          <w:docPartGallery w:val="Bibliographies"/>
          <w:docPartUnique/>
        </w:docPartObj>
      </w:sdtPr>
      <w:sdtEndPr>
        <w:rPr>
          <w:sz w:val="24"/>
          <w:szCs w:val="24"/>
        </w:rPr>
      </w:sdtEndPr>
      <w:sdtContent>
        <w:p w:rsidR="00F07C07" w:rsidRDefault="00F07C07">
          <w:pPr>
            <w:pStyle w:val="Heading1"/>
            <w:rPr>
              <w:lang w:val="en-GB"/>
            </w:rPr>
          </w:pPr>
          <w:r>
            <w:rPr>
              <w:lang w:val="en-GB"/>
            </w:rPr>
            <w:t>References</w:t>
          </w:r>
        </w:p>
        <w:p w:rsidR="00F07C07" w:rsidRPr="00F07C07" w:rsidRDefault="00F07C07" w:rsidP="00F07C07">
          <w:pPr>
            <w:rPr>
              <w:b/>
              <w:bCs/>
              <w:sz w:val="24"/>
              <w:szCs w:val="24"/>
              <w:lang w:eastAsia="de-DE"/>
            </w:rPr>
          </w:pPr>
          <w:r w:rsidRPr="00F07C07">
            <w:rPr>
              <w:b/>
              <w:bCs/>
              <w:sz w:val="24"/>
              <w:szCs w:val="24"/>
              <w:lang w:eastAsia="de-DE"/>
            </w:rPr>
            <w:t>Case Law</w:t>
          </w: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Arayara Association of Education and Culture and others v. FUNAI, Copelmi Mineração Ltda. and FEPAM (Mina Guaíba Project and affected indigenous communities)</w:t>
          </w:r>
          <w:r w:rsidRPr="00F07C07">
            <w:rPr>
              <w:rFonts w:asciiTheme="majorBidi" w:hAnsiTheme="majorBidi" w:cstheme="majorBidi"/>
              <w:sz w:val="24"/>
              <w:szCs w:val="24"/>
            </w:rPr>
            <w:t xml:space="preserve"> (Brazil), </w:t>
          </w:r>
          <w:hyperlink r:id="rId9" w:history="1">
            <w:r w:rsidRPr="00F07C07">
              <w:rPr>
                <w:rStyle w:val="Hyperlink"/>
                <w:rFonts w:asciiTheme="majorBidi" w:hAnsiTheme="majorBidi" w:cstheme="majorBidi"/>
                <w:sz w:val="24"/>
                <w:szCs w:val="24"/>
              </w:rPr>
              <w:t>http://climatecasechart.com/non-us-case/arayara-association-of-education-and-culture-and-others-v-funai-copelmi-mineracao-ltda-and-fepam-mina-guaiba-project-and-affected-indigenous-communities/</w:t>
            </w:r>
          </w:hyperlink>
          <w:r w:rsidRPr="00F07C07">
            <w:rPr>
              <w:rFonts w:asciiTheme="majorBidi" w:hAnsiTheme="majorBidi" w:cstheme="majorBidi"/>
              <w:sz w:val="24"/>
              <w:szCs w:val="24"/>
            </w:rPr>
            <w:t xml:space="preserve">. </w:t>
          </w:r>
        </w:p>
        <w:p w:rsidR="004D3495" w:rsidRPr="00F07C07" w:rsidRDefault="004D3495" w:rsidP="004D3495">
          <w:pPr>
            <w:pStyle w:val="ListParagraph"/>
            <w:ind w:left="714"/>
            <w:rPr>
              <w:rFonts w:asciiTheme="majorBidi" w:hAnsiTheme="majorBidi" w:cstheme="majorBidi"/>
              <w:sz w:val="24"/>
              <w:szCs w:val="24"/>
            </w:rPr>
          </w:pP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Decision SU-698/17 of November 28, 2017</w:t>
          </w:r>
          <w:r w:rsidRPr="00F07C07">
            <w:rPr>
              <w:rFonts w:asciiTheme="majorBidi" w:hAnsiTheme="majorBidi" w:cstheme="majorBidi"/>
              <w:sz w:val="24"/>
              <w:szCs w:val="24"/>
            </w:rPr>
            <w:t xml:space="preserve"> (Colombia), </w:t>
          </w:r>
          <w:hyperlink r:id="rId10" w:history="1">
            <w:r w:rsidRPr="00F07C07">
              <w:rPr>
                <w:rStyle w:val="Hyperlink"/>
                <w:rFonts w:asciiTheme="majorBidi" w:hAnsiTheme="majorBidi" w:cstheme="majorBidi"/>
                <w:sz w:val="24"/>
                <w:szCs w:val="24"/>
              </w:rPr>
              <w:t>http://climatecasechart.com/non-us-case/decision-su-698-17-of-november-28-2017/</w:t>
            </w:r>
          </w:hyperlink>
          <w:r w:rsidRPr="00F07C07">
            <w:rPr>
              <w:rFonts w:asciiTheme="majorBidi" w:hAnsiTheme="majorBidi" w:cstheme="majorBidi"/>
              <w:sz w:val="24"/>
              <w:szCs w:val="24"/>
            </w:rPr>
            <w:t>.</w:t>
          </w:r>
        </w:p>
        <w:p w:rsidR="004D3495" w:rsidRPr="004D3495" w:rsidRDefault="004D3495" w:rsidP="004D3495">
          <w:pPr>
            <w:rPr>
              <w:rFonts w:asciiTheme="majorBidi" w:hAnsiTheme="majorBidi" w:cstheme="majorBidi"/>
              <w:sz w:val="24"/>
              <w:szCs w:val="24"/>
            </w:rPr>
          </w:pP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Indonesian Youths and others v. Indonesia</w:t>
          </w:r>
          <w:r w:rsidRPr="00F07C07">
            <w:rPr>
              <w:rFonts w:asciiTheme="majorBidi" w:hAnsiTheme="majorBidi" w:cstheme="majorBidi"/>
              <w:sz w:val="24"/>
              <w:szCs w:val="24"/>
            </w:rPr>
            <w:t xml:space="preserve">, </w:t>
          </w:r>
          <w:hyperlink r:id="rId11" w:history="1">
            <w:r w:rsidRPr="00F07C07">
              <w:rPr>
                <w:rStyle w:val="Hyperlink"/>
                <w:rFonts w:asciiTheme="majorBidi" w:hAnsiTheme="majorBidi" w:cstheme="majorBidi"/>
                <w:sz w:val="24"/>
                <w:szCs w:val="24"/>
              </w:rPr>
              <w:t>http://climatecasechart.com/non-us-case/indonesian-youths-and-others-v-indonesia/</w:t>
            </w:r>
          </w:hyperlink>
          <w:r w:rsidRPr="00F07C07">
            <w:rPr>
              <w:rFonts w:asciiTheme="majorBidi" w:hAnsiTheme="majorBidi" w:cstheme="majorBidi"/>
              <w:sz w:val="24"/>
              <w:szCs w:val="24"/>
            </w:rPr>
            <w:t xml:space="preserve">. </w:t>
          </w:r>
        </w:p>
        <w:p w:rsidR="004D3495" w:rsidRPr="004D3495" w:rsidRDefault="004D3495" w:rsidP="004D3495">
          <w:pPr>
            <w:rPr>
              <w:rFonts w:asciiTheme="majorBidi" w:hAnsiTheme="majorBidi" w:cstheme="majorBidi"/>
              <w:sz w:val="24"/>
              <w:szCs w:val="24"/>
            </w:rPr>
          </w:pPr>
        </w:p>
        <w:p w:rsidR="00F07C07" w:rsidRPr="004D3495" w:rsidRDefault="00F07C07" w:rsidP="00F07C07">
          <w:pPr>
            <w:pStyle w:val="ListParagraph"/>
            <w:numPr>
              <w:ilvl w:val="0"/>
              <w:numId w:val="4"/>
            </w:numPr>
            <w:ind w:left="714" w:hanging="357"/>
            <w:rPr>
              <w:rFonts w:asciiTheme="majorBidi" w:hAnsiTheme="majorBidi" w:cstheme="majorBidi"/>
              <w:sz w:val="24"/>
              <w:szCs w:val="24"/>
            </w:rPr>
          </w:pPr>
          <w:r w:rsidRPr="00F07C07">
            <w:rPr>
              <w:i/>
              <w:iCs/>
              <w:sz w:val="24"/>
              <w:szCs w:val="24"/>
            </w:rPr>
            <w:t>Intellectuals Forum, Tirupathi v. State of Andhra Pradesh</w:t>
          </w:r>
          <w:r w:rsidRPr="00F07C07">
            <w:rPr>
              <w:sz w:val="24"/>
              <w:szCs w:val="24"/>
            </w:rPr>
            <w:t>, (2006), 3 SCC 549 (India)</w:t>
          </w:r>
          <w:r w:rsidR="004D3495">
            <w:rPr>
              <w:sz w:val="24"/>
              <w:szCs w:val="24"/>
            </w:rPr>
            <w:t>.</w:t>
          </w:r>
        </w:p>
        <w:p w:rsidR="004D3495" w:rsidRPr="004D3495" w:rsidRDefault="004D3495" w:rsidP="004D3495">
          <w:pPr>
            <w:rPr>
              <w:rFonts w:asciiTheme="majorBidi" w:hAnsiTheme="majorBidi" w:cstheme="majorBidi"/>
              <w:sz w:val="24"/>
              <w:szCs w:val="24"/>
            </w:rPr>
          </w:pP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sz w:val="24"/>
              <w:szCs w:val="24"/>
            </w:rPr>
            <w:t xml:space="preserve">KlimaSeniorinnen v. Switzerland, Application no. 53600/20 (ECtHR), </w:t>
          </w:r>
          <w:hyperlink r:id="rId12" w:history="1">
            <w:r w:rsidRPr="00F07C07">
              <w:rPr>
                <w:rStyle w:val="Hyperlink"/>
                <w:rFonts w:asciiTheme="majorBidi" w:hAnsiTheme="majorBidi" w:cstheme="majorBidi"/>
                <w:sz w:val="24"/>
                <w:szCs w:val="24"/>
              </w:rPr>
              <w:t>http://climatecasechart.com/non-us-case/union-of-swiss-senior-women-for-climate-protection-v-swiss-federal-council-and-others/</w:t>
            </w:r>
          </w:hyperlink>
          <w:r w:rsidRPr="00F07C07">
            <w:rPr>
              <w:rFonts w:asciiTheme="majorBidi" w:hAnsiTheme="majorBidi" w:cstheme="majorBidi"/>
              <w:sz w:val="24"/>
              <w:szCs w:val="24"/>
            </w:rPr>
            <w:t>.</w:t>
          </w:r>
        </w:p>
        <w:p w:rsidR="004D3495" w:rsidRPr="004D3495" w:rsidRDefault="004D3495" w:rsidP="004D3495">
          <w:pPr>
            <w:rPr>
              <w:rFonts w:asciiTheme="majorBidi" w:hAnsiTheme="majorBidi" w:cstheme="majorBidi"/>
              <w:sz w:val="24"/>
              <w:szCs w:val="24"/>
            </w:rPr>
          </w:pPr>
        </w:p>
        <w:p w:rsidR="00F07C07" w:rsidRDefault="00F07C07" w:rsidP="004D3495">
          <w:pPr>
            <w:pStyle w:val="ListParagraph"/>
            <w:numPr>
              <w:ilvl w:val="0"/>
              <w:numId w:val="4"/>
            </w:numPr>
            <w:ind w:left="714" w:hanging="357"/>
            <w:rPr>
              <w:rFonts w:asciiTheme="majorBidi" w:hAnsiTheme="majorBidi" w:cstheme="majorBidi"/>
              <w:sz w:val="24"/>
              <w:szCs w:val="24"/>
            </w:rPr>
          </w:pPr>
          <w:r w:rsidRPr="00F07C07">
            <w:rPr>
              <w:i/>
              <w:sz w:val="24"/>
              <w:szCs w:val="24"/>
              <w:lang w:val="de-DE"/>
            </w:rPr>
            <w:t>Louisa Neubauer et al. v. Germany,</w:t>
          </w:r>
          <w:r w:rsidRPr="00F07C07">
            <w:rPr>
              <w:sz w:val="24"/>
              <w:szCs w:val="24"/>
              <w:lang w:val="de-DE"/>
            </w:rPr>
            <w:t xml:space="preserve"> BVerfG. </w:t>
          </w:r>
          <w:r w:rsidRPr="00F07C07">
            <w:rPr>
              <w:sz w:val="24"/>
              <w:szCs w:val="24"/>
            </w:rPr>
            <w:t>Order of the First Senate of 24 March 2021 - 1 BvR 2656/18</w:t>
          </w:r>
          <w:r w:rsidR="004D3495">
            <w:rPr>
              <w:sz w:val="24"/>
              <w:szCs w:val="24"/>
            </w:rPr>
            <w:t xml:space="preserve">, </w:t>
          </w:r>
          <w:hyperlink r:id="rId13" w:history="1">
            <w:r w:rsidR="004D3495" w:rsidRPr="00504F9E">
              <w:rPr>
                <w:rStyle w:val="Hyperlink"/>
                <w:sz w:val="24"/>
                <w:szCs w:val="24"/>
              </w:rPr>
              <w:t>https://www.bundesverfassungsgericht.de/SharedDocs/Entscheidungen/EN/2021/03/rs20210324_1bvr265618en.html</w:t>
            </w:r>
          </w:hyperlink>
          <w:r w:rsidRPr="004D3495">
            <w:rPr>
              <w:sz w:val="24"/>
              <w:szCs w:val="24"/>
            </w:rPr>
            <w:t>.</w:t>
          </w:r>
          <w:r w:rsidRPr="004D3495">
            <w:rPr>
              <w:rFonts w:asciiTheme="majorBidi" w:hAnsiTheme="majorBidi" w:cstheme="majorBidi"/>
              <w:sz w:val="24"/>
              <w:szCs w:val="24"/>
            </w:rPr>
            <w:t xml:space="preserve">  </w:t>
          </w:r>
        </w:p>
        <w:p w:rsidR="004D3495" w:rsidRPr="004D3495" w:rsidRDefault="004D3495" w:rsidP="004D3495">
          <w:pPr>
            <w:rPr>
              <w:rFonts w:asciiTheme="majorBidi" w:hAnsiTheme="majorBidi" w:cstheme="majorBidi"/>
              <w:sz w:val="24"/>
              <w:szCs w:val="24"/>
            </w:rPr>
          </w:pPr>
        </w:p>
        <w:p w:rsidR="00F07C07" w:rsidRPr="004D3495" w:rsidRDefault="00F07C07" w:rsidP="00F07C07">
          <w:pPr>
            <w:pStyle w:val="ListParagraph"/>
            <w:numPr>
              <w:ilvl w:val="0"/>
              <w:numId w:val="4"/>
            </w:numPr>
            <w:ind w:left="714" w:hanging="357"/>
            <w:rPr>
              <w:rFonts w:asciiTheme="majorBidi" w:hAnsiTheme="majorBidi" w:cstheme="majorBidi"/>
              <w:sz w:val="24"/>
              <w:szCs w:val="24"/>
            </w:rPr>
          </w:pPr>
          <w:r w:rsidRPr="00F07C07">
            <w:rPr>
              <w:i/>
              <w:iCs/>
              <w:sz w:val="24"/>
              <w:szCs w:val="24"/>
            </w:rPr>
            <w:t>M.C. Mehta v. Union of India</w:t>
          </w:r>
          <w:r w:rsidRPr="00F07C07">
            <w:rPr>
              <w:sz w:val="24"/>
              <w:szCs w:val="24"/>
            </w:rPr>
            <w:t xml:space="preserve"> (1992), 3 SCC 256 (India)</w:t>
          </w:r>
          <w:r w:rsidR="004D3495">
            <w:rPr>
              <w:sz w:val="24"/>
              <w:szCs w:val="24"/>
            </w:rPr>
            <w:t>.</w:t>
          </w:r>
        </w:p>
        <w:p w:rsidR="004D3495" w:rsidRPr="004D3495" w:rsidRDefault="004D3495" w:rsidP="004D3495">
          <w:pPr>
            <w:rPr>
              <w:rFonts w:asciiTheme="majorBidi" w:hAnsiTheme="majorBidi" w:cstheme="majorBidi"/>
              <w:sz w:val="24"/>
              <w:szCs w:val="24"/>
            </w:rPr>
          </w:pP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Pandey v. India</w:t>
          </w:r>
          <w:r w:rsidRPr="00F07C07">
            <w:rPr>
              <w:rFonts w:asciiTheme="majorBidi" w:hAnsiTheme="majorBidi" w:cstheme="majorBidi"/>
              <w:sz w:val="24"/>
              <w:szCs w:val="24"/>
            </w:rPr>
            <w:t xml:space="preserve"> (India), </w:t>
          </w:r>
          <w:hyperlink r:id="rId14" w:history="1">
            <w:r w:rsidRPr="00F07C07">
              <w:rPr>
                <w:rStyle w:val="Hyperlink"/>
                <w:rFonts w:asciiTheme="majorBidi" w:hAnsiTheme="majorBidi" w:cstheme="majorBidi"/>
                <w:sz w:val="24"/>
                <w:szCs w:val="24"/>
              </w:rPr>
              <w:t>http://climatecasechart.com/non-us-case/pandey-v-india/</w:t>
            </w:r>
          </w:hyperlink>
          <w:r w:rsidRPr="00F07C07">
            <w:rPr>
              <w:rFonts w:asciiTheme="majorBidi" w:hAnsiTheme="majorBidi" w:cstheme="majorBidi"/>
              <w:sz w:val="24"/>
              <w:szCs w:val="24"/>
            </w:rPr>
            <w:t xml:space="preserve">. </w:t>
          </w:r>
        </w:p>
        <w:p w:rsidR="004D3495" w:rsidRPr="004D3495" w:rsidRDefault="004D3495" w:rsidP="004D3495">
          <w:pPr>
            <w:rPr>
              <w:rFonts w:asciiTheme="majorBidi" w:hAnsiTheme="majorBidi" w:cstheme="majorBidi"/>
              <w:sz w:val="24"/>
              <w:szCs w:val="24"/>
            </w:rPr>
          </w:pPr>
        </w:p>
        <w:p w:rsidR="00F07C07" w:rsidRPr="00F07C07" w:rsidRDefault="00F07C07" w:rsidP="00F07C07">
          <w:pPr>
            <w:pStyle w:val="ListParagraph"/>
            <w:numPr>
              <w:ilvl w:val="0"/>
              <w:numId w:val="4"/>
            </w:numPr>
            <w:ind w:left="714" w:hanging="357"/>
            <w:rPr>
              <w:rFonts w:asciiTheme="majorBidi" w:hAnsiTheme="majorBidi" w:cstheme="majorBidi"/>
              <w:sz w:val="24"/>
              <w:szCs w:val="24"/>
            </w:rPr>
          </w:pPr>
          <w:r w:rsidRPr="00F07C07">
            <w:rPr>
              <w:i/>
              <w:iCs/>
              <w:sz w:val="24"/>
              <w:szCs w:val="24"/>
            </w:rPr>
            <w:t>Subash Kumar v. State of Bihar</w:t>
          </w:r>
          <w:r w:rsidRPr="00F07C07">
            <w:rPr>
              <w:sz w:val="24"/>
              <w:szCs w:val="24"/>
            </w:rPr>
            <w:t xml:space="preserve"> (1991) 1 SCC 598 (India)</w:t>
          </w:r>
          <w:r w:rsidR="004D3495">
            <w:rPr>
              <w:sz w:val="24"/>
              <w:szCs w:val="24"/>
            </w:rPr>
            <w:t>.</w:t>
          </w:r>
        </w:p>
        <w:p w:rsidR="004D3495" w:rsidRPr="004D3495" w:rsidRDefault="004D3495" w:rsidP="004D3495">
          <w:pPr>
            <w:pStyle w:val="ListParagraph"/>
            <w:ind w:left="714"/>
            <w:rPr>
              <w:rFonts w:asciiTheme="majorBidi" w:hAnsiTheme="majorBidi" w:cstheme="majorBidi"/>
              <w:sz w:val="24"/>
              <w:szCs w:val="24"/>
            </w:rPr>
          </w:pPr>
        </w:p>
        <w:p w:rsid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The Norwegian Grandparents’ Climate Campaign and others v. Norway, Case no. 19026/21</w:t>
          </w:r>
          <w:r w:rsidRPr="00F07C07">
            <w:rPr>
              <w:rFonts w:asciiTheme="majorBidi" w:hAnsiTheme="majorBidi" w:cstheme="majorBidi"/>
              <w:sz w:val="24"/>
              <w:szCs w:val="24"/>
            </w:rPr>
            <w:t xml:space="preserve"> (ECtHR), </w:t>
          </w:r>
          <w:hyperlink r:id="rId15" w:history="1">
            <w:r w:rsidRPr="00F07C07">
              <w:rPr>
                <w:rStyle w:val="Hyperlink"/>
                <w:rFonts w:asciiTheme="majorBidi" w:hAnsiTheme="majorBidi" w:cstheme="majorBidi"/>
                <w:sz w:val="24"/>
                <w:szCs w:val="24"/>
              </w:rPr>
              <w:t>http://climatecasechart.com/non-us-case/the-norwegian-grandparents-climate-campaign-and-others-v-norway/</w:t>
            </w:r>
          </w:hyperlink>
          <w:r w:rsidRPr="00F07C07">
            <w:rPr>
              <w:rFonts w:asciiTheme="majorBidi" w:hAnsiTheme="majorBidi" w:cstheme="majorBidi"/>
              <w:sz w:val="24"/>
              <w:szCs w:val="24"/>
            </w:rPr>
            <w:t>.</w:t>
          </w:r>
        </w:p>
        <w:p w:rsidR="004D3495" w:rsidRPr="004D3495" w:rsidRDefault="004D3495" w:rsidP="004D3495">
          <w:pPr>
            <w:rPr>
              <w:rFonts w:asciiTheme="majorBidi" w:hAnsiTheme="majorBidi" w:cstheme="majorBidi"/>
              <w:sz w:val="24"/>
              <w:szCs w:val="24"/>
            </w:rPr>
          </w:pPr>
        </w:p>
        <w:p w:rsidR="00F07C07" w:rsidRPr="004D3495" w:rsidRDefault="00F07C07" w:rsidP="00F07C07">
          <w:pPr>
            <w:pStyle w:val="ListParagraph"/>
            <w:numPr>
              <w:ilvl w:val="0"/>
              <w:numId w:val="4"/>
            </w:numPr>
            <w:ind w:left="714" w:hanging="357"/>
            <w:rPr>
              <w:rFonts w:asciiTheme="majorBidi" w:hAnsiTheme="majorBidi" w:cstheme="majorBidi"/>
              <w:sz w:val="24"/>
              <w:szCs w:val="24"/>
            </w:rPr>
          </w:pPr>
          <w:r w:rsidRPr="00F07C07">
            <w:rPr>
              <w:i/>
              <w:iCs/>
              <w:sz w:val="24"/>
              <w:szCs w:val="24"/>
              <w:lang w:val="en-IN"/>
            </w:rPr>
            <w:t>Urgenda Foundation v. State of the Netherlands</w:t>
          </w:r>
          <w:r>
            <w:rPr>
              <w:sz w:val="24"/>
              <w:szCs w:val="24"/>
              <w:lang w:val="en-IN"/>
            </w:rPr>
            <w:t xml:space="preserve"> (ECtHR),</w:t>
          </w:r>
          <w:r w:rsidRPr="00F07C07">
            <w:rPr>
              <w:sz w:val="24"/>
              <w:szCs w:val="24"/>
              <w:lang w:val="en-IN"/>
            </w:rPr>
            <w:t xml:space="preserve"> </w:t>
          </w:r>
          <w:hyperlink r:id="rId16" w:history="1">
            <w:r w:rsidRPr="00F07C07">
              <w:rPr>
                <w:rStyle w:val="Hyperlink"/>
                <w:sz w:val="24"/>
                <w:szCs w:val="24"/>
                <w:lang w:val="en-IN"/>
              </w:rPr>
              <w:t>http://climatecasechart.com/non-us-case/urgenda-foundation-v-kingdom-of-the-netherlands/</w:t>
            </w:r>
          </w:hyperlink>
          <w:r w:rsidRPr="00F07C07">
            <w:rPr>
              <w:sz w:val="24"/>
              <w:szCs w:val="24"/>
              <w:lang w:val="en-IN"/>
            </w:rPr>
            <w:t xml:space="preserve">. </w:t>
          </w:r>
        </w:p>
        <w:p w:rsidR="004D3495" w:rsidRPr="004D3495" w:rsidRDefault="004D3495" w:rsidP="004D3495">
          <w:pPr>
            <w:rPr>
              <w:rFonts w:asciiTheme="majorBidi" w:hAnsiTheme="majorBidi" w:cstheme="majorBidi"/>
              <w:sz w:val="24"/>
              <w:szCs w:val="24"/>
            </w:rPr>
          </w:pPr>
        </w:p>
        <w:p w:rsidR="00F07C07" w:rsidRPr="004D3495" w:rsidRDefault="00F07C07" w:rsidP="00F07C07">
          <w:pPr>
            <w:pStyle w:val="ListParagraph"/>
            <w:numPr>
              <w:ilvl w:val="0"/>
              <w:numId w:val="4"/>
            </w:numPr>
            <w:ind w:left="714" w:hanging="357"/>
            <w:rPr>
              <w:rFonts w:asciiTheme="majorBidi" w:hAnsiTheme="majorBidi" w:cstheme="majorBidi"/>
              <w:sz w:val="24"/>
              <w:szCs w:val="24"/>
            </w:rPr>
          </w:pPr>
          <w:r w:rsidRPr="00F07C07">
            <w:rPr>
              <w:i/>
              <w:iCs/>
              <w:sz w:val="24"/>
              <w:szCs w:val="24"/>
            </w:rPr>
            <w:t>Virender Gaur v. State of Haryana</w:t>
          </w:r>
          <w:r w:rsidRPr="00F07C07">
            <w:rPr>
              <w:sz w:val="24"/>
              <w:szCs w:val="24"/>
            </w:rPr>
            <w:t xml:space="preserve"> (1995), 2 SCC 577 (India).</w:t>
          </w:r>
        </w:p>
        <w:p w:rsidR="004D3495" w:rsidRPr="004D3495" w:rsidRDefault="004D3495" w:rsidP="004D3495">
          <w:pPr>
            <w:rPr>
              <w:rFonts w:asciiTheme="majorBidi" w:hAnsiTheme="majorBidi" w:cstheme="majorBidi"/>
              <w:sz w:val="24"/>
              <w:szCs w:val="24"/>
            </w:rPr>
          </w:pPr>
        </w:p>
        <w:p w:rsidR="00F07C07" w:rsidRPr="00F07C07" w:rsidRDefault="00F07C07" w:rsidP="00F07C07">
          <w:pPr>
            <w:pStyle w:val="ListParagraph"/>
            <w:numPr>
              <w:ilvl w:val="0"/>
              <w:numId w:val="4"/>
            </w:numPr>
            <w:ind w:left="714" w:hanging="357"/>
            <w:rPr>
              <w:rFonts w:asciiTheme="majorBidi" w:hAnsiTheme="majorBidi" w:cstheme="majorBidi"/>
              <w:sz w:val="24"/>
              <w:szCs w:val="24"/>
            </w:rPr>
          </w:pPr>
          <w:r w:rsidRPr="00F07C07">
            <w:rPr>
              <w:rFonts w:asciiTheme="majorBidi" w:hAnsiTheme="majorBidi" w:cstheme="majorBidi"/>
              <w:i/>
              <w:iCs/>
              <w:sz w:val="24"/>
              <w:szCs w:val="24"/>
            </w:rPr>
            <w:t>Wayúu Indigenous community and others v. Ministry of Environment and others</w:t>
          </w:r>
          <w:r w:rsidRPr="00F07C07">
            <w:rPr>
              <w:rFonts w:asciiTheme="majorBidi" w:hAnsiTheme="majorBidi" w:cstheme="majorBidi"/>
              <w:sz w:val="24"/>
              <w:szCs w:val="24"/>
            </w:rPr>
            <w:t xml:space="preserve"> (Colombia), </w:t>
          </w:r>
          <w:hyperlink r:id="rId17" w:history="1">
            <w:r w:rsidRPr="00F07C07">
              <w:rPr>
                <w:rStyle w:val="Hyperlink"/>
                <w:rFonts w:asciiTheme="majorBidi" w:hAnsiTheme="majorBidi" w:cstheme="majorBidi"/>
                <w:sz w:val="24"/>
                <w:szCs w:val="24"/>
              </w:rPr>
              <w:t>http://climatecasechart.com/non-us-case/wayuu-indigenous-community-and-others-v-ministry-of-environment-and-others/</w:t>
            </w:r>
          </w:hyperlink>
          <w:r w:rsidRPr="00F07C07">
            <w:rPr>
              <w:rFonts w:asciiTheme="majorBidi" w:hAnsiTheme="majorBidi" w:cstheme="majorBidi"/>
              <w:sz w:val="24"/>
              <w:szCs w:val="24"/>
            </w:rPr>
            <w:t>.</w:t>
          </w:r>
        </w:p>
        <w:p w:rsidR="00F07C07" w:rsidRDefault="00F07C07" w:rsidP="00F07C07">
          <w:pPr>
            <w:rPr>
              <w:sz w:val="24"/>
              <w:szCs w:val="24"/>
              <w:lang w:eastAsia="de-DE"/>
            </w:rPr>
          </w:pPr>
        </w:p>
        <w:p w:rsidR="004D3495" w:rsidRDefault="004D3495" w:rsidP="00F07C07">
          <w:pPr>
            <w:rPr>
              <w:sz w:val="24"/>
              <w:szCs w:val="24"/>
              <w:lang w:eastAsia="de-DE"/>
            </w:rPr>
          </w:pPr>
        </w:p>
        <w:p w:rsidR="004D3495" w:rsidRDefault="004D3495" w:rsidP="00F07C07">
          <w:pPr>
            <w:rPr>
              <w:sz w:val="24"/>
              <w:szCs w:val="24"/>
              <w:lang w:eastAsia="de-DE"/>
            </w:rPr>
          </w:pPr>
        </w:p>
        <w:p w:rsidR="004D3495" w:rsidRDefault="004D3495" w:rsidP="00F07C07">
          <w:pPr>
            <w:rPr>
              <w:sz w:val="24"/>
              <w:szCs w:val="24"/>
              <w:lang w:eastAsia="de-DE"/>
            </w:rPr>
          </w:pPr>
        </w:p>
        <w:p w:rsidR="004D3495" w:rsidRPr="00F07C07" w:rsidRDefault="004D3495" w:rsidP="00F07C07">
          <w:pPr>
            <w:rPr>
              <w:sz w:val="24"/>
              <w:szCs w:val="24"/>
              <w:lang w:eastAsia="de-DE"/>
            </w:rPr>
          </w:pPr>
        </w:p>
        <w:p w:rsidR="00F07C07" w:rsidRPr="00F07C07" w:rsidRDefault="00F07C07" w:rsidP="00F07C07">
          <w:pPr>
            <w:rPr>
              <w:sz w:val="24"/>
              <w:szCs w:val="24"/>
              <w:lang w:eastAsia="de-DE"/>
            </w:rPr>
          </w:pPr>
        </w:p>
        <w:p w:rsidR="00F07C07" w:rsidRPr="00F07C07" w:rsidRDefault="00F07C07" w:rsidP="00F07C07">
          <w:pPr>
            <w:rPr>
              <w:b/>
              <w:bCs/>
              <w:sz w:val="24"/>
              <w:szCs w:val="24"/>
              <w:lang w:eastAsia="de-DE"/>
            </w:rPr>
          </w:pPr>
          <w:r w:rsidRPr="00F07C07">
            <w:rPr>
              <w:b/>
              <w:bCs/>
              <w:sz w:val="24"/>
              <w:szCs w:val="24"/>
              <w:lang w:eastAsia="de-DE"/>
            </w:rPr>
            <w:t>Books, Book Chapters, Journal Articles</w:t>
          </w:r>
          <w:r w:rsidR="004D3495">
            <w:rPr>
              <w:b/>
              <w:bCs/>
              <w:sz w:val="24"/>
              <w:szCs w:val="24"/>
              <w:lang w:eastAsia="de-DE"/>
            </w:rPr>
            <w:t>, Websites</w:t>
          </w:r>
        </w:p>
        <w:p w:rsidR="00F07C07" w:rsidRPr="00F07C07" w:rsidRDefault="00F07C07" w:rsidP="00F07C07">
          <w:pPr>
            <w:rPr>
              <w:sz w:val="24"/>
              <w:szCs w:val="24"/>
              <w:lang w:eastAsia="de-DE"/>
            </w:rPr>
          </w:pPr>
        </w:p>
        <w:sdt>
          <w:sdtPr>
            <w:rPr>
              <w:sz w:val="24"/>
              <w:szCs w:val="24"/>
            </w:rPr>
            <w:id w:val="111145805"/>
            <w:bibliography/>
          </w:sdtPr>
          <w:sdtEndPr/>
          <w:sdtContent>
            <w:p w:rsidR="00F07C07" w:rsidRDefault="00F07C07" w:rsidP="00F07C07">
              <w:pPr>
                <w:pStyle w:val="Bibliography"/>
                <w:ind w:left="720" w:hanging="720"/>
                <w:rPr>
                  <w:noProof/>
                  <w:sz w:val="24"/>
                  <w:szCs w:val="24"/>
                </w:rPr>
              </w:pPr>
              <w:r w:rsidRPr="00F07C07">
                <w:rPr>
                  <w:sz w:val="24"/>
                  <w:szCs w:val="24"/>
                </w:rPr>
                <w:fldChar w:fldCharType="begin"/>
              </w:r>
              <w:r w:rsidRPr="00F07C07">
                <w:rPr>
                  <w:sz w:val="24"/>
                  <w:szCs w:val="24"/>
                </w:rPr>
                <w:instrText>BIBLIOGRAPHY</w:instrText>
              </w:r>
              <w:r w:rsidRPr="00F07C07">
                <w:rPr>
                  <w:sz w:val="24"/>
                  <w:szCs w:val="24"/>
                </w:rPr>
                <w:fldChar w:fldCharType="separate"/>
              </w:r>
              <w:r w:rsidRPr="00F07C07">
                <w:rPr>
                  <w:noProof/>
                  <w:sz w:val="24"/>
                  <w:szCs w:val="24"/>
                </w:rPr>
                <w:t>Bhullar, L. (2019). The judiciary and the Right to Environment in India: Past, present and future. In S. Ghosh (</w:t>
              </w:r>
              <w:r>
                <w:rPr>
                  <w:noProof/>
                  <w:sz w:val="24"/>
                  <w:szCs w:val="24"/>
                </w:rPr>
                <w:t>Ed</w:t>
              </w:r>
              <w:r w:rsidRPr="00F07C07">
                <w:rPr>
                  <w:noProof/>
                  <w:sz w:val="24"/>
                  <w:szCs w:val="24"/>
                </w:rPr>
                <w:t xml:space="preserve">.), </w:t>
              </w:r>
              <w:r w:rsidRPr="00F07C07">
                <w:rPr>
                  <w:i/>
                  <w:iCs/>
                  <w:noProof/>
                  <w:sz w:val="24"/>
                  <w:szCs w:val="24"/>
                </w:rPr>
                <w:t>Indian Environmental Law: Key Concepts and Principles</w:t>
              </w:r>
              <w:r w:rsidRPr="00F07C07">
                <w:rPr>
                  <w:noProof/>
                  <w:sz w:val="24"/>
                  <w:szCs w:val="24"/>
                </w:rPr>
                <w:t xml:space="preserve"> (S. 21-54). Hyderabad: Orient BlackSwam.</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Higham, C., Setzer, J., &amp; Bradeen, E. (2022). </w:t>
              </w:r>
              <w:r w:rsidRPr="00F07C07">
                <w:rPr>
                  <w:i/>
                  <w:iCs/>
                  <w:noProof/>
                  <w:sz w:val="24"/>
                  <w:szCs w:val="24"/>
                </w:rPr>
                <w:t>Challenging government responses to climate change through framework litigation.</w:t>
              </w:r>
              <w:r w:rsidRPr="00F07C07">
                <w:rPr>
                  <w:noProof/>
                  <w:sz w:val="24"/>
                  <w:szCs w:val="24"/>
                </w:rPr>
                <w:t xml:space="preserve"> Grantham Research Institute on Climate Change and the Environment and the Centre for Climate Change Economics and Policy.</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Maxwell, L., Mead, S., &amp; van Berkel, D. (2022). Standards for adjudicating the next generation of Urgenda-style climate cases. </w:t>
              </w:r>
              <w:r w:rsidRPr="00F07C07">
                <w:rPr>
                  <w:i/>
                  <w:iCs/>
                  <w:noProof/>
                  <w:sz w:val="24"/>
                  <w:szCs w:val="24"/>
                </w:rPr>
                <w:t>Journal of Human Rights and the Environment</w:t>
              </w:r>
              <w:r w:rsidRPr="00F07C07">
                <w:rPr>
                  <w:noProof/>
                  <w:sz w:val="24"/>
                  <w:szCs w:val="24"/>
                </w:rPr>
                <w:t>, 35-63.</w:t>
              </w:r>
            </w:p>
            <w:p w:rsidR="00F07C07" w:rsidRPr="00F07C07" w:rsidRDefault="00F07C07" w:rsidP="00F07C07"/>
            <w:p w:rsidR="00F07C07" w:rsidRPr="00F07C07" w:rsidRDefault="00F07C07" w:rsidP="00F07C07">
              <w:pPr>
                <w:pStyle w:val="Bibliography"/>
                <w:ind w:left="720" w:hanging="720"/>
                <w:rPr>
                  <w:noProof/>
                  <w:sz w:val="24"/>
                  <w:szCs w:val="24"/>
                </w:rPr>
              </w:pPr>
              <w:r w:rsidRPr="00F07C07">
                <w:rPr>
                  <w:i/>
                  <w:iCs/>
                  <w:noProof/>
                  <w:sz w:val="24"/>
                  <w:szCs w:val="24"/>
                </w:rPr>
                <w:t>Non-U.S. Climate Change Litigation</w:t>
              </w:r>
              <w:r w:rsidRPr="00F07C07">
                <w:rPr>
                  <w:noProof/>
                  <w:sz w:val="24"/>
                  <w:szCs w:val="24"/>
                </w:rPr>
                <w:t>. (2023). Von Sabin Center for Climate Change Law: http://climatecasechart.com/non-us-case-category/human-rights/page/2/ abgerufen</w:t>
              </w:r>
            </w:p>
            <w:p w:rsidR="00F07C07" w:rsidRDefault="00F07C07" w:rsidP="00F07C07">
              <w:pPr>
                <w:pStyle w:val="Bibliography"/>
                <w:ind w:left="720" w:hanging="720"/>
                <w:rPr>
                  <w:noProof/>
                  <w:sz w:val="24"/>
                  <w:szCs w:val="24"/>
                </w:rPr>
              </w:pPr>
              <w:r w:rsidRPr="00F07C07">
                <w:rPr>
                  <w:noProof/>
                  <w:sz w:val="24"/>
                  <w:szCs w:val="24"/>
                </w:rPr>
                <w:t>Ohdedar, B. (2021). Climate Change Litigation in India and Pakistan: Analyzing Opportunities and Challenges. In I. Alogna, C. Bakker, &amp; J.-P. Gauci (</w:t>
              </w:r>
              <w:r>
                <w:rPr>
                  <w:noProof/>
                  <w:sz w:val="24"/>
                  <w:szCs w:val="24"/>
                </w:rPr>
                <w:t>Eds</w:t>
              </w:r>
              <w:r w:rsidRPr="00F07C07">
                <w:rPr>
                  <w:noProof/>
                  <w:sz w:val="24"/>
                  <w:szCs w:val="24"/>
                </w:rPr>
                <w:t xml:space="preserve">.), </w:t>
              </w:r>
              <w:r w:rsidRPr="00F07C07">
                <w:rPr>
                  <w:i/>
                  <w:iCs/>
                  <w:noProof/>
                  <w:sz w:val="24"/>
                  <w:szCs w:val="24"/>
                </w:rPr>
                <w:t>Climate Change Litigation: Global Perspectives</w:t>
              </w:r>
              <w:r w:rsidRPr="00F07C07">
                <w:rPr>
                  <w:noProof/>
                  <w:sz w:val="24"/>
                  <w:szCs w:val="24"/>
                </w:rPr>
                <w:t xml:space="preserve"> (S. 103-123). Brill | Nijhoff.</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Peel, J., &amp; Lin, J. (2019). Transnational Climate Litigation: The Contribution of the Global South. </w:t>
              </w:r>
              <w:r w:rsidRPr="00F07C07">
                <w:rPr>
                  <w:i/>
                  <w:iCs/>
                  <w:noProof/>
                  <w:sz w:val="24"/>
                  <w:szCs w:val="24"/>
                </w:rPr>
                <w:t>American Journal of International Law</w:t>
              </w:r>
              <w:r w:rsidRPr="00F07C07">
                <w:rPr>
                  <w:noProof/>
                  <w:sz w:val="24"/>
                  <w:szCs w:val="24"/>
                </w:rPr>
                <w:t>, 679-726.</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Peel, J., &amp; Osofsky, H. (2015). </w:t>
              </w:r>
              <w:r w:rsidRPr="00F07C07">
                <w:rPr>
                  <w:i/>
                  <w:iCs/>
                  <w:noProof/>
                  <w:sz w:val="24"/>
                  <w:szCs w:val="24"/>
                </w:rPr>
                <w:t>Climate Change Litigation: Regulatory Pathways to Cleaner Energy.</w:t>
              </w:r>
              <w:r w:rsidRPr="00F07C07">
                <w:rPr>
                  <w:noProof/>
                  <w:sz w:val="24"/>
                  <w:szCs w:val="24"/>
                </w:rPr>
                <w:t xml:space="preserve"> Cambridge: Cambridge University Press.</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Peel, J., &amp; Osofsky, H. (2018). A Rights Turn in Climate Change Litigation? </w:t>
              </w:r>
              <w:r w:rsidRPr="00F07C07">
                <w:rPr>
                  <w:i/>
                  <w:iCs/>
                  <w:noProof/>
                  <w:sz w:val="24"/>
                  <w:szCs w:val="24"/>
                </w:rPr>
                <w:t>Transnational Environmental Law</w:t>
              </w:r>
              <w:r w:rsidRPr="00F07C07">
                <w:rPr>
                  <w:noProof/>
                  <w:sz w:val="24"/>
                  <w:szCs w:val="24"/>
                </w:rPr>
                <w:t>, 37-67.</w:t>
              </w:r>
            </w:p>
            <w:p w:rsidR="00F07C07" w:rsidRPr="00F07C07" w:rsidRDefault="00F07C07" w:rsidP="00F07C07"/>
            <w:p w:rsidR="00F07C07" w:rsidRDefault="00F07C07" w:rsidP="00F07C07">
              <w:pPr>
                <w:pStyle w:val="Bibliography"/>
                <w:ind w:left="720" w:hanging="720"/>
                <w:rPr>
                  <w:noProof/>
                  <w:sz w:val="24"/>
                  <w:szCs w:val="24"/>
                </w:rPr>
              </w:pPr>
              <w:r w:rsidRPr="00F07C07">
                <w:rPr>
                  <w:noProof/>
                  <w:sz w:val="24"/>
                  <w:szCs w:val="24"/>
                </w:rPr>
                <w:t xml:space="preserve">Rodríguez-Garavito, C. (2020). Human Rights: The Global South's Route to Climate Litigation. </w:t>
              </w:r>
              <w:r w:rsidRPr="00F07C07">
                <w:rPr>
                  <w:i/>
                  <w:iCs/>
                  <w:noProof/>
                  <w:sz w:val="24"/>
                  <w:szCs w:val="24"/>
                </w:rPr>
                <w:t>AJIL Unbound</w:t>
              </w:r>
              <w:r w:rsidRPr="00F07C07">
                <w:rPr>
                  <w:noProof/>
                  <w:sz w:val="24"/>
                  <w:szCs w:val="24"/>
                </w:rPr>
                <w:t>, 40-44.</w:t>
              </w:r>
            </w:p>
            <w:p w:rsidR="00F07C07" w:rsidRPr="00F07C07" w:rsidRDefault="00F07C07" w:rsidP="00F07C07"/>
            <w:p w:rsidR="00F07C07" w:rsidRPr="00F07C07" w:rsidRDefault="00F07C07" w:rsidP="00F07C07">
              <w:pPr>
                <w:pStyle w:val="Bibliography"/>
                <w:ind w:left="720" w:hanging="720"/>
                <w:rPr>
                  <w:noProof/>
                  <w:sz w:val="24"/>
                  <w:szCs w:val="24"/>
                </w:rPr>
              </w:pPr>
              <w:r w:rsidRPr="00F07C07">
                <w:rPr>
                  <w:noProof/>
                  <w:sz w:val="24"/>
                  <w:szCs w:val="24"/>
                </w:rPr>
                <w:t xml:space="preserve">Setzer, J., Narulla, H., Higham, C., &amp; Bradeen, E. (2022). </w:t>
              </w:r>
              <w:r w:rsidRPr="00F07C07">
                <w:rPr>
                  <w:i/>
                  <w:iCs/>
                  <w:noProof/>
                  <w:sz w:val="24"/>
                  <w:szCs w:val="24"/>
                </w:rPr>
                <w:t>Climate litigation in Europe: A summary report for the European Union Forum of Judges for the Environment.</w:t>
              </w:r>
              <w:r w:rsidRPr="00F07C07">
                <w:rPr>
                  <w:noProof/>
                  <w:sz w:val="24"/>
                  <w:szCs w:val="24"/>
                </w:rPr>
                <w:t xml:space="preserve"> Grantham Research Institute on Climate Change and the Environment and the European Union Forum of Judges for the Environment.</w:t>
              </w:r>
            </w:p>
            <w:p w:rsidR="00F07C07" w:rsidRPr="00F07C07" w:rsidRDefault="00F07C07" w:rsidP="00F07C07">
              <w:pPr>
                <w:rPr>
                  <w:sz w:val="24"/>
                  <w:szCs w:val="24"/>
                </w:rPr>
              </w:pPr>
              <w:r w:rsidRPr="00F07C07">
                <w:rPr>
                  <w:b/>
                  <w:bCs/>
                  <w:sz w:val="24"/>
                  <w:szCs w:val="24"/>
                </w:rPr>
                <w:fldChar w:fldCharType="end"/>
              </w:r>
            </w:p>
          </w:sdtContent>
        </w:sdt>
      </w:sdtContent>
    </w:sdt>
    <w:p w:rsidR="00844FBB" w:rsidRPr="00F07C07" w:rsidRDefault="00844FBB" w:rsidP="00F07C07">
      <w:pPr>
        <w:spacing w:line="360" w:lineRule="auto"/>
        <w:rPr>
          <w:rFonts w:asciiTheme="majorBidi" w:hAnsiTheme="majorBidi" w:cstheme="majorBidi"/>
          <w:sz w:val="24"/>
          <w:szCs w:val="24"/>
        </w:rPr>
      </w:pPr>
    </w:p>
    <w:p w:rsidR="00405267" w:rsidRPr="009A7A16" w:rsidRDefault="00405267" w:rsidP="00F07C07">
      <w:pPr>
        <w:spacing w:line="360" w:lineRule="auto"/>
        <w:rPr>
          <w:sz w:val="24"/>
          <w:szCs w:val="24"/>
        </w:rPr>
      </w:pPr>
    </w:p>
    <w:sectPr w:rsidR="00405267" w:rsidRPr="009A7A16" w:rsidSect="00F07C07">
      <w:headerReference w:type="default" r:id="rId18"/>
      <w:footerReference w:type="default" r:id="rId19"/>
      <w:headerReference w:type="first" r:id="rId20"/>
      <w:footerReference w:type="first" r:id="rId21"/>
      <w:pgSz w:w="11906" w:h="16838" w:code="9"/>
      <w:pgMar w:top="1417" w:right="1417" w:bottom="1134" w:left="1417"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61FE" w:rsidRDefault="006E61FE" w:rsidP="009B5D97">
      <w:r>
        <w:separator/>
      </w:r>
    </w:p>
  </w:endnote>
  <w:endnote w:type="continuationSeparator" w:id="0">
    <w:p w:rsidR="006E61FE" w:rsidRDefault="006E61FE" w:rsidP="009B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655814"/>
      <w:docPartObj>
        <w:docPartGallery w:val="Page Numbers (Bottom of Page)"/>
        <w:docPartUnique/>
      </w:docPartObj>
    </w:sdtPr>
    <w:sdtEndPr/>
    <w:sdtContent>
      <w:p w:rsidR="009A7A16" w:rsidRDefault="009A7A16">
        <w:pPr>
          <w:pStyle w:val="Footer"/>
          <w:jc w:val="center"/>
        </w:pPr>
        <w:r>
          <w:fldChar w:fldCharType="begin"/>
        </w:r>
        <w:r>
          <w:instrText>PAGE   \* MERGEFORMAT</w:instrText>
        </w:r>
        <w:r>
          <w:fldChar w:fldCharType="separate"/>
        </w:r>
        <w:r>
          <w:rPr>
            <w:lang w:val="de-DE"/>
          </w:rPr>
          <w:t>2</w:t>
        </w:r>
        <w:r>
          <w:fldChar w:fldCharType="end"/>
        </w:r>
      </w:p>
    </w:sdtContent>
  </w:sdt>
  <w:p w:rsidR="000D44ED" w:rsidRDefault="006E61FE"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232270"/>
      <w:docPartObj>
        <w:docPartGallery w:val="Page Numbers (Bottom of Page)"/>
        <w:docPartUnique/>
      </w:docPartObj>
    </w:sdtPr>
    <w:sdtEndPr/>
    <w:sdtContent>
      <w:p w:rsidR="004D3495" w:rsidRDefault="004D3495">
        <w:pPr>
          <w:pStyle w:val="Footer"/>
          <w:jc w:val="center"/>
        </w:pPr>
        <w:r>
          <w:fldChar w:fldCharType="begin"/>
        </w:r>
        <w:r>
          <w:instrText>PAGE   \* MERGEFORMAT</w:instrText>
        </w:r>
        <w:r>
          <w:fldChar w:fldCharType="separate"/>
        </w:r>
        <w:r>
          <w:rPr>
            <w:lang w:val="de-DE"/>
          </w:rPr>
          <w:t>2</w:t>
        </w:r>
        <w:r>
          <w:fldChar w:fldCharType="end"/>
        </w:r>
      </w:p>
    </w:sdtContent>
  </w:sdt>
  <w:p w:rsidR="00C17B65" w:rsidRPr="002873B2" w:rsidRDefault="006E61FE"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61FE" w:rsidRDefault="006E61FE" w:rsidP="009B5D97">
      <w:r>
        <w:separator/>
      </w:r>
    </w:p>
  </w:footnote>
  <w:footnote w:type="continuationSeparator" w:id="0">
    <w:p w:rsidR="006E61FE" w:rsidRDefault="006E61FE" w:rsidP="009B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44ED" w:rsidRPr="00AD4CA9" w:rsidRDefault="006E61FE" w:rsidP="00656423">
    <w:pPr>
      <w:pStyle w:val="Header"/>
      <w:tabs>
        <w:tab w:val="clear" w:pos="4153"/>
        <w:tab w:val="clear" w:pos="8306"/>
        <w:tab w:val="right" w:pos="9214"/>
      </w:tabs>
      <w:spacing w:before="360" w:after="840"/>
      <w:jc w:val="right"/>
      <w:rPr>
        <w:sz w:val="14"/>
        <w:szCs w:val="1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3495" w:rsidRPr="004D3495" w:rsidRDefault="004D3495" w:rsidP="004D3495">
    <w:pPr>
      <w:jc w:val="center"/>
      <w:outlineLvl w:val="1"/>
      <w:rPr>
        <w:sz w:val="16"/>
        <w:szCs w:val="16"/>
        <w:lang w:val="en-AU"/>
      </w:rPr>
    </w:pPr>
    <w:r w:rsidRPr="004D3495">
      <w:rPr>
        <w:sz w:val="16"/>
        <w:szCs w:val="16"/>
        <w:lang w:val="en-AU"/>
      </w:rPr>
      <w:t>Submission to the United Nations Special Rapporteur on the promotion and protection of human rights in the context of climate change</w:t>
    </w:r>
  </w:p>
  <w:p w:rsidR="004D3495" w:rsidRPr="004D3495" w:rsidRDefault="004D3495" w:rsidP="004D3495">
    <w:pPr>
      <w:jc w:val="center"/>
      <w:outlineLvl w:val="1"/>
      <w:rPr>
        <w:sz w:val="16"/>
        <w:szCs w:val="16"/>
        <w:lang w:val="en-AU"/>
      </w:rPr>
    </w:pPr>
    <w:r w:rsidRPr="004D3495">
      <w:rPr>
        <w:sz w:val="16"/>
        <w:szCs w:val="16"/>
        <w:lang w:val="en-AU"/>
      </w:rPr>
      <w:t>Parul Kumar (May 25. 2023)</w:t>
    </w:r>
  </w:p>
  <w:p w:rsidR="004D3495" w:rsidRPr="004D3495" w:rsidRDefault="004D3495" w:rsidP="004D3495">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B8C"/>
    <w:multiLevelType w:val="hybridMultilevel"/>
    <w:tmpl w:val="73E46F7E"/>
    <w:lvl w:ilvl="0" w:tplc="34FE4F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40595"/>
    <w:multiLevelType w:val="hybridMultilevel"/>
    <w:tmpl w:val="7AA80FEC"/>
    <w:lvl w:ilvl="0" w:tplc="F7A29E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C5556"/>
    <w:multiLevelType w:val="hybridMultilevel"/>
    <w:tmpl w:val="0068E3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2E7E80"/>
    <w:multiLevelType w:val="hybridMultilevel"/>
    <w:tmpl w:val="97505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4542418">
    <w:abstractNumId w:val="0"/>
  </w:num>
  <w:num w:numId="2" w16cid:durableId="1552964083">
    <w:abstractNumId w:val="1"/>
  </w:num>
  <w:num w:numId="3" w16cid:durableId="673847187">
    <w:abstractNumId w:val="2"/>
  </w:num>
  <w:num w:numId="4" w16cid:durableId="152852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97"/>
    <w:rsid w:val="001A1DDC"/>
    <w:rsid w:val="00264482"/>
    <w:rsid w:val="00264B46"/>
    <w:rsid w:val="003644F5"/>
    <w:rsid w:val="00395605"/>
    <w:rsid w:val="00405267"/>
    <w:rsid w:val="004332CE"/>
    <w:rsid w:val="00446E75"/>
    <w:rsid w:val="00491CC6"/>
    <w:rsid w:val="004D3495"/>
    <w:rsid w:val="00523C69"/>
    <w:rsid w:val="00547B85"/>
    <w:rsid w:val="00590E12"/>
    <w:rsid w:val="005A27E5"/>
    <w:rsid w:val="00613CFB"/>
    <w:rsid w:val="006A0F61"/>
    <w:rsid w:val="006E61FE"/>
    <w:rsid w:val="00844FBB"/>
    <w:rsid w:val="00861A1C"/>
    <w:rsid w:val="008C345B"/>
    <w:rsid w:val="00902460"/>
    <w:rsid w:val="009A7A16"/>
    <w:rsid w:val="009B5D97"/>
    <w:rsid w:val="00A04B53"/>
    <w:rsid w:val="00A355F4"/>
    <w:rsid w:val="00A65477"/>
    <w:rsid w:val="00B042B2"/>
    <w:rsid w:val="00B063FF"/>
    <w:rsid w:val="00B40E32"/>
    <w:rsid w:val="00BC7733"/>
    <w:rsid w:val="00C62E10"/>
    <w:rsid w:val="00CC4B92"/>
    <w:rsid w:val="00DA471A"/>
    <w:rsid w:val="00E741B4"/>
    <w:rsid w:val="00F07C07"/>
    <w:rsid w:val="00F40A14"/>
    <w:rsid w:val="00F52BBF"/>
    <w:rsid w:val="00F74687"/>
    <w:rsid w:val="00F83662"/>
    <w:rsid w:val="00FD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40B5"/>
  <w15:chartTrackingRefBased/>
  <w15:docId w15:val="{A7A4B421-34E0-418D-A96E-82D694D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9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07C0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5D97"/>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9B5D97"/>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9B5D97"/>
    <w:pPr>
      <w:tabs>
        <w:tab w:val="center" w:pos="4153"/>
        <w:tab w:val="right" w:pos="8306"/>
      </w:tabs>
    </w:pPr>
  </w:style>
  <w:style w:type="character" w:customStyle="1" w:styleId="FooterChar">
    <w:name w:val="Footer Char"/>
    <w:basedOn w:val="DefaultParagraphFont"/>
    <w:link w:val="Footer"/>
    <w:uiPriority w:val="99"/>
    <w:rsid w:val="009B5D97"/>
    <w:rPr>
      <w:rFonts w:ascii="Times New Roman" w:eastAsia="Times New Roman" w:hAnsi="Times New Roman" w:cs="Times New Roman"/>
      <w:sz w:val="20"/>
      <w:szCs w:val="20"/>
      <w:lang w:val="en-GB"/>
    </w:rPr>
  </w:style>
  <w:style w:type="character" w:styleId="FootnoteReference">
    <w:name w:val="footnote reference"/>
    <w:aliases w:val="4_G,Footnotes refss,Footnote Ref,16 Point,Superscript 6 Point,callout,Ref,de nota al pie,Footnote Refernece,Footnote Reference Number,Fußnotenzeichen_Raxen,BVI fnr,Fago Fußnotenzeichen,ftref,referencia nota al pie,4_Footnote text"/>
    <w:link w:val="BVIfnrCharCharCharCharCharCharCharZchnCharCharCharCharCharChar"/>
    <w:uiPriority w:val="99"/>
    <w:qFormat/>
    <w:rsid w:val="009B5D97"/>
    <w:rPr>
      <w:rFonts w:cs="Times New Roman"/>
      <w:vertAlign w:val="superscript"/>
    </w:rPr>
  </w:style>
  <w:style w:type="character" w:styleId="Hyperlink">
    <w:name w:val="Hyperlink"/>
    <w:rsid w:val="009B5D97"/>
    <w:rPr>
      <w:color w:val="0000FF"/>
      <w:u w:val="single"/>
    </w:rPr>
  </w:style>
  <w:style w:type="paragraph" w:styleId="ListParagraph">
    <w:name w:val="List Paragraph"/>
    <w:basedOn w:val="Normal"/>
    <w:uiPriority w:val="34"/>
    <w:qFormat/>
    <w:rsid w:val="009B5D97"/>
    <w:pPr>
      <w:ind w:left="720"/>
      <w:contextualSpacing/>
    </w:pPr>
  </w:style>
  <w:style w:type="paragraph" w:customStyle="1" w:styleId="Default">
    <w:name w:val="Default"/>
    <w:rsid w:val="009B5D9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
    <w:basedOn w:val="Normal"/>
    <w:link w:val="FootnoteTextChar"/>
    <w:uiPriority w:val="99"/>
    <w:qFormat/>
    <w:rsid w:val="009B5D97"/>
    <w:pPr>
      <w:tabs>
        <w:tab w:val="right" w:pos="1021"/>
      </w:tabs>
      <w:suppressAutoHyphens/>
      <w:spacing w:line="220" w:lineRule="exact"/>
      <w:ind w:left="1134" w:right="1134" w:hanging="1134"/>
    </w:pPr>
    <w:rPr>
      <w:sz w:val="18"/>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
    <w:basedOn w:val="DefaultParagraphFont"/>
    <w:link w:val="FootnoteText"/>
    <w:uiPriority w:val="99"/>
    <w:rsid w:val="009B5D97"/>
    <w:rPr>
      <w:rFonts w:ascii="Times New Roman" w:eastAsia="Times New Roman" w:hAnsi="Times New Roman" w:cs="Times New Roman"/>
      <w:sz w:val="18"/>
      <w:szCs w:val="20"/>
      <w:lang w:val="en-GB"/>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rsid w:val="009B5D97"/>
    <w:pPr>
      <w:spacing w:after="160" w:line="240" w:lineRule="exact"/>
    </w:pPr>
    <w:rPr>
      <w:rFonts w:asciiTheme="minorHAnsi" w:eastAsiaTheme="minorHAnsi" w:hAnsiTheme="minorHAnsi"/>
      <w:sz w:val="22"/>
      <w:szCs w:val="22"/>
      <w:vertAlign w:val="superscript"/>
      <w:lang w:val="en-US"/>
    </w:rPr>
  </w:style>
  <w:style w:type="character" w:styleId="UnresolvedMention">
    <w:name w:val="Unresolved Mention"/>
    <w:basedOn w:val="DefaultParagraphFont"/>
    <w:uiPriority w:val="99"/>
    <w:semiHidden/>
    <w:unhideWhenUsed/>
    <w:rsid w:val="00F74687"/>
    <w:rPr>
      <w:color w:val="605E5C"/>
      <w:shd w:val="clear" w:color="auto" w:fill="E1DFDD"/>
    </w:rPr>
  </w:style>
  <w:style w:type="paragraph" w:styleId="NormalWeb">
    <w:name w:val="Normal (Web)"/>
    <w:basedOn w:val="Normal"/>
    <w:uiPriority w:val="99"/>
    <w:semiHidden/>
    <w:unhideWhenUsed/>
    <w:rsid w:val="005A27E5"/>
    <w:pPr>
      <w:spacing w:before="100" w:beforeAutospacing="1" w:after="100" w:afterAutospacing="1"/>
    </w:pPr>
    <w:rPr>
      <w:sz w:val="24"/>
      <w:szCs w:val="24"/>
      <w:lang w:val="de-DE" w:eastAsia="de-DE"/>
    </w:rPr>
  </w:style>
  <w:style w:type="character" w:customStyle="1" w:styleId="Heading1Char">
    <w:name w:val="Heading 1 Char"/>
    <w:basedOn w:val="DefaultParagraphFont"/>
    <w:link w:val="Heading1"/>
    <w:uiPriority w:val="9"/>
    <w:rsid w:val="00F07C07"/>
    <w:rPr>
      <w:rFonts w:asciiTheme="majorHAnsi" w:eastAsiaTheme="majorEastAsia" w:hAnsiTheme="majorHAnsi" w:cstheme="majorBidi"/>
      <w:color w:val="2F5496" w:themeColor="accent1" w:themeShade="BF"/>
      <w:sz w:val="32"/>
      <w:szCs w:val="32"/>
      <w:lang w:val="de-DE" w:eastAsia="de-DE"/>
    </w:rPr>
  </w:style>
  <w:style w:type="paragraph" w:styleId="Bibliography">
    <w:name w:val="Bibliography"/>
    <w:basedOn w:val="Normal"/>
    <w:next w:val="Normal"/>
    <w:uiPriority w:val="37"/>
    <w:unhideWhenUsed/>
    <w:rsid w:val="00F0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2374">
      <w:bodyDiv w:val="1"/>
      <w:marLeft w:val="0"/>
      <w:marRight w:val="0"/>
      <w:marTop w:val="0"/>
      <w:marBottom w:val="0"/>
      <w:divBdr>
        <w:top w:val="none" w:sz="0" w:space="0" w:color="auto"/>
        <w:left w:val="none" w:sz="0" w:space="0" w:color="auto"/>
        <w:bottom w:val="none" w:sz="0" w:space="0" w:color="auto"/>
        <w:right w:val="none" w:sz="0" w:space="0" w:color="auto"/>
      </w:divBdr>
    </w:div>
    <w:div w:id="108012449">
      <w:bodyDiv w:val="1"/>
      <w:marLeft w:val="0"/>
      <w:marRight w:val="0"/>
      <w:marTop w:val="0"/>
      <w:marBottom w:val="0"/>
      <w:divBdr>
        <w:top w:val="none" w:sz="0" w:space="0" w:color="auto"/>
        <w:left w:val="none" w:sz="0" w:space="0" w:color="auto"/>
        <w:bottom w:val="none" w:sz="0" w:space="0" w:color="auto"/>
        <w:right w:val="none" w:sz="0" w:space="0" w:color="auto"/>
      </w:divBdr>
    </w:div>
    <w:div w:id="108400057">
      <w:bodyDiv w:val="1"/>
      <w:marLeft w:val="0"/>
      <w:marRight w:val="0"/>
      <w:marTop w:val="0"/>
      <w:marBottom w:val="0"/>
      <w:divBdr>
        <w:top w:val="none" w:sz="0" w:space="0" w:color="auto"/>
        <w:left w:val="none" w:sz="0" w:space="0" w:color="auto"/>
        <w:bottom w:val="none" w:sz="0" w:space="0" w:color="auto"/>
        <w:right w:val="none" w:sz="0" w:space="0" w:color="auto"/>
      </w:divBdr>
    </w:div>
    <w:div w:id="127012821">
      <w:bodyDiv w:val="1"/>
      <w:marLeft w:val="0"/>
      <w:marRight w:val="0"/>
      <w:marTop w:val="0"/>
      <w:marBottom w:val="0"/>
      <w:divBdr>
        <w:top w:val="none" w:sz="0" w:space="0" w:color="auto"/>
        <w:left w:val="none" w:sz="0" w:space="0" w:color="auto"/>
        <w:bottom w:val="none" w:sz="0" w:space="0" w:color="auto"/>
        <w:right w:val="none" w:sz="0" w:space="0" w:color="auto"/>
      </w:divBdr>
    </w:div>
    <w:div w:id="196771367">
      <w:bodyDiv w:val="1"/>
      <w:marLeft w:val="0"/>
      <w:marRight w:val="0"/>
      <w:marTop w:val="0"/>
      <w:marBottom w:val="0"/>
      <w:divBdr>
        <w:top w:val="none" w:sz="0" w:space="0" w:color="auto"/>
        <w:left w:val="none" w:sz="0" w:space="0" w:color="auto"/>
        <w:bottom w:val="none" w:sz="0" w:space="0" w:color="auto"/>
        <w:right w:val="none" w:sz="0" w:space="0" w:color="auto"/>
      </w:divBdr>
    </w:div>
    <w:div w:id="236860528">
      <w:bodyDiv w:val="1"/>
      <w:marLeft w:val="0"/>
      <w:marRight w:val="0"/>
      <w:marTop w:val="0"/>
      <w:marBottom w:val="0"/>
      <w:divBdr>
        <w:top w:val="none" w:sz="0" w:space="0" w:color="auto"/>
        <w:left w:val="none" w:sz="0" w:space="0" w:color="auto"/>
        <w:bottom w:val="none" w:sz="0" w:space="0" w:color="auto"/>
        <w:right w:val="none" w:sz="0" w:space="0" w:color="auto"/>
      </w:divBdr>
    </w:div>
    <w:div w:id="237207044">
      <w:bodyDiv w:val="1"/>
      <w:marLeft w:val="0"/>
      <w:marRight w:val="0"/>
      <w:marTop w:val="0"/>
      <w:marBottom w:val="0"/>
      <w:divBdr>
        <w:top w:val="none" w:sz="0" w:space="0" w:color="auto"/>
        <w:left w:val="none" w:sz="0" w:space="0" w:color="auto"/>
        <w:bottom w:val="none" w:sz="0" w:space="0" w:color="auto"/>
        <w:right w:val="none" w:sz="0" w:space="0" w:color="auto"/>
      </w:divBdr>
    </w:div>
    <w:div w:id="420294747">
      <w:bodyDiv w:val="1"/>
      <w:marLeft w:val="0"/>
      <w:marRight w:val="0"/>
      <w:marTop w:val="0"/>
      <w:marBottom w:val="0"/>
      <w:divBdr>
        <w:top w:val="none" w:sz="0" w:space="0" w:color="auto"/>
        <w:left w:val="none" w:sz="0" w:space="0" w:color="auto"/>
        <w:bottom w:val="none" w:sz="0" w:space="0" w:color="auto"/>
        <w:right w:val="none" w:sz="0" w:space="0" w:color="auto"/>
      </w:divBdr>
    </w:div>
    <w:div w:id="433138695">
      <w:bodyDiv w:val="1"/>
      <w:marLeft w:val="0"/>
      <w:marRight w:val="0"/>
      <w:marTop w:val="0"/>
      <w:marBottom w:val="0"/>
      <w:divBdr>
        <w:top w:val="none" w:sz="0" w:space="0" w:color="auto"/>
        <w:left w:val="none" w:sz="0" w:space="0" w:color="auto"/>
        <w:bottom w:val="none" w:sz="0" w:space="0" w:color="auto"/>
        <w:right w:val="none" w:sz="0" w:space="0" w:color="auto"/>
      </w:divBdr>
    </w:div>
    <w:div w:id="465320348">
      <w:bodyDiv w:val="1"/>
      <w:marLeft w:val="0"/>
      <w:marRight w:val="0"/>
      <w:marTop w:val="0"/>
      <w:marBottom w:val="0"/>
      <w:divBdr>
        <w:top w:val="none" w:sz="0" w:space="0" w:color="auto"/>
        <w:left w:val="none" w:sz="0" w:space="0" w:color="auto"/>
        <w:bottom w:val="none" w:sz="0" w:space="0" w:color="auto"/>
        <w:right w:val="none" w:sz="0" w:space="0" w:color="auto"/>
      </w:divBdr>
    </w:div>
    <w:div w:id="510097959">
      <w:bodyDiv w:val="1"/>
      <w:marLeft w:val="0"/>
      <w:marRight w:val="0"/>
      <w:marTop w:val="0"/>
      <w:marBottom w:val="0"/>
      <w:divBdr>
        <w:top w:val="none" w:sz="0" w:space="0" w:color="auto"/>
        <w:left w:val="none" w:sz="0" w:space="0" w:color="auto"/>
        <w:bottom w:val="none" w:sz="0" w:space="0" w:color="auto"/>
        <w:right w:val="none" w:sz="0" w:space="0" w:color="auto"/>
      </w:divBdr>
    </w:div>
    <w:div w:id="547424913">
      <w:bodyDiv w:val="1"/>
      <w:marLeft w:val="0"/>
      <w:marRight w:val="0"/>
      <w:marTop w:val="0"/>
      <w:marBottom w:val="0"/>
      <w:divBdr>
        <w:top w:val="none" w:sz="0" w:space="0" w:color="auto"/>
        <w:left w:val="none" w:sz="0" w:space="0" w:color="auto"/>
        <w:bottom w:val="none" w:sz="0" w:space="0" w:color="auto"/>
        <w:right w:val="none" w:sz="0" w:space="0" w:color="auto"/>
      </w:divBdr>
    </w:div>
    <w:div w:id="566887743">
      <w:bodyDiv w:val="1"/>
      <w:marLeft w:val="0"/>
      <w:marRight w:val="0"/>
      <w:marTop w:val="0"/>
      <w:marBottom w:val="0"/>
      <w:divBdr>
        <w:top w:val="none" w:sz="0" w:space="0" w:color="auto"/>
        <w:left w:val="none" w:sz="0" w:space="0" w:color="auto"/>
        <w:bottom w:val="none" w:sz="0" w:space="0" w:color="auto"/>
        <w:right w:val="none" w:sz="0" w:space="0" w:color="auto"/>
      </w:divBdr>
    </w:div>
    <w:div w:id="815144034">
      <w:bodyDiv w:val="1"/>
      <w:marLeft w:val="0"/>
      <w:marRight w:val="0"/>
      <w:marTop w:val="0"/>
      <w:marBottom w:val="0"/>
      <w:divBdr>
        <w:top w:val="none" w:sz="0" w:space="0" w:color="auto"/>
        <w:left w:val="none" w:sz="0" w:space="0" w:color="auto"/>
        <w:bottom w:val="none" w:sz="0" w:space="0" w:color="auto"/>
        <w:right w:val="none" w:sz="0" w:space="0" w:color="auto"/>
      </w:divBdr>
    </w:div>
    <w:div w:id="842015892">
      <w:bodyDiv w:val="1"/>
      <w:marLeft w:val="0"/>
      <w:marRight w:val="0"/>
      <w:marTop w:val="0"/>
      <w:marBottom w:val="0"/>
      <w:divBdr>
        <w:top w:val="none" w:sz="0" w:space="0" w:color="auto"/>
        <w:left w:val="none" w:sz="0" w:space="0" w:color="auto"/>
        <w:bottom w:val="none" w:sz="0" w:space="0" w:color="auto"/>
        <w:right w:val="none" w:sz="0" w:space="0" w:color="auto"/>
      </w:divBdr>
    </w:div>
    <w:div w:id="843322922">
      <w:bodyDiv w:val="1"/>
      <w:marLeft w:val="0"/>
      <w:marRight w:val="0"/>
      <w:marTop w:val="0"/>
      <w:marBottom w:val="0"/>
      <w:divBdr>
        <w:top w:val="none" w:sz="0" w:space="0" w:color="auto"/>
        <w:left w:val="none" w:sz="0" w:space="0" w:color="auto"/>
        <w:bottom w:val="none" w:sz="0" w:space="0" w:color="auto"/>
        <w:right w:val="none" w:sz="0" w:space="0" w:color="auto"/>
      </w:divBdr>
    </w:div>
    <w:div w:id="883103558">
      <w:bodyDiv w:val="1"/>
      <w:marLeft w:val="0"/>
      <w:marRight w:val="0"/>
      <w:marTop w:val="0"/>
      <w:marBottom w:val="0"/>
      <w:divBdr>
        <w:top w:val="none" w:sz="0" w:space="0" w:color="auto"/>
        <w:left w:val="none" w:sz="0" w:space="0" w:color="auto"/>
        <w:bottom w:val="none" w:sz="0" w:space="0" w:color="auto"/>
        <w:right w:val="none" w:sz="0" w:space="0" w:color="auto"/>
      </w:divBdr>
    </w:div>
    <w:div w:id="931552621">
      <w:bodyDiv w:val="1"/>
      <w:marLeft w:val="0"/>
      <w:marRight w:val="0"/>
      <w:marTop w:val="0"/>
      <w:marBottom w:val="0"/>
      <w:divBdr>
        <w:top w:val="none" w:sz="0" w:space="0" w:color="auto"/>
        <w:left w:val="none" w:sz="0" w:space="0" w:color="auto"/>
        <w:bottom w:val="none" w:sz="0" w:space="0" w:color="auto"/>
        <w:right w:val="none" w:sz="0" w:space="0" w:color="auto"/>
      </w:divBdr>
    </w:div>
    <w:div w:id="965431076">
      <w:bodyDiv w:val="1"/>
      <w:marLeft w:val="0"/>
      <w:marRight w:val="0"/>
      <w:marTop w:val="0"/>
      <w:marBottom w:val="0"/>
      <w:divBdr>
        <w:top w:val="none" w:sz="0" w:space="0" w:color="auto"/>
        <w:left w:val="none" w:sz="0" w:space="0" w:color="auto"/>
        <w:bottom w:val="none" w:sz="0" w:space="0" w:color="auto"/>
        <w:right w:val="none" w:sz="0" w:space="0" w:color="auto"/>
      </w:divBdr>
    </w:div>
    <w:div w:id="1199663038">
      <w:bodyDiv w:val="1"/>
      <w:marLeft w:val="0"/>
      <w:marRight w:val="0"/>
      <w:marTop w:val="0"/>
      <w:marBottom w:val="0"/>
      <w:divBdr>
        <w:top w:val="none" w:sz="0" w:space="0" w:color="auto"/>
        <w:left w:val="none" w:sz="0" w:space="0" w:color="auto"/>
        <w:bottom w:val="none" w:sz="0" w:space="0" w:color="auto"/>
        <w:right w:val="none" w:sz="0" w:space="0" w:color="auto"/>
      </w:divBdr>
    </w:div>
    <w:div w:id="1278684820">
      <w:bodyDiv w:val="1"/>
      <w:marLeft w:val="0"/>
      <w:marRight w:val="0"/>
      <w:marTop w:val="0"/>
      <w:marBottom w:val="0"/>
      <w:divBdr>
        <w:top w:val="none" w:sz="0" w:space="0" w:color="auto"/>
        <w:left w:val="none" w:sz="0" w:space="0" w:color="auto"/>
        <w:bottom w:val="none" w:sz="0" w:space="0" w:color="auto"/>
        <w:right w:val="none" w:sz="0" w:space="0" w:color="auto"/>
      </w:divBdr>
    </w:div>
    <w:div w:id="1299802801">
      <w:bodyDiv w:val="1"/>
      <w:marLeft w:val="0"/>
      <w:marRight w:val="0"/>
      <w:marTop w:val="0"/>
      <w:marBottom w:val="0"/>
      <w:divBdr>
        <w:top w:val="none" w:sz="0" w:space="0" w:color="auto"/>
        <w:left w:val="none" w:sz="0" w:space="0" w:color="auto"/>
        <w:bottom w:val="none" w:sz="0" w:space="0" w:color="auto"/>
        <w:right w:val="none" w:sz="0" w:space="0" w:color="auto"/>
      </w:divBdr>
    </w:div>
    <w:div w:id="1406337711">
      <w:bodyDiv w:val="1"/>
      <w:marLeft w:val="0"/>
      <w:marRight w:val="0"/>
      <w:marTop w:val="0"/>
      <w:marBottom w:val="0"/>
      <w:divBdr>
        <w:top w:val="none" w:sz="0" w:space="0" w:color="auto"/>
        <w:left w:val="none" w:sz="0" w:space="0" w:color="auto"/>
        <w:bottom w:val="none" w:sz="0" w:space="0" w:color="auto"/>
        <w:right w:val="none" w:sz="0" w:space="0" w:color="auto"/>
      </w:divBdr>
    </w:div>
    <w:div w:id="1450511471">
      <w:bodyDiv w:val="1"/>
      <w:marLeft w:val="0"/>
      <w:marRight w:val="0"/>
      <w:marTop w:val="0"/>
      <w:marBottom w:val="0"/>
      <w:divBdr>
        <w:top w:val="none" w:sz="0" w:space="0" w:color="auto"/>
        <w:left w:val="none" w:sz="0" w:space="0" w:color="auto"/>
        <w:bottom w:val="none" w:sz="0" w:space="0" w:color="auto"/>
        <w:right w:val="none" w:sz="0" w:space="0" w:color="auto"/>
      </w:divBdr>
    </w:div>
    <w:div w:id="1471249086">
      <w:bodyDiv w:val="1"/>
      <w:marLeft w:val="0"/>
      <w:marRight w:val="0"/>
      <w:marTop w:val="0"/>
      <w:marBottom w:val="0"/>
      <w:divBdr>
        <w:top w:val="none" w:sz="0" w:space="0" w:color="auto"/>
        <w:left w:val="none" w:sz="0" w:space="0" w:color="auto"/>
        <w:bottom w:val="none" w:sz="0" w:space="0" w:color="auto"/>
        <w:right w:val="none" w:sz="0" w:space="0" w:color="auto"/>
      </w:divBdr>
    </w:div>
    <w:div w:id="1684672840">
      <w:bodyDiv w:val="1"/>
      <w:marLeft w:val="0"/>
      <w:marRight w:val="0"/>
      <w:marTop w:val="0"/>
      <w:marBottom w:val="0"/>
      <w:divBdr>
        <w:top w:val="none" w:sz="0" w:space="0" w:color="auto"/>
        <w:left w:val="none" w:sz="0" w:space="0" w:color="auto"/>
        <w:bottom w:val="none" w:sz="0" w:space="0" w:color="auto"/>
        <w:right w:val="none" w:sz="0" w:space="0" w:color="auto"/>
      </w:divBdr>
    </w:div>
    <w:div w:id="1860505803">
      <w:bodyDiv w:val="1"/>
      <w:marLeft w:val="0"/>
      <w:marRight w:val="0"/>
      <w:marTop w:val="0"/>
      <w:marBottom w:val="0"/>
      <w:divBdr>
        <w:top w:val="none" w:sz="0" w:space="0" w:color="auto"/>
        <w:left w:val="none" w:sz="0" w:space="0" w:color="auto"/>
        <w:bottom w:val="none" w:sz="0" w:space="0" w:color="auto"/>
        <w:right w:val="none" w:sz="0" w:space="0" w:color="auto"/>
      </w:divBdr>
    </w:div>
    <w:div w:id="1896239114">
      <w:bodyDiv w:val="1"/>
      <w:marLeft w:val="0"/>
      <w:marRight w:val="0"/>
      <w:marTop w:val="0"/>
      <w:marBottom w:val="0"/>
      <w:divBdr>
        <w:top w:val="none" w:sz="0" w:space="0" w:color="auto"/>
        <w:left w:val="none" w:sz="0" w:space="0" w:color="auto"/>
        <w:bottom w:val="none" w:sz="0" w:space="0" w:color="auto"/>
        <w:right w:val="none" w:sz="0" w:space="0" w:color="auto"/>
      </w:divBdr>
    </w:div>
    <w:div w:id="1900550455">
      <w:bodyDiv w:val="1"/>
      <w:marLeft w:val="0"/>
      <w:marRight w:val="0"/>
      <w:marTop w:val="0"/>
      <w:marBottom w:val="0"/>
      <w:divBdr>
        <w:top w:val="none" w:sz="0" w:space="0" w:color="auto"/>
        <w:left w:val="none" w:sz="0" w:space="0" w:color="auto"/>
        <w:bottom w:val="none" w:sz="0" w:space="0" w:color="auto"/>
        <w:right w:val="none" w:sz="0" w:space="0" w:color="auto"/>
      </w:divBdr>
    </w:div>
    <w:div w:id="1915821436">
      <w:bodyDiv w:val="1"/>
      <w:marLeft w:val="0"/>
      <w:marRight w:val="0"/>
      <w:marTop w:val="0"/>
      <w:marBottom w:val="0"/>
      <w:divBdr>
        <w:top w:val="none" w:sz="0" w:space="0" w:color="auto"/>
        <w:left w:val="none" w:sz="0" w:space="0" w:color="auto"/>
        <w:bottom w:val="none" w:sz="0" w:space="0" w:color="auto"/>
        <w:right w:val="none" w:sz="0" w:space="0" w:color="auto"/>
      </w:divBdr>
    </w:div>
    <w:div w:id="20595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euven.be/onderzoek/portaal/" TargetMode="External"/><Relationship Id="rId13" Type="http://schemas.openxmlformats.org/officeDocument/2006/relationships/hyperlink" Target="https://www.bundesverfassungsgericht.de/SharedDocs/Entscheidungen/EN/2021/03/rs20210324_1bvr265618en.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limatecasechart.com/non-us-case/union-of-swiss-senior-women-for-climate-protection-v-swiss-federal-council-and-others/" TargetMode="External"/><Relationship Id="rId17" Type="http://schemas.openxmlformats.org/officeDocument/2006/relationships/hyperlink" Target="http://climatecasechart.com/non-us-case/wayuu-indigenous-community-and-others-v-ministry-of-environment-and-others/" TargetMode="External"/><Relationship Id="rId2" Type="http://schemas.openxmlformats.org/officeDocument/2006/relationships/numbering" Target="numbering.xml"/><Relationship Id="rId16" Type="http://schemas.openxmlformats.org/officeDocument/2006/relationships/hyperlink" Target="http://climatecasechart.com/non-us-case/urgenda-foundation-v-kingdom-of-the-netherlan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matecasechart.com/non-us-case/indonesian-youths-and-others-v-indonesia/" TargetMode="External"/><Relationship Id="rId5" Type="http://schemas.openxmlformats.org/officeDocument/2006/relationships/webSettings" Target="webSettings.xml"/><Relationship Id="rId15" Type="http://schemas.openxmlformats.org/officeDocument/2006/relationships/hyperlink" Target="http://climatecasechart.com/non-us-case/the-norwegian-grandparents-climate-campaign-and-others-v-norway/" TargetMode="External"/><Relationship Id="rId23" Type="http://schemas.openxmlformats.org/officeDocument/2006/relationships/theme" Target="theme/theme1.xml"/><Relationship Id="rId10" Type="http://schemas.openxmlformats.org/officeDocument/2006/relationships/hyperlink" Target="http://climatecasechart.com/non-us-case/decision-su-698-17-of-november-28-20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limatecasechart.com/non-us-case/arayara-association-of-education-and-culture-and-others-v-funai-copelmi-mineracao-ltda-and-fepam-mina-guaiba-project-and-affected-indigenous-communities/" TargetMode="External"/><Relationship Id="rId14" Type="http://schemas.openxmlformats.org/officeDocument/2006/relationships/hyperlink" Target="http://climatecasechart.com/non-us-case/pandey-v-ind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Set22</b:Tag>
    <b:SourceType>Report</b:SourceType>
    <b:Guid>{70FE9D5C-2F25-48BF-87DB-3DFC5FB7FAC5}</b:Guid>
    <b:Title>Climate litigation in Europe: A summary report for the European Union Forum of Judges for the Environment</b:Title>
    <b:Year>2022</b:Year>
    <b:Publisher>Grantham Research Institute on Climate Change and the Environment and the European Union Forum of Judges for the Environment</b:Publisher>
    <b:Author>
      <b:Author>
        <b:NameList>
          <b:Person>
            <b:Last>Setzer</b:Last>
            <b:First>Joana</b:First>
          </b:Person>
          <b:Person>
            <b:Last>Narulla</b:Last>
            <b:First>Harj</b:First>
          </b:Person>
          <b:Person>
            <b:Last>Higham</b:Last>
            <b:First>Catherine</b:First>
          </b:Person>
          <b:Person>
            <b:Last>Bradeen</b:Last>
            <b:First>Emily</b:First>
          </b:Person>
        </b:NameList>
      </b:Author>
    </b:Author>
    <b:RefOrder>1</b:RefOrder>
  </b:Source>
  <b:Source>
    <b:Tag>Pee18</b:Tag>
    <b:SourceType>JournalArticle</b:SourceType>
    <b:Guid>{263BE442-B1DE-4A38-BD9A-E799992FD51C}</b:Guid>
    <b:Title>A Rights Turn in Climate Change Litigation?</b:Title>
    <b:Year>2018</b:Year>
    <b:JournalName>Transnational Environmental Law</b:JournalName>
    <b:Pages>37-67</b:Pages>
    <b:Author>
      <b:Author>
        <b:NameList>
          <b:Person>
            <b:Last>Peel</b:Last>
            <b:First>Jacqueline</b:First>
          </b:Person>
          <b:Person>
            <b:Last>Osofsky</b:Last>
            <b:First>Hari M.</b:First>
          </b:Person>
        </b:NameList>
      </b:Author>
    </b:Author>
    <b:RefOrder>2</b:RefOrder>
  </b:Source>
  <b:Source>
    <b:Tag>Non23</b:Tag>
    <b:SourceType>InternetSite</b:SourceType>
    <b:Guid>{18F538CE-AF22-4376-8147-52E7FB875D97}</b:Guid>
    <b:Title>Non-U.S. Climate Change Litigation</b:Title>
    <b:Year>2023</b:Year>
    <b:InternetSiteTitle>Sabin Center for Climate Change Law</b:InternetSiteTitle>
    <b:URL>http://climatecasechart.com/non-us-case-category/human-rights/page/2/</b:URL>
    <b:RefOrder>3</b:RefOrder>
  </b:Source>
  <b:Source>
    <b:Tag>Bhu19</b:Tag>
    <b:SourceType>BookSection</b:SourceType>
    <b:Guid>{1B426D1F-615B-4286-801A-6F4858C2A1CE}</b:Guid>
    <b:Title>The judiciary and the Right to Environment in India: Past, present and future</b:Title>
    <b:Year>2019</b:Year>
    <b:BookTitle>Indian Environmental Law: Key Concepts and Principles</b:BookTitle>
    <b:Pages>21-54</b:Pages>
    <b:City>Hyderabad</b:City>
    <b:Publisher>Orient BlackSwam</b:Publisher>
    <b:Author>
      <b:Author>
        <b:NameList>
          <b:Person>
            <b:Last>Bhullar</b:Last>
            <b:First>Lovleen</b:First>
          </b:Person>
        </b:NameList>
      </b:Author>
      <b:Editor>
        <b:NameList>
          <b:Person>
            <b:Last>Ghosh</b:Last>
            <b:First>Shibani</b:First>
          </b:Person>
        </b:NameList>
      </b:Editor>
    </b:Author>
    <b:RefOrder>9</b:RefOrder>
  </b:Source>
  <b:Source>
    <b:Tag>Pee15</b:Tag>
    <b:SourceType>Book</b:SourceType>
    <b:Guid>{130AD9B4-DDEF-414F-BDA3-68F9F3940E85}</b:Guid>
    <b:Title>Climate Change Litigation: Regulatory Pathways to Cleaner Energy</b:Title>
    <b:Year>2015</b:Year>
    <b:City>Cambridge</b:City>
    <b:Publisher>Cambridge University Press</b:Publisher>
    <b:Author>
      <b:Author>
        <b:NameList>
          <b:Person>
            <b:Last>Peel</b:Last>
            <b:First>Jacqueline</b:First>
          </b:Person>
          <b:Person>
            <b:Last>Osofsky</b:Last>
            <b:First>Hari M.</b:First>
          </b:Person>
        </b:NameList>
      </b:Author>
    </b:Author>
    <b:RefOrder>10</b:RefOrder>
  </b:Source>
  <b:Source>
    <b:Tag>Rod20</b:Tag>
    <b:SourceType>JournalArticle</b:SourceType>
    <b:Guid>{42F13EB9-E701-4E6F-9186-9D74BEF2E3AE}</b:Guid>
    <b:Title>Human Rights: The Global South's Route to Climate Litigation</b:Title>
    <b:Year>2020</b:Year>
    <b:JournalName>AJIL Unbound</b:JournalName>
    <b:Pages>40-44</b:Pages>
    <b:Author>
      <b:Author>
        <b:NameList>
          <b:Person>
            <b:Last>Rodríguez-Garavito</b:Last>
            <b:First>César</b:First>
          </b:Person>
        </b:NameList>
      </b:Author>
    </b:Author>
    <b:RefOrder>6</b:RefOrder>
  </b:Source>
  <b:Source>
    <b:Tag>Ohd21</b:Tag>
    <b:SourceType>BookSection</b:SourceType>
    <b:Guid>{6D890902-0CAC-432F-88AF-C6372618A91E}</b:Guid>
    <b:Title>Climate Change Litigation in India and Pakistan: Analyzing Opportunities and Challenges</b:Title>
    <b:Year>2021</b:Year>
    <b:Pages>103-123</b:Pages>
    <b:BookTitle>Climate Change Litigation: Global Perspectives</b:BookTitle>
    <b:Publisher>Brill | Nijhoff</b:Publisher>
    <b:Author>
      <b:Author>
        <b:NameList>
          <b:Person>
            <b:Last>Ohdedar</b:Last>
            <b:First>Birsha</b:First>
          </b:Person>
        </b:NameList>
      </b:Author>
      <b:Editor>
        <b:NameList>
          <b:Person>
            <b:Last>Alogna</b:Last>
            <b:First>Ivano</b:First>
          </b:Person>
          <b:Person>
            <b:Last>Bakker</b:Last>
            <b:First>Christine</b:First>
          </b:Person>
          <b:Person>
            <b:Last>Gauci</b:Last>
            <b:First>Jean-Pierre</b:First>
          </b:Person>
        </b:NameList>
      </b:Editor>
    </b:Author>
    <b:RefOrder>8</b:RefOrder>
  </b:Source>
  <b:Source>
    <b:Tag>Hig22</b:Tag>
    <b:SourceType>Report</b:SourceType>
    <b:Guid>{47D67EA0-77F8-4EBA-AF58-E35B6C9E7756}</b:Guid>
    <b:Title>Challenging government responses to climate change through framework litigation</b:Title>
    <b:Year>2022</b:Year>
    <b:Publisher>Grantham Research Institute on Climate Change and the Environment and the Centre for Climate Change Economics and Policy</b:Publisher>
    <b:Author>
      <b:Author>
        <b:NameList>
          <b:Person>
            <b:Last>Higham</b:Last>
            <b:First>Catherine</b:First>
          </b:Person>
          <b:Person>
            <b:Last>Setzer</b:Last>
            <b:First>Joana</b:First>
          </b:Person>
          <b:Person>
            <b:Last>Bradeen</b:Last>
            <b:First>Emily</b:First>
          </b:Person>
        </b:NameList>
      </b:Author>
    </b:Author>
    <b:RefOrder>4</b:RefOrder>
  </b:Source>
  <b:Source>
    <b:Tag>Max22</b:Tag>
    <b:SourceType>JournalArticle</b:SourceType>
    <b:Guid>{A6131E7A-BA9C-4991-885F-BEF330C4D7CA}</b:Guid>
    <b:Title>Standards for adjudicating the next generation of Urgenda-style climate cases</b:Title>
    <b:Year>2022</b:Year>
    <b:Author>
      <b:Author>
        <b:NameList>
          <b:Person>
            <b:Last>Maxwell</b:Last>
            <b:First>Lucy</b:First>
          </b:Person>
          <b:Person>
            <b:Last>Mead</b:Last>
            <b:First>Sarah</b:First>
          </b:Person>
          <b:Person>
            <b:Last>van Berkel</b:Last>
            <b:First>Dennis</b:First>
          </b:Person>
        </b:NameList>
      </b:Author>
    </b:Author>
    <b:JournalName>Journal of Human Rights and the Environment</b:JournalName>
    <b:Pages>35-63</b:Pages>
    <b:RefOrder>5</b:RefOrder>
  </b:Source>
  <b:Source>
    <b:Tag>Pee19</b:Tag>
    <b:SourceType>JournalArticle</b:SourceType>
    <b:Guid>{2798A4FE-FFA9-4180-B810-5C75BA0CFBDC}</b:Guid>
    <b:Title>Transnational Climate Litigation: The Contribution of the Global South</b:Title>
    <b:JournalName>American Journal of International Law</b:JournalName>
    <b:Year>2019</b:Year>
    <b:Pages>679-726</b:Pages>
    <b:Author>
      <b:Author>
        <b:NameList>
          <b:Person>
            <b:Last>Peel</b:Last>
            <b:First>Jacqueline</b:First>
          </b:Person>
          <b:Person>
            <b:Last>Lin</b:Last>
            <b:First>Jolene</b:First>
          </b:Person>
        </b:NameList>
      </b:Author>
    </b:Author>
    <b:RefOrder>7</b:RefOrder>
  </b:Source>
</b:Sources>
</file>

<file path=customXml/itemProps1.xml><?xml version="1.0" encoding="utf-8"?>
<ds:datastoreItem xmlns:ds="http://schemas.openxmlformats.org/officeDocument/2006/customXml" ds:itemID="{3953A359-B76A-49B5-A161-370AAD1A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2103</Words>
  <Characters>11990</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Mobech</dc:creator>
  <cp:keywords/>
  <dc:description/>
  <cp:lastModifiedBy>BOURQUE Frederique</cp:lastModifiedBy>
  <cp:revision>1</cp:revision>
  <dcterms:created xsi:type="dcterms:W3CDTF">2023-07-05T15:23:00Z</dcterms:created>
  <dcterms:modified xsi:type="dcterms:W3CDTF">2023-07-05T15:23:00Z</dcterms:modified>
</cp:coreProperties>
</file>