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F111" w14:textId="2C04B046" w:rsidR="00D605BF" w:rsidRDefault="00D605BF" w:rsidP="00D605BF">
      <w:pPr>
        <w:spacing w:before="100" w:beforeAutospacing="1" w:after="100" w:afterAutospacing="1"/>
        <w:rPr>
          <w:rFonts w:ascii="Roboto" w:eastAsia="Times New Roman" w:hAnsi="Roboto" w:cs="Times New Roman"/>
          <w:b/>
          <w:bCs/>
        </w:rPr>
      </w:pPr>
      <w:r>
        <w:rPr>
          <w:rFonts w:ascii="Roboto" w:eastAsia="Times New Roman" w:hAnsi="Roboto" w:cs="Times New Roman"/>
          <w:b/>
          <w:bCs/>
        </w:rPr>
        <w:t>Input to inform</w:t>
      </w:r>
      <w:r>
        <w:rPr>
          <w:rStyle w:val="text--body-copy"/>
          <w:rFonts w:ascii="Roboto" w:hAnsi="Roboto"/>
          <w:color w:val="4A4A4A"/>
        </w:rPr>
        <w:t xml:space="preserve"> the Special Rapporteur’s 2023 report to the General Assembly</w:t>
      </w:r>
    </w:p>
    <w:p w14:paraId="782E592A" w14:textId="4A706081" w:rsidR="000411ED" w:rsidRPr="000411ED" w:rsidRDefault="000411ED" w:rsidP="00D605BF">
      <w:pPr>
        <w:spacing w:before="100" w:beforeAutospacing="1" w:after="100" w:afterAutospacing="1"/>
        <w:rPr>
          <w:rFonts w:ascii="Roboto" w:eastAsia="Times New Roman" w:hAnsi="Roboto" w:cs="Times New Roman"/>
        </w:rPr>
      </w:pPr>
      <w:r w:rsidRPr="000411ED">
        <w:rPr>
          <w:rFonts w:ascii="Roboto" w:eastAsia="Times New Roman" w:hAnsi="Roboto" w:cs="Times New Roman"/>
        </w:rPr>
        <w:t xml:space="preserve">From Eric Booth, Co-Founder of </w:t>
      </w:r>
      <w:hyperlink r:id="rId5" w:history="1">
        <w:r w:rsidRPr="000411ED">
          <w:rPr>
            <w:rStyle w:val="Hyperlink"/>
            <w:rFonts w:ascii="Roboto" w:eastAsia="Times New Roman" w:hAnsi="Roboto" w:cs="Times New Roman"/>
          </w:rPr>
          <w:t>ITAC</w:t>
        </w:r>
      </w:hyperlink>
      <w:r w:rsidRPr="000411ED">
        <w:rPr>
          <w:rFonts w:ascii="Roboto" w:eastAsia="Times New Roman" w:hAnsi="Roboto" w:cs="Times New Roman"/>
        </w:rPr>
        <w:t>. The International Teaching Artist Collaborative. [</w:t>
      </w:r>
      <w:proofErr w:type="gramStart"/>
      <w:r w:rsidRPr="000411ED">
        <w:rPr>
          <w:rFonts w:ascii="Roboto" w:eastAsia="Times New Roman" w:hAnsi="Roboto" w:cs="Times New Roman"/>
        </w:rPr>
        <w:t>https://www.itac-collaborative.com/</w:t>
      </w:r>
      <w:r w:rsidRPr="000411ED">
        <w:rPr>
          <w:rFonts w:ascii="Roboto" w:eastAsia="Times New Roman" w:hAnsi="Roboto" w:cs="Times New Roman"/>
        </w:rPr>
        <w:t>]</w:t>
      </w:r>
      <w:r>
        <w:rPr>
          <w:rFonts w:ascii="Roboto" w:eastAsia="Times New Roman" w:hAnsi="Roboto" w:cs="Times New Roman"/>
        </w:rPr>
        <w:t xml:space="preserve">  Eric</w:t>
      </w:r>
      <w:proofErr w:type="gramEnd"/>
      <w:r>
        <w:rPr>
          <w:rFonts w:ascii="Roboto" w:eastAsia="Times New Roman" w:hAnsi="Roboto" w:cs="Times New Roman"/>
        </w:rPr>
        <w:t xml:space="preserve"> Booth: eeebbb@aol.com</w:t>
      </w:r>
    </w:p>
    <w:p w14:paraId="504FF0DA" w14:textId="39D5EA2D" w:rsidR="00D605BF" w:rsidRPr="00D605BF" w:rsidRDefault="00D605BF" w:rsidP="00D605BF">
      <w:pPr>
        <w:spacing w:before="100" w:beforeAutospacing="1" w:after="100" w:afterAutospacing="1"/>
        <w:rPr>
          <w:rFonts w:ascii="Roboto" w:eastAsia="Times New Roman" w:hAnsi="Roboto" w:cs="Times New Roman"/>
        </w:rPr>
      </w:pPr>
      <w:r w:rsidRPr="00D605BF">
        <w:rPr>
          <w:rFonts w:ascii="Roboto" w:eastAsia="Times New Roman" w:hAnsi="Roboto" w:cs="Times New Roman"/>
          <w:b/>
          <w:bCs/>
        </w:rPr>
        <w:t>Main questions</w:t>
      </w:r>
      <w:r w:rsidRPr="00D605BF">
        <w:rPr>
          <w:rFonts w:ascii="Roboto" w:eastAsia="Times New Roman" w:hAnsi="Roboto" w:cs="Times New Roman"/>
        </w:rPr>
        <w:t> (for all stakeholders)</w:t>
      </w:r>
    </w:p>
    <w:p w14:paraId="25D7B290" w14:textId="5B8DDF9F" w:rsidR="00D605BF" w:rsidRPr="00C7519D" w:rsidRDefault="00D605BF" w:rsidP="00B93F5E">
      <w:pPr>
        <w:numPr>
          <w:ilvl w:val="0"/>
          <w:numId w:val="1"/>
        </w:numPr>
        <w:spacing w:before="100" w:beforeAutospacing="1" w:after="100" w:afterAutospacing="1"/>
        <w:rPr>
          <w:rFonts w:ascii="Roboto" w:eastAsia="Times New Roman" w:hAnsi="Roboto" w:cs="Times New Roman"/>
          <w:i/>
          <w:iCs/>
        </w:rPr>
      </w:pPr>
      <w:r w:rsidRPr="00C7519D">
        <w:rPr>
          <w:rFonts w:ascii="Roboto" w:eastAsia="Times New Roman" w:hAnsi="Roboto" w:cs="Times New Roman"/>
          <w:i/>
          <w:iCs/>
        </w:rPr>
        <w:t xml:space="preserve">How are human rights generally integrated in your policies and </w:t>
      </w:r>
      <w:proofErr w:type="spellStart"/>
      <w:r w:rsidRPr="00C7519D">
        <w:rPr>
          <w:rFonts w:ascii="Roboto" w:eastAsia="Times New Roman" w:hAnsi="Roboto" w:cs="Times New Roman"/>
          <w:i/>
          <w:iCs/>
        </w:rPr>
        <w:t>programmes</w:t>
      </w:r>
      <w:proofErr w:type="spellEnd"/>
      <w:r w:rsidRPr="00C7519D">
        <w:rPr>
          <w:rFonts w:ascii="Roboto" w:eastAsia="Times New Roman" w:hAnsi="Roboto" w:cs="Times New Roman"/>
          <w:i/>
          <w:iCs/>
        </w:rPr>
        <w:t xml:space="preserve">? Please indicate if human rights are mandatory considerations, at what stage of the </w:t>
      </w:r>
      <w:proofErr w:type="spellStart"/>
      <w:r w:rsidRPr="00C7519D">
        <w:rPr>
          <w:rFonts w:ascii="Roboto" w:eastAsia="Times New Roman" w:hAnsi="Roboto" w:cs="Times New Roman"/>
          <w:i/>
          <w:iCs/>
        </w:rPr>
        <w:t>programme</w:t>
      </w:r>
      <w:proofErr w:type="spellEnd"/>
      <w:r w:rsidRPr="00C7519D">
        <w:rPr>
          <w:rFonts w:ascii="Roboto" w:eastAsia="Times New Roman" w:hAnsi="Roboto" w:cs="Times New Roman"/>
          <w:i/>
          <w:iCs/>
        </w:rPr>
        <w:t xml:space="preserve"> they are integrated and if any, w</w:t>
      </w:r>
      <w:r w:rsidR="00B93F5E" w:rsidRPr="00C7519D">
        <w:rPr>
          <w:rFonts w:ascii="Roboto" w:eastAsia="Times New Roman" w:hAnsi="Roboto" w:cs="Times New Roman"/>
          <w:i/>
          <w:iCs/>
        </w:rPr>
        <w:t>h</w:t>
      </w:r>
      <w:r w:rsidRPr="00C7519D">
        <w:rPr>
          <w:rFonts w:ascii="Roboto" w:eastAsia="Times New Roman" w:hAnsi="Roboto" w:cs="Times New Roman"/>
          <w:i/>
          <w:iCs/>
        </w:rPr>
        <w:t>at kind of impact assessment and monitoring is done of their implementation.</w:t>
      </w:r>
    </w:p>
    <w:p w14:paraId="6CC8AF8D" w14:textId="6F19E59B" w:rsidR="00B93F5E" w:rsidRDefault="00B93F5E" w:rsidP="00B93F5E">
      <w:pPr>
        <w:spacing w:before="100" w:beforeAutospacing="1" w:after="100" w:afterAutospacing="1"/>
        <w:ind w:left="720"/>
        <w:rPr>
          <w:rFonts w:ascii="Roboto" w:eastAsia="Times New Roman" w:hAnsi="Roboto" w:cs="Times New Roman"/>
        </w:rPr>
      </w:pPr>
      <w:r>
        <w:rPr>
          <w:rFonts w:ascii="Roboto" w:eastAsia="Times New Roman" w:hAnsi="Roboto" w:cs="Times New Roman"/>
        </w:rPr>
        <w:t xml:space="preserve">I respond as the Co-Founder of ITAC, the International Teaching Artist Collaborative, the world’s first network of artists who work in communities and schools.  ITAC networks the extremely active global field, and funds projects and convenings.  </w:t>
      </w:r>
    </w:p>
    <w:p w14:paraId="4F8A6BCF" w14:textId="44CA1274" w:rsidR="00B93F5E" w:rsidRPr="00B93F5E" w:rsidRDefault="00B93F5E" w:rsidP="00B93F5E">
      <w:pPr>
        <w:spacing w:before="100" w:beforeAutospacing="1" w:after="100" w:afterAutospacing="1"/>
        <w:ind w:left="720"/>
        <w:rPr>
          <w:rFonts w:ascii="Roboto" w:eastAsia="Times New Roman" w:hAnsi="Roboto" w:cs="Times New Roman"/>
        </w:rPr>
      </w:pPr>
      <w:r>
        <w:rPr>
          <w:rFonts w:ascii="Roboto" w:eastAsia="Times New Roman" w:hAnsi="Roboto" w:cs="Times New Roman"/>
        </w:rPr>
        <w:t xml:space="preserve">Human rights are high value in the work of teaching artists.  ITAC as an institution has </w:t>
      </w:r>
      <w:r w:rsidR="00070676">
        <w:rPr>
          <w:rFonts w:ascii="Roboto" w:eastAsia="Times New Roman" w:hAnsi="Roboto" w:cs="Times New Roman"/>
        </w:rPr>
        <w:t xml:space="preserve">official </w:t>
      </w:r>
      <w:r>
        <w:rPr>
          <w:rFonts w:ascii="Roboto" w:eastAsia="Times New Roman" w:hAnsi="Roboto" w:cs="Times New Roman"/>
        </w:rPr>
        <w:t xml:space="preserve">safeguarding, diversity and inclusion, anti-racism, and wellness policies, but the real human rights influence in our work is in the fierce belief that teaching artist work is human rights work. Empowering all people to activate and apply their birthright creativity and to guide it to address their needs and visions is the service work of this global community.   We recently published an online curriculum, 20-25 hours, asynchronous, on </w:t>
      </w:r>
      <w:hyperlink r:id="rId6" w:history="1">
        <w:r w:rsidRPr="00B93F5E">
          <w:rPr>
            <w:rStyle w:val="Hyperlink"/>
            <w:rFonts w:ascii="Roboto" w:eastAsia="Times New Roman" w:hAnsi="Roboto" w:cs="Times New Roman"/>
          </w:rPr>
          <w:t>Teaching Artistry for Social Impact.</w:t>
        </w:r>
      </w:hyperlink>
      <w:r>
        <w:rPr>
          <w:rFonts w:ascii="Roboto" w:eastAsia="Times New Roman" w:hAnsi="Roboto" w:cs="Times New Roman"/>
        </w:rPr>
        <w:t xml:space="preserve"> This course teaches best practices from leaders around the world, and has the participant design a social impact project of their own passion, using all the tools, to design a rich, grounded in good ethical practice and bold ambition for change. It is free for all to take. Hundreds registered in its first six months. </w:t>
      </w:r>
    </w:p>
    <w:p w14:paraId="61F187E3" w14:textId="77777777" w:rsidR="00B93F5E" w:rsidRPr="00D605BF" w:rsidRDefault="00B93F5E" w:rsidP="00B93F5E">
      <w:pPr>
        <w:spacing w:before="100" w:beforeAutospacing="1" w:after="100" w:afterAutospacing="1"/>
        <w:rPr>
          <w:rFonts w:ascii="Roboto" w:eastAsia="Times New Roman" w:hAnsi="Roboto" w:cs="Times New Roman"/>
        </w:rPr>
      </w:pPr>
    </w:p>
    <w:p w14:paraId="5EEA1035" w14:textId="77777777" w:rsidR="00D605BF" w:rsidRPr="00C7519D" w:rsidRDefault="00D605BF" w:rsidP="00D605BF">
      <w:pPr>
        <w:numPr>
          <w:ilvl w:val="0"/>
          <w:numId w:val="1"/>
        </w:numPr>
        <w:spacing w:before="100" w:beforeAutospacing="1" w:after="100" w:afterAutospacing="1"/>
        <w:rPr>
          <w:rFonts w:ascii="Roboto" w:eastAsia="Times New Roman" w:hAnsi="Roboto" w:cs="Times New Roman"/>
          <w:i/>
          <w:iCs/>
        </w:rPr>
      </w:pPr>
      <w:r w:rsidRPr="00C7519D">
        <w:rPr>
          <w:rFonts w:ascii="Roboto" w:eastAsia="Times New Roman" w:hAnsi="Roboto" w:cs="Times New Roman"/>
          <w:i/>
          <w:iCs/>
        </w:rPr>
        <w:t xml:space="preserve">Please provide examples of any </w:t>
      </w:r>
      <w:proofErr w:type="spellStart"/>
      <w:r w:rsidRPr="00C7519D">
        <w:rPr>
          <w:rFonts w:ascii="Roboto" w:eastAsia="Times New Roman" w:hAnsi="Roboto" w:cs="Times New Roman"/>
          <w:i/>
          <w:iCs/>
        </w:rPr>
        <w:t>programmes</w:t>
      </w:r>
      <w:proofErr w:type="spellEnd"/>
      <w:r w:rsidRPr="00C7519D">
        <w:rPr>
          <w:rFonts w:ascii="Roboto" w:eastAsia="Times New Roman" w:hAnsi="Roboto" w:cs="Times New Roman"/>
          <w:i/>
          <w:iCs/>
        </w:rPr>
        <w:t xml:space="preserve"> that contribute to the respect, </w:t>
      </w:r>
      <w:proofErr w:type="gramStart"/>
      <w:r w:rsidRPr="00C7519D">
        <w:rPr>
          <w:rFonts w:ascii="Roboto" w:eastAsia="Times New Roman" w:hAnsi="Roboto" w:cs="Times New Roman"/>
          <w:i/>
          <w:iCs/>
        </w:rPr>
        <w:t>protection</w:t>
      </w:r>
      <w:proofErr w:type="gramEnd"/>
      <w:r w:rsidRPr="00C7519D">
        <w:rPr>
          <w:rFonts w:ascii="Roboto" w:eastAsia="Times New Roman" w:hAnsi="Roboto" w:cs="Times New Roman"/>
          <w:i/>
          <w:iCs/>
        </w:rPr>
        <w:t xml:space="preserve"> and implementation of cultural rights, in particular:</w:t>
      </w:r>
    </w:p>
    <w:p w14:paraId="7229F6DE" w14:textId="4A0429F5" w:rsidR="00D605BF" w:rsidRDefault="00D605BF" w:rsidP="00D605BF">
      <w:pPr>
        <w:numPr>
          <w:ilvl w:val="1"/>
          <w:numId w:val="1"/>
        </w:numPr>
        <w:spacing w:before="100" w:beforeAutospacing="1" w:after="100" w:afterAutospacing="1"/>
        <w:rPr>
          <w:rFonts w:ascii="Roboto" w:eastAsia="Times New Roman" w:hAnsi="Roboto" w:cs="Times New Roman"/>
        </w:rPr>
      </w:pPr>
      <w:r w:rsidRPr="0050241C">
        <w:rPr>
          <w:rFonts w:ascii="Roboto" w:eastAsia="Times New Roman" w:hAnsi="Roboto" w:cs="Times New Roman"/>
          <w:i/>
          <w:iCs/>
        </w:rPr>
        <w:t>The right to access and transmit creative expressions and knowledge, and to access the creativity and knowledge of others</w:t>
      </w:r>
      <w:r w:rsidR="00070676" w:rsidRPr="0050241C">
        <w:rPr>
          <w:rFonts w:ascii="Roboto" w:eastAsia="Times New Roman" w:hAnsi="Roboto" w:cs="Times New Roman"/>
          <w:i/>
          <w:iCs/>
        </w:rPr>
        <w:t>.</w:t>
      </w:r>
      <w:r w:rsidR="00070676">
        <w:rPr>
          <w:rFonts w:ascii="Roboto" w:eastAsia="Times New Roman" w:hAnsi="Roboto" w:cs="Times New Roman"/>
        </w:rPr>
        <w:t xml:space="preserve">  All ITAC commissioned projects lead with this right at their core.  We have developed a network of teaching artists across Asia who have special expertise in creative work with people who have disabilities—this network is dedicated to advancing such practices across all Asian countries and building capacity and visibility across the region. </w:t>
      </w:r>
    </w:p>
    <w:p w14:paraId="1CCA8BA6" w14:textId="56953EBF" w:rsidR="00070676" w:rsidRDefault="00070676" w:rsidP="00D605BF">
      <w:pPr>
        <w:numPr>
          <w:ilvl w:val="1"/>
          <w:numId w:val="1"/>
        </w:numPr>
        <w:spacing w:before="100" w:beforeAutospacing="1" w:after="100" w:afterAutospacing="1"/>
        <w:rPr>
          <w:rFonts w:ascii="Roboto" w:eastAsia="Times New Roman" w:hAnsi="Roboto" w:cs="Times New Roman"/>
        </w:rPr>
      </w:pPr>
      <w:r>
        <w:rPr>
          <w:rFonts w:ascii="Roboto" w:eastAsia="Times New Roman" w:hAnsi="Roboto" w:cs="Times New Roman"/>
        </w:rPr>
        <w:t>We have a working group gathering and sharing the best cultural/and racial equity practices in creative engagement around the world.</w:t>
      </w:r>
    </w:p>
    <w:p w14:paraId="3695194D" w14:textId="77777777" w:rsidR="00070676" w:rsidRDefault="00070676" w:rsidP="00D605BF">
      <w:pPr>
        <w:numPr>
          <w:ilvl w:val="1"/>
          <w:numId w:val="1"/>
        </w:numPr>
        <w:spacing w:before="100" w:beforeAutospacing="1" w:after="100" w:afterAutospacing="1"/>
        <w:rPr>
          <w:rFonts w:ascii="Roboto" w:eastAsia="Times New Roman" w:hAnsi="Roboto" w:cs="Times New Roman"/>
        </w:rPr>
      </w:pPr>
    </w:p>
    <w:p w14:paraId="12387C0D" w14:textId="21212983" w:rsidR="00070676" w:rsidRPr="00D605BF" w:rsidRDefault="00070676" w:rsidP="00070676">
      <w:pPr>
        <w:spacing w:before="100" w:beforeAutospacing="1" w:after="100" w:afterAutospacing="1"/>
        <w:ind w:left="720"/>
        <w:rPr>
          <w:rFonts w:ascii="Roboto" w:eastAsia="Times New Roman" w:hAnsi="Roboto" w:cs="Times New Roman"/>
        </w:rPr>
      </w:pPr>
    </w:p>
    <w:p w14:paraId="2526E3CD" w14:textId="77777777" w:rsidR="00070676" w:rsidRDefault="00D605BF" w:rsidP="00070676">
      <w:pPr>
        <w:numPr>
          <w:ilvl w:val="1"/>
          <w:numId w:val="1"/>
        </w:numPr>
        <w:spacing w:before="100" w:beforeAutospacing="1" w:after="100" w:afterAutospacing="1"/>
        <w:rPr>
          <w:rFonts w:ascii="Roboto" w:eastAsia="Times New Roman" w:hAnsi="Roboto" w:cs="Times New Roman"/>
          <w:i/>
          <w:iCs/>
        </w:rPr>
      </w:pPr>
      <w:r w:rsidRPr="00070676">
        <w:rPr>
          <w:rFonts w:ascii="Roboto" w:eastAsia="Times New Roman" w:hAnsi="Roboto" w:cs="Times New Roman"/>
          <w:i/>
          <w:iCs/>
        </w:rPr>
        <w:lastRenderedPageBreak/>
        <w:t xml:space="preserve">The right to access to the benefits of science and its applications, including scientific knowledge, technology, and opportunities to contribute to the scientific </w:t>
      </w:r>
      <w:proofErr w:type="gramStart"/>
      <w:r w:rsidRPr="00070676">
        <w:rPr>
          <w:rFonts w:ascii="Roboto" w:eastAsia="Times New Roman" w:hAnsi="Roboto" w:cs="Times New Roman"/>
          <w:i/>
          <w:iCs/>
        </w:rPr>
        <w:t>enterprise;</w:t>
      </w:r>
      <w:proofErr w:type="gramEnd"/>
    </w:p>
    <w:p w14:paraId="28F76B14" w14:textId="74D01DD9" w:rsidR="00070676" w:rsidRPr="00070676" w:rsidRDefault="00070676" w:rsidP="00070676">
      <w:pPr>
        <w:numPr>
          <w:ilvl w:val="1"/>
          <w:numId w:val="1"/>
        </w:numPr>
        <w:spacing w:before="100" w:beforeAutospacing="1" w:after="100" w:afterAutospacing="1"/>
        <w:rPr>
          <w:rFonts w:ascii="Roboto" w:eastAsia="Times New Roman" w:hAnsi="Roboto" w:cs="Times New Roman"/>
          <w:i/>
          <w:iCs/>
        </w:rPr>
      </w:pPr>
      <w:r w:rsidRPr="00070676">
        <w:rPr>
          <w:rFonts w:ascii="Roboto" w:eastAsia="Times New Roman" w:hAnsi="Roboto" w:cs="Times New Roman"/>
        </w:rPr>
        <w:t>ITAC</w:t>
      </w:r>
      <w:r>
        <w:rPr>
          <w:rFonts w:ascii="Roboto" w:eastAsia="Times New Roman" w:hAnsi="Roboto" w:cs="Times New Roman"/>
        </w:rPr>
        <w:t xml:space="preserve"> has commissioned teaching artists around the world to work with communities on creative engagement projects that address local </w:t>
      </w:r>
      <w:hyperlink r:id="rId7" w:history="1">
        <w:r w:rsidRPr="0050241C">
          <w:rPr>
            <w:rStyle w:val="Hyperlink"/>
            <w:rFonts w:ascii="Roboto" w:eastAsia="Times New Roman" w:hAnsi="Roboto" w:cs="Times New Roman"/>
          </w:rPr>
          <w:t>climate crisis</w:t>
        </w:r>
      </w:hyperlink>
      <w:r>
        <w:rPr>
          <w:rFonts w:ascii="Roboto" w:eastAsia="Times New Roman" w:hAnsi="Roboto" w:cs="Times New Roman"/>
        </w:rPr>
        <w:t xml:space="preserve"> challenges</w:t>
      </w:r>
      <w:r w:rsidR="0050241C">
        <w:rPr>
          <w:rFonts w:ascii="Roboto" w:eastAsia="Times New Roman" w:hAnsi="Roboto" w:cs="Times New Roman"/>
        </w:rPr>
        <w:t xml:space="preserve">—a few case studies </w:t>
      </w:r>
      <w:hyperlink r:id="rId8" w:history="1">
        <w:r w:rsidR="0050241C" w:rsidRPr="0050241C">
          <w:rPr>
            <w:rStyle w:val="Hyperlink"/>
            <w:rFonts w:ascii="Roboto" w:eastAsia="Times New Roman" w:hAnsi="Roboto" w:cs="Times New Roman"/>
          </w:rPr>
          <w:t>here</w:t>
        </w:r>
      </w:hyperlink>
      <w:r>
        <w:rPr>
          <w:rFonts w:ascii="Roboto" w:eastAsia="Times New Roman" w:hAnsi="Roboto" w:cs="Times New Roman"/>
        </w:rPr>
        <w:t xml:space="preserve">. We work with local scientists, and with these creative projects we change understandings, build hope that people can effectively make a difference, and build toward local policy changes.  We have a Climate Collective of teaching artists who meet regularly to share best practice.  </w:t>
      </w:r>
    </w:p>
    <w:p w14:paraId="3F9F315A" w14:textId="5938A41C" w:rsidR="0033124B" w:rsidRDefault="00070676" w:rsidP="00F13168">
      <w:pPr>
        <w:numPr>
          <w:ilvl w:val="1"/>
          <w:numId w:val="1"/>
        </w:numPr>
        <w:spacing w:before="100" w:beforeAutospacing="1" w:after="100" w:afterAutospacing="1"/>
        <w:rPr>
          <w:rFonts w:ascii="Roboto" w:eastAsia="Times New Roman" w:hAnsi="Roboto" w:cs="Times New Roman"/>
          <w:i/>
          <w:iCs/>
        </w:rPr>
      </w:pPr>
      <w:r>
        <w:rPr>
          <w:rFonts w:ascii="Roboto" w:eastAsia="Times New Roman" w:hAnsi="Roboto" w:cs="Times New Roman"/>
        </w:rPr>
        <w:t xml:space="preserve">ITAC has also partnered with global opera superstar Joyce DiDonato on </w:t>
      </w:r>
      <w:hyperlink r:id="rId9" w:history="1">
        <w:r w:rsidRPr="0050241C">
          <w:rPr>
            <w:rStyle w:val="Hyperlink"/>
            <w:rFonts w:ascii="Roboto" w:eastAsia="Times New Roman" w:hAnsi="Roboto" w:cs="Times New Roman"/>
          </w:rPr>
          <w:t>EDEN Engagement</w:t>
        </w:r>
      </w:hyperlink>
      <w:r>
        <w:rPr>
          <w:rFonts w:ascii="Roboto" w:eastAsia="Times New Roman" w:hAnsi="Roboto" w:cs="Times New Roman"/>
        </w:rPr>
        <w:t xml:space="preserve">. She has a world tour of top opera houses with her </w:t>
      </w:r>
      <w:proofErr w:type="gramStart"/>
      <w:r>
        <w:rPr>
          <w:rFonts w:ascii="Roboto" w:eastAsia="Times New Roman" w:hAnsi="Roboto" w:cs="Times New Roman"/>
        </w:rPr>
        <w:t>environmentally-themed</w:t>
      </w:r>
      <w:proofErr w:type="gramEnd"/>
      <w:r>
        <w:rPr>
          <w:rFonts w:ascii="Roboto" w:eastAsia="Times New Roman" w:hAnsi="Roboto" w:cs="Times New Roman"/>
        </w:rPr>
        <w:t xml:space="preserve"> EDEN, and ITAC commissions a teaching artist in every tour city to work with a local underserved youth population in creative workshops that address a local climate issue. They learn the science, they create their public response, and they practice as a chorus and perform with Joyce </w:t>
      </w:r>
      <w:r w:rsidR="00F13168">
        <w:rPr>
          <w:rFonts w:ascii="Roboto" w:eastAsia="Times New Roman" w:hAnsi="Roboto" w:cs="Times New Roman"/>
        </w:rPr>
        <w:t xml:space="preserve">on the opera house stage.  We are demonstrating that every “high art” tour could have a community component that benefits local communities that could never afford an expensive ticket. </w:t>
      </w:r>
    </w:p>
    <w:p w14:paraId="1A3213E6" w14:textId="0487B001" w:rsidR="00D605BF" w:rsidRPr="00C7519D" w:rsidRDefault="00D605BF" w:rsidP="00C7519D">
      <w:pPr>
        <w:numPr>
          <w:ilvl w:val="1"/>
          <w:numId w:val="1"/>
        </w:numPr>
        <w:spacing w:before="100" w:beforeAutospacing="1" w:after="100" w:afterAutospacing="1"/>
        <w:rPr>
          <w:rFonts w:ascii="Roboto" w:eastAsia="Times New Roman" w:hAnsi="Roboto" w:cs="Times New Roman"/>
          <w:i/>
          <w:iCs/>
        </w:rPr>
      </w:pPr>
    </w:p>
    <w:p w14:paraId="6BF754D3" w14:textId="77777777" w:rsidR="00D605BF" w:rsidRPr="00D605BF" w:rsidRDefault="00D605BF" w:rsidP="00D605BF">
      <w:pPr>
        <w:spacing w:before="100" w:beforeAutospacing="1" w:after="100" w:afterAutospacing="1"/>
        <w:rPr>
          <w:rFonts w:ascii="Roboto" w:eastAsia="Times New Roman" w:hAnsi="Roboto" w:cs="Times New Roman"/>
        </w:rPr>
      </w:pPr>
      <w:r w:rsidRPr="00D605BF">
        <w:rPr>
          <w:rFonts w:ascii="Roboto" w:eastAsia="Times New Roman" w:hAnsi="Roboto" w:cs="Times New Roman"/>
          <w:b/>
          <w:bCs/>
        </w:rPr>
        <w:t xml:space="preserve">C. Additional questions for international, </w:t>
      </w:r>
      <w:proofErr w:type="gramStart"/>
      <w:r w:rsidRPr="00D605BF">
        <w:rPr>
          <w:rFonts w:ascii="Roboto" w:eastAsia="Times New Roman" w:hAnsi="Roboto" w:cs="Times New Roman"/>
          <w:b/>
          <w:bCs/>
        </w:rPr>
        <w:t>national</w:t>
      </w:r>
      <w:proofErr w:type="gramEnd"/>
      <w:r w:rsidRPr="00D605BF">
        <w:rPr>
          <w:rFonts w:ascii="Roboto" w:eastAsia="Times New Roman" w:hAnsi="Roboto" w:cs="Times New Roman"/>
          <w:b/>
          <w:bCs/>
        </w:rPr>
        <w:t xml:space="preserve"> and local civil society actors, including those involved in development </w:t>
      </w:r>
      <w:proofErr w:type="spellStart"/>
      <w:r w:rsidRPr="00D605BF">
        <w:rPr>
          <w:rFonts w:ascii="Roboto" w:eastAsia="Times New Roman" w:hAnsi="Roboto" w:cs="Times New Roman"/>
          <w:b/>
          <w:bCs/>
        </w:rPr>
        <w:t>programmes</w:t>
      </w:r>
      <w:proofErr w:type="spellEnd"/>
    </w:p>
    <w:p w14:paraId="59A64440" w14:textId="77777777" w:rsidR="00F13168" w:rsidRDefault="00D605BF" w:rsidP="00D605BF">
      <w:pPr>
        <w:numPr>
          <w:ilvl w:val="0"/>
          <w:numId w:val="4"/>
        </w:numPr>
        <w:spacing w:before="100" w:beforeAutospacing="1" w:after="100" w:afterAutospacing="1"/>
        <w:rPr>
          <w:rFonts w:ascii="Roboto" w:eastAsia="Times New Roman" w:hAnsi="Roboto" w:cs="Times New Roman"/>
        </w:rPr>
      </w:pPr>
      <w:r w:rsidRPr="00D605BF">
        <w:rPr>
          <w:rFonts w:ascii="Roboto" w:eastAsia="Times New Roman" w:hAnsi="Roboto" w:cs="Times New Roman"/>
        </w:rPr>
        <w:t xml:space="preserve">Does your </w:t>
      </w:r>
      <w:proofErr w:type="spellStart"/>
      <w:r w:rsidRPr="00D605BF">
        <w:rPr>
          <w:rFonts w:ascii="Roboto" w:eastAsia="Times New Roman" w:hAnsi="Roboto" w:cs="Times New Roman"/>
        </w:rPr>
        <w:t>organisation</w:t>
      </w:r>
      <w:proofErr w:type="spellEnd"/>
      <w:r w:rsidRPr="00D605BF">
        <w:rPr>
          <w:rFonts w:ascii="Roboto" w:eastAsia="Times New Roman" w:hAnsi="Roboto" w:cs="Times New Roman"/>
        </w:rPr>
        <w:t xml:space="preserve"> have a general commitment, </w:t>
      </w:r>
      <w:proofErr w:type="gramStart"/>
      <w:r w:rsidRPr="00D605BF">
        <w:rPr>
          <w:rFonts w:ascii="Roboto" w:eastAsia="Times New Roman" w:hAnsi="Roboto" w:cs="Times New Roman"/>
        </w:rPr>
        <w:t>strategy</w:t>
      </w:r>
      <w:proofErr w:type="gramEnd"/>
      <w:r w:rsidRPr="00D605BF">
        <w:rPr>
          <w:rFonts w:ascii="Roboto" w:eastAsia="Times New Roman" w:hAnsi="Roboto" w:cs="Times New Roman"/>
        </w:rPr>
        <w:t xml:space="preserve"> or policy on human rights? </w:t>
      </w:r>
    </w:p>
    <w:p w14:paraId="64678F8C" w14:textId="6B88D006" w:rsidR="00F13168" w:rsidRDefault="00F13168" w:rsidP="00F13168">
      <w:pPr>
        <w:spacing w:before="100" w:beforeAutospacing="1" w:after="100" w:afterAutospacing="1"/>
        <w:ind w:left="720"/>
        <w:rPr>
          <w:rFonts w:ascii="Roboto" w:eastAsia="Times New Roman" w:hAnsi="Roboto" w:cs="Times New Roman"/>
        </w:rPr>
      </w:pPr>
      <w:r>
        <w:rPr>
          <w:rFonts w:ascii="Roboto" w:eastAsia="Times New Roman" w:hAnsi="Roboto" w:cs="Times New Roman"/>
        </w:rPr>
        <w:t xml:space="preserve">ITAC’s very identity is our commitment to the creative birthright of all people. The identity of “the arts” tends to be associated with elite institutions, with celebrated masters, and traditions of excellence held by gatekeepers of elite values. ITAC, and the global workforce of teaching artists, is dedicated to activating the artistry of all people, and then guiding that human power toward positive impacts of many kinds. Creative expression is a human right, and teaching artists are its </w:t>
      </w:r>
      <w:proofErr w:type="gramStart"/>
      <w:r>
        <w:rPr>
          <w:rFonts w:ascii="Roboto" w:eastAsia="Times New Roman" w:hAnsi="Roboto" w:cs="Times New Roman"/>
        </w:rPr>
        <w:t>front line</w:t>
      </w:r>
      <w:proofErr w:type="gramEnd"/>
      <w:r>
        <w:rPr>
          <w:rFonts w:ascii="Roboto" w:eastAsia="Times New Roman" w:hAnsi="Roboto" w:cs="Times New Roman"/>
        </w:rPr>
        <w:t xml:space="preserve"> experts, defenders, advocates and champions—the one workforce who knows how to activate this potential in all people in all settings. </w:t>
      </w:r>
    </w:p>
    <w:p w14:paraId="7AA16F1C" w14:textId="54A47711" w:rsidR="00F13168" w:rsidRDefault="00F13168" w:rsidP="00F13168">
      <w:pPr>
        <w:spacing w:before="100" w:beforeAutospacing="1" w:after="100" w:afterAutospacing="1"/>
        <w:ind w:left="720"/>
        <w:rPr>
          <w:rFonts w:ascii="Roboto" w:eastAsia="Times New Roman" w:hAnsi="Roboto" w:cs="Times New Roman"/>
        </w:rPr>
      </w:pPr>
      <w:r>
        <w:rPr>
          <w:rFonts w:ascii="Roboto" w:eastAsia="Times New Roman" w:hAnsi="Roboto" w:cs="Times New Roman"/>
        </w:rPr>
        <w:t xml:space="preserve">Teaching artist programs are almost invisible in the public consciousness and are badly underfunded, but work marvels in every country, even under this scarcity.  Teaching artists are the sleeping giant of social change. </w:t>
      </w:r>
    </w:p>
    <w:p w14:paraId="4478B52C" w14:textId="662C4B30" w:rsidR="00F13168" w:rsidRDefault="00F13168" w:rsidP="00F13168">
      <w:pPr>
        <w:spacing w:before="100" w:beforeAutospacing="1" w:after="100" w:afterAutospacing="1"/>
        <w:ind w:left="720"/>
        <w:rPr>
          <w:rFonts w:ascii="Roboto" w:eastAsia="Times New Roman" w:hAnsi="Roboto" w:cs="Times New Roman"/>
        </w:rPr>
      </w:pPr>
      <w:r>
        <w:rPr>
          <w:rFonts w:ascii="Roboto" w:eastAsia="Times New Roman" w:hAnsi="Roboto" w:cs="Times New Roman"/>
        </w:rPr>
        <w:t xml:space="preserve">In every school where teaching artists are brought in, student engagement and achievement, including academic achievement, rises. In every refugee camp where teaching artists </w:t>
      </w:r>
      <w:r w:rsidR="00C7519D">
        <w:rPr>
          <w:rFonts w:ascii="Roboto" w:eastAsia="Times New Roman" w:hAnsi="Roboto" w:cs="Times New Roman"/>
        </w:rPr>
        <w:t xml:space="preserve">are able to build programs, morale of those living there and those in administrative roles rises. In every facility for older people where teaching artists can develop creative aging programs, prescription drug intake drops, hospital stays shorten, longevity and quality of life measures rise, staff </w:t>
      </w:r>
      <w:r w:rsidR="00C7519D">
        <w:rPr>
          <w:rFonts w:ascii="Roboto" w:eastAsia="Times New Roman" w:hAnsi="Roboto" w:cs="Times New Roman"/>
        </w:rPr>
        <w:lastRenderedPageBreak/>
        <w:t xml:space="preserve">morale and retention </w:t>
      </w:r>
      <w:proofErr w:type="gramStart"/>
      <w:r w:rsidR="00C7519D">
        <w:rPr>
          <w:rFonts w:ascii="Roboto" w:eastAsia="Times New Roman" w:hAnsi="Roboto" w:cs="Times New Roman"/>
        </w:rPr>
        <w:t>rises</w:t>
      </w:r>
      <w:proofErr w:type="gramEnd"/>
      <w:r w:rsidR="00C7519D">
        <w:rPr>
          <w:rFonts w:ascii="Roboto" w:eastAsia="Times New Roman" w:hAnsi="Roboto" w:cs="Times New Roman"/>
        </w:rPr>
        <w:t xml:space="preserve">, and joy appears. The research on these claims is </w:t>
      </w:r>
      <w:proofErr w:type="gramStart"/>
      <w:r w:rsidR="00C7519D">
        <w:rPr>
          <w:rFonts w:ascii="Roboto" w:eastAsia="Times New Roman" w:hAnsi="Roboto" w:cs="Times New Roman"/>
        </w:rPr>
        <w:t>spotty, because</w:t>
      </w:r>
      <w:proofErr w:type="gramEnd"/>
      <w:r w:rsidR="00C7519D">
        <w:rPr>
          <w:rFonts w:ascii="Roboto" w:eastAsia="Times New Roman" w:hAnsi="Roboto" w:cs="Times New Roman"/>
        </w:rPr>
        <w:t xml:space="preserve"> no one funds serious research on these positive impacts that are unmistakable in anecdotal and correlative studies. </w:t>
      </w:r>
    </w:p>
    <w:p w14:paraId="2214CFA3" w14:textId="77777777" w:rsidR="00B10A0C" w:rsidRDefault="00B10A0C"/>
    <w:sectPr w:rsidR="00B10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756E8"/>
    <w:multiLevelType w:val="multilevel"/>
    <w:tmpl w:val="9684D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C362D4"/>
    <w:multiLevelType w:val="multilevel"/>
    <w:tmpl w:val="34B6B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225968"/>
    <w:multiLevelType w:val="multilevel"/>
    <w:tmpl w:val="543C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0D2DB3"/>
    <w:multiLevelType w:val="multilevel"/>
    <w:tmpl w:val="D9F64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6482">
    <w:abstractNumId w:val="1"/>
  </w:num>
  <w:num w:numId="2" w16cid:durableId="1099718122">
    <w:abstractNumId w:val="3"/>
  </w:num>
  <w:num w:numId="3" w16cid:durableId="452943852">
    <w:abstractNumId w:val="2"/>
  </w:num>
  <w:num w:numId="4" w16cid:durableId="959604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BF"/>
    <w:rsid w:val="000411ED"/>
    <w:rsid w:val="00070676"/>
    <w:rsid w:val="001A0FFF"/>
    <w:rsid w:val="0033124B"/>
    <w:rsid w:val="003C1345"/>
    <w:rsid w:val="0050241C"/>
    <w:rsid w:val="00B10A0C"/>
    <w:rsid w:val="00B93F5E"/>
    <w:rsid w:val="00C7519D"/>
    <w:rsid w:val="00D605BF"/>
    <w:rsid w:val="00DB6705"/>
    <w:rsid w:val="00F1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371759"/>
  <w15:chartTrackingRefBased/>
  <w15:docId w15:val="{6CE550C2-14A1-2242-895B-1F475703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05B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605BF"/>
    <w:rPr>
      <w:b/>
      <w:bCs/>
    </w:rPr>
  </w:style>
  <w:style w:type="character" w:customStyle="1" w:styleId="txt-bold">
    <w:name w:val="txt-bold"/>
    <w:basedOn w:val="DefaultParagraphFont"/>
    <w:rsid w:val="00D605BF"/>
  </w:style>
  <w:style w:type="character" w:customStyle="1" w:styleId="text--body-copy">
    <w:name w:val="text--body-copy"/>
    <w:basedOn w:val="DefaultParagraphFont"/>
    <w:rsid w:val="00D605BF"/>
  </w:style>
  <w:style w:type="character" w:styleId="Hyperlink">
    <w:name w:val="Hyperlink"/>
    <w:basedOn w:val="DefaultParagraphFont"/>
    <w:uiPriority w:val="99"/>
    <w:unhideWhenUsed/>
    <w:rsid w:val="00B93F5E"/>
    <w:rPr>
      <w:color w:val="0563C1" w:themeColor="hyperlink"/>
      <w:u w:val="single"/>
    </w:rPr>
  </w:style>
  <w:style w:type="character" w:styleId="UnresolvedMention">
    <w:name w:val="Unresolved Mention"/>
    <w:basedOn w:val="DefaultParagraphFont"/>
    <w:uiPriority w:val="99"/>
    <w:semiHidden/>
    <w:unhideWhenUsed/>
    <w:rsid w:val="00B93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6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ac-collaborative.com/projects/teaching-artistry-for-social-impact-case-studies" TargetMode="External"/><Relationship Id="rId3" Type="http://schemas.openxmlformats.org/officeDocument/2006/relationships/settings" Target="settings.xml"/><Relationship Id="rId7" Type="http://schemas.openxmlformats.org/officeDocument/2006/relationships/hyperlink" Target="https://www.itac-collaborative.com/projects/itac-impact-clim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tac-collaborative.com/projects/teaching-artistry-for-social-impact" TargetMode="External"/><Relationship Id="rId11" Type="http://schemas.openxmlformats.org/officeDocument/2006/relationships/theme" Target="theme/theme1.xml"/><Relationship Id="rId5" Type="http://schemas.openxmlformats.org/officeDocument/2006/relationships/hyperlink" Target="https://www.itac-collaborativ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ac-collaborative.com/projects/eden-eng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904</Words>
  <Characters>4984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Booth</dc:creator>
  <cp:keywords/>
  <dc:description/>
  <cp:lastModifiedBy>Eric Booth</cp:lastModifiedBy>
  <cp:revision>5</cp:revision>
  <dcterms:created xsi:type="dcterms:W3CDTF">2023-04-19T22:30:00Z</dcterms:created>
  <dcterms:modified xsi:type="dcterms:W3CDTF">2023-04-23T11:51:00Z</dcterms:modified>
</cp:coreProperties>
</file>