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379F" w14:textId="77777777" w:rsidR="005E55E1" w:rsidRPr="00E54248" w:rsidRDefault="009F5AD0" w:rsidP="00E54248">
      <w:pPr>
        <w:spacing w:before="160" w:line="240" w:lineRule="auto"/>
        <w:jc w:val="both"/>
        <w:rPr>
          <w:rFonts w:ascii="Segoe UI" w:hAnsi="Segoe UI" w:cs="Segoe UI"/>
        </w:rPr>
      </w:pPr>
    </w:p>
    <w:p w14:paraId="0201BEA2" w14:textId="77777777" w:rsidR="001C50B0" w:rsidRPr="00E54248" w:rsidRDefault="001C50B0" w:rsidP="00E54248">
      <w:pPr>
        <w:spacing w:before="160" w:line="240" w:lineRule="auto"/>
        <w:jc w:val="center"/>
        <w:rPr>
          <w:rFonts w:ascii="Segoe UI" w:eastAsia="Calibri" w:hAnsi="Segoe UI" w:cs="Segoe UI"/>
          <w:b/>
          <w:lang w:val="es-ES_tradnl"/>
        </w:rPr>
      </w:pPr>
      <w:r w:rsidRPr="00E54248">
        <w:rPr>
          <w:rFonts w:ascii="Segoe UI" w:eastAsia="Calibri" w:hAnsi="Segoe UI" w:cs="Segoe UI"/>
          <w:b/>
          <w:lang w:val="es-ES_tradnl"/>
        </w:rPr>
        <w:t>Respuesta del Estado de Chile</w:t>
      </w:r>
      <w:r w:rsidRPr="00E54248">
        <w:rPr>
          <w:rFonts w:ascii="Segoe UI" w:eastAsia="Calibri" w:hAnsi="Segoe UI" w:cs="Segoe UI"/>
          <w:b/>
          <w:vertAlign w:val="superscript"/>
          <w:lang w:val="es-ES_tradnl"/>
        </w:rPr>
        <w:footnoteReference w:id="1"/>
      </w:r>
    </w:p>
    <w:p w14:paraId="2480093A" w14:textId="77777777" w:rsidR="001C50B0" w:rsidRPr="00E54248" w:rsidRDefault="001C50B0" w:rsidP="00E54248">
      <w:pPr>
        <w:spacing w:before="160" w:line="240" w:lineRule="auto"/>
        <w:jc w:val="center"/>
        <w:rPr>
          <w:rFonts w:ascii="Segoe UI" w:eastAsia="Calibri" w:hAnsi="Segoe UI" w:cs="Segoe UI"/>
          <w:b/>
          <w:lang w:val="es-ES_tradnl"/>
        </w:rPr>
      </w:pPr>
      <w:r w:rsidRPr="00E54248">
        <w:rPr>
          <w:rFonts w:ascii="Segoe UI" w:eastAsia="Calibri" w:hAnsi="Segoe UI" w:cs="Segoe UI"/>
          <w:b/>
          <w:lang w:val="es-ES_tradnl"/>
        </w:rPr>
        <w:t xml:space="preserve">Solicitud de contribuciones </w:t>
      </w:r>
      <w:r w:rsidR="00E54248" w:rsidRPr="00E54248">
        <w:rPr>
          <w:rFonts w:ascii="Segoe UI" w:eastAsia="Calibri" w:hAnsi="Segoe UI" w:cs="Segoe UI"/>
          <w:b/>
          <w:lang w:val="es-ES_tradnl"/>
        </w:rPr>
        <w:t>de la Relatora Especial sobre los Derechos Culturales</w:t>
      </w:r>
    </w:p>
    <w:p w14:paraId="5EEEB934" w14:textId="77777777" w:rsidR="00E54248" w:rsidRPr="00E54248" w:rsidRDefault="00E54248" w:rsidP="00E54248">
      <w:pPr>
        <w:spacing w:before="160" w:line="240" w:lineRule="auto"/>
        <w:jc w:val="both"/>
        <w:rPr>
          <w:rFonts w:ascii="Segoe UI" w:eastAsia="Calibri" w:hAnsi="Segoe UI" w:cs="Segoe UI"/>
          <w:b/>
          <w:bCs/>
        </w:rPr>
      </w:pPr>
    </w:p>
    <w:p w14:paraId="0743F682"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¿Cómo se define ciencia en su país teniendo en cuenta la definición adoptada por la Unesco? ¿cómo se entiende el concepto de diversidad científica?</w:t>
      </w:r>
    </w:p>
    <w:p w14:paraId="55547AF1"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No hay definiciones oficiales de ciencia en el país. La principal alusión al concepto de diversidad cien</w:t>
      </w:r>
      <w:r w:rsidR="00E54248" w:rsidRPr="00E54248">
        <w:rPr>
          <w:rFonts w:ascii="Segoe UI" w:hAnsi="Segoe UI" w:cs="Segoe UI"/>
        </w:rPr>
        <w:t>tífica puede encontrarse en la L</w:t>
      </w:r>
      <w:r w:rsidRPr="00E54248">
        <w:rPr>
          <w:rFonts w:ascii="Segoe UI" w:hAnsi="Segoe UI" w:cs="Segoe UI"/>
        </w:rPr>
        <w:t>ey 21.105</w:t>
      </w:r>
      <w:r w:rsidR="00E54248" w:rsidRPr="00E54248">
        <w:rPr>
          <w:rFonts w:ascii="Segoe UI" w:hAnsi="Segoe UI" w:cs="Segoe UI"/>
        </w:rPr>
        <w:t xml:space="preserve"> que crea el Ministerio de Ciencia, Tecnología, Conocimiento e Innovación (“MCTCI”)</w:t>
      </w:r>
      <w:r w:rsidRPr="00E54248">
        <w:rPr>
          <w:rFonts w:ascii="Segoe UI" w:hAnsi="Segoe UI" w:cs="Segoe UI"/>
        </w:rPr>
        <w:t>, en relación con las disciplinas del saber y los ámbitos de la innovación, tanto pública como privada</w:t>
      </w:r>
      <w:bookmarkStart w:id="0" w:name="_Ref153891976"/>
      <w:r w:rsidRPr="00E54248">
        <w:rPr>
          <w:rStyle w:val="FootnoteReference"/>
          <w:rFonts w:ascii="Segoe UI" w:hAnsi="Segoe UI" w:cs="Segoe UI"/>
        </w:rPr>
        <w:footnoteReference w:id="2"/>
      </w:r>
      <w:bookmarkEnd w:id="0"/>
      <w:r w:rsidRPr="00E54248">
        <w:rPr>
          <w:rFonts w:ascii="Segoe UI" w:hAnsi="Segoe UI" w:cs="Segoe UI"/>
        </w:rPr>
        <w:t>.</w:t>
      </w:r>
    </w:p>
    <w:p w14:paraId="2833E21E"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En su país ¿se considera a la ciencia como un bien público y/o como un bien común y qué implica o debería implicar esto, en particular en lo referente a prioridades de investigación científica, acceso a beneficios científicos y protección de la iniciativa científica contra daños e intrusiones por parte de otros intereses?</w:t>
      </w:r>
    </w:p>
    <w:p w14:paraId="69765B0F"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La Constitución vigente</w:t>
      </w:r>
      <w:bookmarkStart w:id="1" w:name="_Ref153892024"/>
      <w:r w:rsidR="00E54248" w:rsidRPr="00E54248">
        <w:rPr>
          <w:rStyle w:val="FootnoteReference"/>
          <w:rFonts w:ascii="Segoe UI" w:hAnsi="Segoe UI" w:cs="Segoe UI"/>
        </w:rPr>
        <w:footnoteReference w:id="3"/>
      </w:r>
      <w:bookmarkEnd w:id="1"/>
      <w:r w:rsidRPr="00E54248">
        <w:rPr>
          <w:rFonts w:ascii="Segoe UI" w:hAnsi="Segoe UI" w:cs="Segoe UI"/>
        </w:rPr>
        <w:t xml:space="preserve"> establece que “</w:t>
      </w:r>
      <w:r w:rsidRPr="00E54248">
        <w:rPr>
          <w:rFonts w:ascii="Segoe UI" w:hAnsi="Segoe UI" w:cs="Segoe UI"/>
          <w:i/>
        </w:rPr>
        <w:t>corresponderá al Estado, asimismo, fomentar el desarrollo de la educación en todos sus niveles; estimular la investigación científica y tecnológica, la creación artística y la protección e incremento del patrimonio cultural de la Nación</w:t>
      </w:r>
      <w:r w:rsidRPr="00E54248">
        <w:rPr>
          <w:rFonts w:ascii="Segoe UI" w:hAnsi="Segoe UI" w:cs="Segoe UI"/>
        </w:rPr>
        <w:t>” (art 19, n 10).</w:t>
      </w:r>
    </w:p>
    <w:p w14:paraId="43A276D2"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En su país ¿el derecho a beneficiarse del progreso científico incluye el derecho a ser protegido contra daños imprevistos?</w:t>
      </w:r>
    </w:p>
    <w:p w14:paraId="4AB5214B"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La principal definición relacionada con la protección contra daños está en el artículo 1 de la Constitución Política del Estado</w:t>
      </w:r>
      <w:r w:rsidR="00E54248" w:rsidRPr="00E54248">
        <w:rPr>
          <w:rStyle w:val="FootnoteReference"/>
          <w:rFonts w:ascii="Segoe UI" w:hAnsi="Segoe UI" w:cs="Segoe UI"/>
        </w:rPr>
        <w:footnoteReference w:id="4"/>
      </w:r>
      <w:r w:rsidRPr="00E54248">
        <w:rPr>
          <w:rFonts w:ascii="Segoe UI" w:hAnsi="Segoe UI" w:cs="Segoe UI"/>
        </w:rPr>
        <w:t xml:space="preserve"> sobre el derecho a la vida y a la integridad física</w:t>
      </w:r>
      <w:r w:rsidR="00E54248" w:rsidRPr="00E54248">
        <w:rPr>
          <w:rFonts w:ascii="Segoe UI" w:hAnsi="Segoe UI" w:cs="Segoe UI"/>
        </w:rPr>
        <w:t xml:space="preserve"> y psíquica de la persona: “</w:t>
      </w:r>
      <w:r w:rsidRPr="00E54248">
        <w:rPr>
          <w:rFonts w:ascii="Segoe UI" w:hAnsi="Segoe UI" w:cs="Segoe UI"/>
          <w:i/>
        </w:rPr>
        <w:t>El desarrollo científico y tecnológico estará al servicio de las personas y se llevará a cabo con respeto a la vida y a la integridad física y psíquica</w:t>
      </w:r>
      <w:r w:rsidR="00E54248" w:rsidRPr="00E54248">
        <w:rPr>
          <w:rFonts w:ascii="Segoe UI" w:hAnsi="Segoe UI" w:cs="Segoe UI"/>
        </w:rPr>
        <w:t>.</w:t>
      </w:r>
      <w:r w:rsidRPr="00E54248">
        <w:rPr>
          <w:rFonts w:ascii="Segoe UI" w:hAnsi="Segoe UI" w:cs="Segoe UI"/>
        </w:rPr>
        <w:t>”</w:t>
      </w:r>
    </w:p>
    <w:p w14:paraId="05C8CD70"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¿Cuáles son los principales obstáculos para garantizar el derecho a acceder a los conocimientos y beneficios científicos?</w:t>
      </w:r>
    </w:p>
    <w:p w14:paraId="037DEC1A"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lastRenderedPageBreak/>
        <w:t xml:space="preserve">En </w:t>
      </w:r>
      <w:r w:rsidR="00E54248" w:rsidRPr="00E54248">
        <w:rPr>
          <w:rFonts w:ascii="Segoe UI" w:hAnsi="Segoe UI" w:cs="Segoe UI"/>
        </w:rPr>
        <w:t>términos generales</w:t>
      </w:r>
      <w:r w:rsidRPr="00E54248">
        <w:rPr>
          <w:rFonts w:ascii="Segoe UI" w:hAnsi="Segoe UI" w:cs="Segoe UI"/>
        </w:rPr>
        <w:t>, se pueden identificar obstáculos de tipo estructural (por ejemplo, organización e interoperabilidad de la información científica que se genera), de tipo condiciones tecnológicas habilitantes (por ejemplo, acceso a tecnología y conectividad),</w:t>
      </w:r>
      <w:r w:rsidR="00E54248" w:rsidRPr="00E54248">
        <w:rPr>
          <w:rFonts w:ascii="Segoe UI" w:hAnsi="Segoe UI" w:cs="Segoe UI"/>
        </w:rPr>
        <w:t xml:space="preserve"> y</w:t>
      </w:r>
      <w:r w:rsidRPr="00E54248">
        <w:rPr>
          <w:rFonts w:ascii="Segoe UI" w:hAnsi="Segoe UI" w:cs="Segoe UI"/>
        </w:rPr>
        <w:t xml:space="preserve"> de tipo cultural (por ejemplo, información en formatos accesibles para diferentes perfiles de usuarios).</w:t>
      </w:r>
    </w:p>
    <w:p w14:paraId="10D74D95"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¿Cómo se respeta, protege y promueve la libertad científica en su país?</w:t>
      </w:r>
    </w:p>
    <w:p w14:paraId="2EC80015"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La Constitución vigente solo establece que “</w:t>
      </w:r>
      <w:r w:rsidRPr="00E54248">
        <w:rPr>
          <w:rFonts w:ascii="Segoe UI" w:hAnsi="Segoe UI" w:cs="Segoe UI"/>
          <w:i/>
        </w:rPr>
        <w:t>corresponderá al Estado, asimismo, fomentar el desarrollo de la educación en todos sus niveles; estimular la investigación científica y tecnológica, la creación artística y la protección e incremento del patrimonio cultural de la Nación”</w:t>
      </w:r>
      <w:r w:rsidRPr="00E54248">
        <w:rPr>
          <w:rFonts w:ascii="Segoe UI" w:hAnsi="Segoe UI" w:cs="Segoe UI"/>
        </w:rPr>
        <w:t xml:space="preserve"> (art 19).</w:t>
      </w:r>
      <w:r w:rsidR="00E54248" w:rsidRPr="00E54248">
        <w:rPr>
          <w:rStyle w:val="FootnoteReference"/>
          <w:rFonts w:ascii="Segoe UI" w:hAnsi="Segoe UI" w:cs="Segoe UI"/>
        </w:rPr>
        <w:footnoteReference w:id="5"/>
      </w:r>
      <w:r w:rsidR="00E54248">
        <w:rPr>
          <w:rFonts w:ascii="Segoe UI" w:hAnsi="Segoe UI" w:cs="Segoe UI"/>
        </w:rPr>
        <w:t xml:space="preserve"> </w:t>
      </w:r>
      <w:r w:rsidR="00E54248" w:rsidRPr="00E54248">
        <w:rPr>
          <w:rFonts w:ascii="Segoe UI" w:hAnsi="Segoe UI" w:cs="Segoe UI"/>
        </w:rPr>
        <w:t>Por su parte, l</w:t>
      </w:r>
      <w:r w:rsidRPr="00E54248">
        <w:rPr>
          <w:rFonts w:ascii="Segoe UI" w:hAnsi="Segoe UI" w:cs="Segoe UI"/>
        </w:rPr>
        <w:t>a Ley 21.105 (art 4, letra l)</w:t>
      </w:r>
      <w:r w:rsidR="00E54248" w:rsidRPr="00E54248">
        <w:rPr>
          <w:rStyle w:val="FootnoteReference"/>
          <w:rFonts w:ascii="Segoe UI" w:hAnsi="Segoe UI" w:cs="Segoe UI"/>
        </w:rPr>
        <w:footnoteReference w:id="6"/>
      </w:r>
      <w:r w:rsidRPr="00E54248">
        <w:rPr>
          <w:rFonts w:ascii="Segoe UI" w:hAnsi="Segoe UI" w:cs="Segoe UI"/>
        </w:rPr>
        <w:t xml:space="preserve"> establece como una de las funciones del </w:t>
      </w:r>
      <w:r w:rsidR="008B2CDA">
        <w:rPr>
          <w:rFonts w:ascii="Segoe UI" w:hAnsi="Segoe UI" w:cs="Segoe UI"/>
        </w:rPr>
        <w:t>MCTCI</w:t>
      </w:r>
      <w:r w:rsidRPr="00E54248">
        <w:rPr>
          <w:rFonts w:ascii="Segoe UI" w:hAnsi="Segoe UI" w:cs="Segoe UI"/>
        </w:rPr>
        <w:t>: “</w:t>
      </w:r>
      <w:r w:rsidRPr="00E54248">
        <w:rPr>
          <w:rFonts w:ascii="Segoe UI" w:hAnsi="Segoe UI" w:cs="Segoe UI"/>
          <w:i/>
        </w:rPr>
        <w:t>velar por la protección y conservación del patrimonio científico y tecnológico nacional</w:t>
      </w:r>
      <w:r w:rsidRPr="00E54248">
        <w:rPr>
          <w:rFonts w:ascii="Segoe UI" w:hAnsi="Segoe UI" w:cs="Segoe UI"/>
        </w:rPr>
        <w:t>.”</w:t>
      </w:r>
    </w:p>
    <w:p w14:paraId="2D392536"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Facilite información sobre</w:t>
      </w:r>
    </w:p>
    <w:p w14:paraId="045546A9" w14:textId="77777777" w:rsidR="00E54248" w:rsidRPr="00E54248" w:rsidRDefault="002D06DE" w:rsidP="00E54248">
      <w:pPr>
        <w:pStyle w:val="ListParagraph"/>
        <w:numPr>
          <w:ilvl w:val="0"/>
          <w:numId w:val="3"/>
        </w:numPr>
        <w:spacing w:before="160" w:line="240" w:lineRule="auto"/>
        <w:ind w:left="1077" w:hanging="357"/>
        <w:contextualSpacing w:val="0"/>
        <w:jc w:val="both"/>
        <w:rPr>
          <w:rFonts w:ascii="Segoe UI" w:hAnsi="Segoe UI" w:cs="Segoe UI"/>
        </w:rPr>
      </w:pPr>
      <w:r w:rsidRPr="00E54248">
        <w:rPr>
          <w:rFonts w:ascii="Segoe UI" w:hAnsi="Segoe UI" w:cs="Segoe UI"/>
          <w:b/>
        </w:rPr>
        <w:t>Educación científica para todos</w:t>
      </w:r>
      <w:r w:rsidRPr="00E54248">
        <w:rPr>
          <w:rFonts w:ascii="Segoe UI" w:hAnsi="Segoe UI" w:cs="Segoe UI"/>
        </w:rPr>
        <w:t xml:space="preserve">: </w:t>
      </w:r>
    </w:p>
    <w:p w14:paraId="56848428" w14:textId="77777777" w:rsidR="002D06DE" w:rsidRPr="00E54248" w:rsidRDefault="00E54248" w:rsidP="00E54248">
      <w:pPr>
        <w:spacing w:before="160" w:line="240" w:lineRule="auto"/>
        <w:jc w:val="both"/>
        <w:rPr>
          <w:rFonts w:ascii="Segoe UI" w:hAnsi="Segoe UI" w:cs="Segoe UI"/>
        </w:rPr>
      </w:pPr>
      <w:r w:rsidRPr="00E54248">
        <w:rPr>
          <w:rFonts w:ascii="Segoe UI" w:hAnsi="Segoe UI" w:cs="Segoe UI"/>
        </w:rPr>
        <w:t>L</w:t>
      </w:r>
      <w:r w:rsidR="002D06DE" w:rsidRPr="00E54248">
        <w:rPr>
          <w:rFonts w:ascii="Segoe UI" w:hAnsi="Segoe UI" w:cs="Segoe UI"/>
        </w:rPr>
        <w:t>a Constitución vigente solo hace referencia a libertad de educación en general</w:t>
      </w:r>
      <w:r w:rsidRPr="00E54248">
        <w:rPr>
          <w:rFonts w:ascii="Segoe UI" w:hAnsi="Segoe UI" w:cs="Segoe UI"/>
        </w:rPr>
        <w:t xml:space="preserve"> (artículo 19 N°11)</w:t>
      </w:r>
      <w:r w:rsidR="002D06DE" w:rsidRPr="00E54248">
        <w:rPr>
          <w:rFonts w:ascii="Segoe UI" w:hAnsi="Segoe UI" w:cs="Segoe UI"/>
        </w:rPr>
        <w:t>.</w:t>
      </w:r>
      <w:r w:rsidRPr="00E54248">
        <w:rPr>
          <w:rStyle w:val="FootnoteReference"/>
          <w:rFonts w:ascii="Segoe UI" w:hAnsi="Segoe UI" w:cs="Segoe UI"/>
        </w:rPr>
        <w:footnoteReference w:id="7"/>
      </w:r>
      <w:r w:rsidR="002D06DE" w:rsidRPr="00E54248">
        <w:rPr>
          <w:rFonts w:ascii="Segoe UI" w:hAnsi="Segoe UI" w:cs="Segoe UI"/>
        </w:rPr>
        <w:t xml:space="preserve"> Hay programas ministeriales que buscan acercar los avances de la ciencia a las comunidades educativas y ciudadanía en general.</w:t>
      </w:r>
    </w:p>
    <w:p w14:paraId="7B9A54A8" w14:textId="77777777" w:rsidR="00E54248" w:rsidRPr="00E54248" w:rsidRDefault="002D06DE" w:rsidP="00E54248">
      <w:pPr>
        <w:pStyle w:val="ListParagraph"/>
        <w:numPr>
          <w:ilvl w:val="0"/>
          <w:numId w:val="3"/>
        </w:numPr>
        <w:spacing w:before="160" w:line="240" w:lineRule="auto"/>
        <w:contextualSpacing w:val="0"/>
        <w:jc w:val="both"/>
        <w:rPr>
          <w:rFonts w:ascii="Segoe UI" w:hAnsi="Segoe UI" w:cs="Segoe UI"/>
          <w:b/>
        </w:rPr>
      </w:pPr>
      <w:r w:rsidRPr="00E54248">
        <w:rPr>
          <w:rFonts w:ascii="Segoe UI" w:hAnsi="Segoe UI" w:cs="Segoe UI"/>
          <w:b/>
        </w:rPr>
        <w:t>Desarrollo y difusión de información científica</w:t>
      </w:r>
      <w:r w:rsidR="00E54248" w:rsidRPr="00E54248">
        <w:rPr>
          <w:rFonts w:ascii="Segoe UI" w:hAnsi="Segoe UI" w:cs="Segoe UI"/>
          <w:b/>
        </w:rPr>
        <w:t xml:space="preserve"> precisa y al alcance de todos:</w:t>
      </w:r>
    </w:p>
    <w:p w14:paraId="6AAEA551"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 xml:space="preserve">La Ley 21.105 (art 4, letra h) establece como una de las funciones del </w:t>
      </w:r>
      <w:r w:rsidR="008B2CDA">
        <w:rPr>
          <w:rFonts w:ascii="Segoe UI" w:hAnsi="Segoe UI" w:cs="Segoe UI"/>
        </w:rPr>
        <w:t>MCTCI</w:t>
      </w:r>
      <w:r w:rsidRPr="00E54248">
        <w:rPr>
          <w:rFonts w:ascii="Segoe UI" w:hAnsi="Segoe UI" w:cs="Segoe UI"/>
        </w:rPr>
        <w:t xml:space="preserve"> “</w:t>
      </w:r>
      <w:r w:rsidRPr="00E54248">
        <w:rPr>
          <w:rFonts w:ascii="Segoe UI" w:hAnsi="Segoe UI" w:cs="Segoe UI"/>
          <w:i/>
        </w:rPr>
        <w:t>contribuir a la formación de una cultura científica y a la comprensión, valoración y difusión de la ciencia, investigación, tecnología e innovación en el país, en todos los ámbitos, promoviendo especialmente su incorporación en el sistema escolar, para lo cual deberá coordinarse con el Ministerio de Educación. En el ejercicio de esta función pondrá especial énfasis en la equidad de género</w:t>
      </w:r>
      <w:r w:rsidRPr="00E54248">
        <w:rPr>
          <w:rFonts w:ascii="Segoe UI" w:hAnsi="Segoe UI" w:cs="Segoe UI"/>
        </w:rPr>
        <w:t>.”</w:t>
      </w:r>
      <w:r w:rsidR="00E54248" w:rsidRPr="00E54248">
        <w:rPr>
          <w:rStyle w:val="FootnoteReference"/>
          <w:rFonts w:ascii="Segoe UI" w:hAnsi="Segoe UI" w:cs="Segoe UI"/>
        </w:rPr>
        <w:footnoteReference w:id="8"/>
      </w:r>
    </w:p>
    <w:p w14:paraId="7BDF3C5D" w14:textId="77777777" w:rsidR="00E54248" w:rsidRPr="00E54248" w:rsidRDefault="002D06DE" w:rsidP="00E54248">
      <w:pPr>
        <w:pStyle w:val="ListParagraph"/>
        <w:numPr>
          <w:ilvl w:val="0"/>
          <w:numId w:val="3"/>
        </w:numPr>
        <w:spacing w:before="160" w:line="240" w:lineRule="auto"/>
        <w:ind w:left="1077" w:hanging="357"/>
        <w:contextualSpacing w:val="0"/>
        <w:jc w:val="both"/>
        <w:rPr>
          <w:rFonts w:ascii="Segoe UI" w:hAnsi="Segoe UI" w:cs="Segoe UI"/>
          <w:b/>
        </w:rPr>
      </w:pPr>
      <w:r w:rsidRPr="00E54248">
        <w:rPr>
          <w:rFonts w:ascii="Segoe UI" w:hAnsi="Segoe UI" w:cs="Segoe UI"/>
          <w:b/>
        </w:rPr>
        <w:t xml:space="preserve">Protección y promoción de periodistas científicos: </w:t>
      </w:r>
    </w:p>
    <w:p w14:paraId="3E1BC188" w14:textId="77777777" w:rsidR="002D06DE" w:rsidRPr="00E54248" w:rsidRDefault="00E54248" w:rsidP="00E54248">
      <w:pPr>
        <w:spacing w:before="160" w:line="240" w:lineRule="auto"/>
        <w:jc w:val="both"/>
        <w:rPr>
          <w:rFonts w:ascii="Segoe UI" w:hAnsi="Segoe UI" w:cs="Segoe UI"/>
        </w:rPr>
      </w:pPr>
      <w:r w:rsidRPr="00E54248">
        <w:rPr>
          <w:rFonts w:ascii="Segoe UI" w:hAnsi="Segoe UI" w:cs="Segoe UI"/>
        </w:rPr>
        <w:t>No se cuenta con información</w:t>
      </w:r>
      <w:r w:rsidR="002D06DE" w:rsidRPr="00E54248">
        <w:rPr>
          <w:rFonts w:ascii="Segoe UI" w:hAnsi="Segoe UI" w:cs="Segoe UI"/>
        </w:rPr>
        <w:t>.</w:t>
      </w:r>
    </w:p>
    <w:p w14:paraId="49DC6116"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¿Cómo se implementa el principio de esforzarse por adaptar sus políticas a las mejores pruebas científicas disponibles? ¿Cómo se implementa en caso de disenso científico?</w:t>
      </w:r>
    </w:p>
    <w:p w14:paraId="26856B4D"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 xml:space="preserve">La Ley 21.105 mandata a </w:t>
      </w:r>
      <w:r w:rsidR="00E54248">
        <w:rPr>
          <w:rFonts w:ascii="Segoe UI" w:hAnsi="Segoe UI" w:cs="Segoe UI"/>
        </w:rPr>
        <w:t>MCTCI</w:t>
      </w:r>
      <w:r w:rsidRPr="00E54248">
        <w:rPr>
          <w:rFonts w:ascii="Segoe UI" w:hAnsi="Segoe UI" w:cs="Segoe UI"/>
        </w:rPr>
        <w:t xml:space="preserve"> a promover “</w:t>
      </w:r>
      <w:r w:rsidRPr="00E54248">
        <w:rPr>
          <w:rFonts w:ascii="Segoe UI" w:hAnsi="Segoe UI" w:cs="Segoe UI"/>
          <w:i/>
        </w:rPr>
        <w:t xml:space="preserve">que el conocimiento y la innovación de base científico-tecnológica enriquezcan los procesos de formulación e implementación de políticas públicas, fomentando la coordinación y colaboración interministerial e </w:t>
      </w:r>
      <w:r w:rsidRPr="00E54248">
        <w:rPr>
          <w:rFonts w:ascii="Segoe UI" w:hAnsi="Segoe UI" w:cs="Segoe UI"/>
          <w:i/>
        </w:rPr>
        <w:lastRenderedPageBreak/>
        <w:t>interregional, el desarrollo de iniciativas conjuntas dentro del sector público y la cooperación público-privada</w:t>
      </w:r>
      <w:r w:rsidRPr="00E54248">
        <w:rPr>
          <w:rFonts w:ascii="Segoe UI" w:hAnsi="Segoe UI" w:cs="Segoe UI"/>
        </w:rPr>
        <w:t>” (art 3).</w:t>
      </w:r>
      <w:r w:rsidR="00E54248" w:rsidRPr="00E54248">
        <w:rPr>
          <w:rStyle w:val="FootnoteReference"/>
          <w:rFonts w:ascii="Segoe UI" w:hAnsi="Segoe UI" w:cs="Segoe UI"/>
        </w:rPr>
        <w:footnoteReference w:id="9"/>
      </w:r>
      <w:r w:rsidRPr="00E54248">
        <w:rPr>
          <w:rFonts w:ascii="Segoe UI" w:hAnsi="Segoe UI" w:cs="Segoe UI"/>
        </w:rPr>
        <w:t xml:space="preserve"> </w:t>
      </w:r>
    </w:p>
    <w:p w14:paraId="218624C2"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La implementación de este principio se realiza por diversos mecanismos</w:t>
      </w:r>
      <w:r w:rsidR="00E54248">
        <w:rPr>
          <w:rFonts w:ascii="Segoe UI" w:hAnsi="Segoe UI" w:cs="Segoe UI"/>
        </w:rPr>
        <w:t xml:space="preserve">. Entre ellos, </w:t>
      </w:r>
      <w:r w:rsidRPr="00E54248">
        <w:rPr>
          <w:rFonts w:ascii="Segoe UI" w:hAnsi="Segoe UI" w:cs="Segoe UI"/>
        </w:rPr>
        <w:t>se cuentan sistema de acceso a información de ciencia y tecnología, procesos de asignación concursales, evaluación y revisión de información validada por pares, así como mesas de expertos de diferente naturaleza. Dado que se trata de insumos para la elaboración de políticas, el disenso es declarado.</w:t>
      </w:r>
    </w:p>
    <w:p w14:paraId="323CF8AD"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¿Qué tipo de plataformas de interfaz ciencia-política se han establecido en su país para garantizar el aporte de información científica a los procesos de toma de decisiones? ¿Cuáles son los retos y elementos necesarios para la eficacia de dichas interfaces? ¿Cómo se establece la agenda y quién participa en estas instituciones?</w:t>
      </w:r>
    </w:p>
    <w:p w14:paraId="681CC249" w14:textId="77777777" w:rsidR="00E54248" w:rsidRPr="00E54248" w:rsidRDefault="002D06DE" w:rsidP="00E54248">
      <w:pPr>
        <w:spacing w:before="160" w:line="240" w:lineRule="auto"/>
        <w:jc w:val="both"/>
        <w:rPr>
          <w:rFonts w:ascii="Segoe UI" w:hAnsi="Segoe UI" w:cs="Segoe UI"/>
        </w:rPr>
      </w:pPr>
      <w:r w:rsidRPr="00E54248">
        <w:rPr>
          <w:rFonts w:ascii="Segoe UI" w:hAnsi="Segoe UI" w:cs="Segoe UI"/>
        </w:rPr>
        <w:t xml:space="preserve">Se está en proceso de diseño de una plataforma centralizada de datos sobre el sistema CTI, desde el cual servir distintos productos como análisis o </w:t>
      </w:r>
      <w:r w:rsidRPr="00E54248">
        <w:rPr>
          <w:rFonts w:ascii="Segoe UI" w:hAnsi="Segoe UI" w:cs="Segoe UI"/>
          <w:i/>
        </w:rPr>
        <w:t>dashboards</w:t>
      </w:r>
      <w:r w:rsidRPr="00E54248">
        <w:rPr>
          <w:rFonts w:ascii="Segoe UI" w:hAnsi="Segoe UI" w:cs="Segoe UI"/>
        </w:rPr>
        <w:t xml:space="preserve"> para orientar la toma de decisiones.</w:t>
      </w:r>
      <w:r w:rsidR="00E54248" w:rsidRPr="00E54248">
        <w:rPr>
          <w:rFonts w:ascii="Segoe UI" w:hAnsi="Segoe UI" w:cs="Segoe UI"/>
        </w:rPr>
        <w:t xml:space="preserve"> </w:t>
      </w:r>
    </w:p>
    <w:p w14:paraId="325668A0"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Los principales desafíos de estas plataformas</w:t>
      </w:r>
      <w:r w:rsidR="00E54248" w:rsidRPr="00E54248">
        <w:rPr>
          <w:rFonts w:ascii="Segoe UI" w:hAnsi="Segoe UI" w:cs="Segoe UI"/>
        </w:rPr>
        <w:t xml:space="preserve"> son</w:t>
      </w:r>
      <w:r w:rsidRPr="00E54248">
        <w:rPr>
          <w:rFonts w:ascii="Segoe UI" w:hAnsi="Segoe UI" w:cs="Segoe UI"/>
        </w:rPr>
        <w:t xml:space="preserve">: 1) </w:t>
      </w:r>
      <w:r w:rsidR="00E54248" w:rsidRPr="00E54248">
        <w:rPr>
          <w:rFonts w:ascii="Segoe UI" w:hAnsi="Segoe UI" w:cs="Segoe UI"/>
        </w:rPr>
        <w:t xml:space="preserve">liderazgo y compromiso de las autoridades para con el tema, 2) capacitación constante, 3) reorganización </w:t>
      </w:r>
      <w:r w:rsidRPr="00E54248">
        <w:rPr>
          <w:rFonts w:ascii="Segoe UI" w:hAnsi="Segoe UI" w:cs="Segoe UI"/>
        </w:rPr>
        <w:t>y/o creación de funciones especializadas en estas materias dentro de los equipos.</w:t>
      </w:r>
    </w:p>
    <w:p w14:paraId="37F89080"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¿Cómo se entiende el derecho a las personas participar en el progreso científico y en las decisiones relativas a su orientación y cómo se aplica? ¿Cuáles son los retos? ¿Cómo se aborda la falta de representatividad y desigualdades de participación?</w:t>
      </w:r>
    </w:p>
    <w:p w14:paraId="55CC5830"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En lo relacionado con la implementación del Acuerdo de</w:t>
      </w:r>
      <w:r w:rsidR="00E54248" w:rsidRPr="00E54248">
        <w:rPr>
          <w:rFonts w:ascii="Segoe UI" w:hAnsi="Segoe UI" w:cs="Segoe UI"/>
        </w:rPr>
        <w:t xml:space="preserve"> Escazú, actualmente en proceso</w:t>
      </w:r>
      <w:r w:rsidRPr="00E54248">
        <w:rPr>
          <w:rFonts w:ascii="Segoe UI" w:hAnsi="Segoe UI" w:cs="Segoe UI"/>
        </w:rPr>
        <w:t xml:space="preserve">, </w:t>
      </w:r>
      <w:r w:rsidR="00E54248" w:rsidRPr="00E54248">
        <w:rPr>
          <w:rFonts w:ascii="Segoe UI" w:hAnsi="Segoe UI" w:cs="Segoe UI"/>
        </w:rPr>
        <w:t>el</w:t>
      </w:r>
      <w:r w:rsidRPr="00E54248">
        <w:rPr>
          <w:rFonts w:ascii="Segoe UI" w:hAnsi="Segoe UI" w:cs="Segoe UI"/>
        </w:rPr>
        <w:t xml:space="preserve"> </w:t>
      </w:r>
      <w:r w:rsidR="00E54248" w:rsidRPr="00E54248">
        <w:rPr>
          <w:rFonts w:ascii="Segoe UI" w:hAnsi="Segoe UI" w:cs="Segoe UI"/>
        </w:rPr>
        <w:t>MCTCI</w:t>
      </w:r>
      <w:r w:rsidRPr="00E54248">
        <w:rPr>
          <w:rFonts w:ascii="Segoe UI" w:hAnsi="Segoe UI" w:cs="Segoe UI"/>
        </w:rPr>
        <w:t xml:space="preserve"> avanza en un sistema de acceso a información de ciencia y tecnología para toma de decisiones, así como en el fortalecimiento de su Unidad de Participación Ciudadana.</w:t>
      </w:r>
    </w:p>
    <w:p w14:paraId="1B60138A"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¿Cómo se entiende ciencia ciudadana en su país? ¿Se considera importante u qué medidas se han puesto en marcha para apoyarla, especialmente en lo que se refiere a acceso a información y datos, participación en la toma de decisiones?</w:t>
      </w:r>
    </w:p>
    <w:p w14:paraId="4FDA5067"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E</w:t>
      </w:r>
      <w:r w:rsidR="00E54248" w:rsidRPr="00E54248">
        <w:rPr>
          <w:rFonts w:ascii="Segoe UI" w:hAnsi="Segoe UI" w:cs="Segoe UI"/>
        </w:rPr>
        <w:t>l MCTCI</w:t>
      </w:r>
      <w:r w:rsidRPr="00E54248">
        <w:rPr>
          <w:rFonts w:ascii="Segoe UI" w:hAnsi="Segoe UI" w:cs="Segoe UI"/>
        </w:rPr>
        <w:t xml:space="preserve"> tiene un Programa de Ciencia Pública que apunta a promover la socialización del conocimiento -fuera del ámbito escolar- a través de la articulación de actores e instituciones, del desarrollo de experiencias memorables y del trabajo con comunidades, contribuyendo a la apropiación social de la Ciencia, Tecnología, Conocimiento e Innovación (</w:t>
      </w:r>
      <w:r w:rsidR="008B2CDA">
        <w:rPr>
          <w:rFonts w:ascii="Segoe UI" w:hAnsi="Segoe UI" w:cs="Segoe UI"/>
        </w:rPr>
        <w:t>“</w:t>
      </w:r>
      <w:r w:rsidRPr="00E54248">
        <w:rPr>
          <w:rFonts w:ascii="Segoe UI" w:hAnsi="Segoe UI" w:cs="Segoe UI"/>
        </w:rPr>
        <w:t>CTCI</w:t>
      </w:r>
      <w:r w:rsidR="008B2CDA">
        <w:rPr>
          <w:rFonts w:ascii="Segoe UI" w:hAnsi="Segoe UI" w:cs="Segoe UI"/>
        </w:rPr>
        <w:t>”</w:t>
      </w:r>
      <w:r w:rsidRPr="00E54248">
        <w:rPr>
          <w:rFonts w:ascii="Segoe UI" w:hAnsi="Segoe UI" w:cs="Segoe UI"/>
        </w:rPr>
        <w:t>). Busca llegar a todos los habitantes del país y a sus comunidades. También apunta a los otros integrantes del ecosistema de la divulgación del conocimiento, como divulgadores, comunicadores de la ciencia, centros de investigación, instituciones de educación superior y empresas.</w:t>
      </w:r>
    </w:p>
    <w:p w14:paraId="054B4CE6" w14:textId="77777777" w:rsidR="002D06DE" w:rsidRPr="00E54248" w:rsidRDefault="002D06DE" w:rsidP="00E54248">
      <w:pPr>
        <w:pStyle w:val="ListParagraph"/>
        <w:spacing w:before="160" w:line="240" w:lineRule="auto"/>
        <w:contextualSpacing w:val="0"/>
        <w:jc w:val="both"/>
        <w:rPr>
          <w:rFonts w:ascii="Segoe UI" w:hAnsi="Segoe UI" w:cs="Segoe UI"/>
        </w:rPr>
      </w:pPr>
    </w:p>
    <w:p w14:paraId="34D1BFFD"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¿En qué medida se reconocen, apoyan e incluyen las ciencias indígenas y las ciencias alternativas en la toma de decisiones políticas? ¿Cómo se garantiza la conversación entre la ciencia y otros tipos de conocimiento?</w:t>
      </w:r>
    </w:p>
    <w:p w14:paraId="6DBF1BBB"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 xml:space="preserve">En el contexto del fortalecimiento de la Unidad de Participación del </w:t>
      </w:r>
      <w:r w:rsidR="00E54248" w:rsidRPr="00E54248">
        <w:rPr>
          <w:rFonts w:ascii="Segoe UI" w:hAnsi="Segoe UI" w:cs="Segoe UI"/>
        </w:rPr>
        <w:t>MCTCI</w:t>
      </w:r>
      <w:r w:rsidRPr="00E54248">
        <w:rPr>
          <w:rFonts w:ascii="Segoe UI" w:hAnsi="Segoe UI" w:cs="Segoe UI"/>
        </w:rPr>
        <w:t>, se planifica abrir progresivamente espacios para el conocimiento ancestral.</w:t>
      </w:r>
    </w:p>
    <w:p w14:paraId="5797D86E" w14:textId="77777777" w:rsidR="002D06DE" w:rsidRPr="00E54248" w:rsidRDefault="002D06DE" w:rsidP="00E54248">
      <w:pPr>
        <w:pStyle w:val="ListParagraph"/>
        <w:numPr>
          <w:ilvl w:val="0"/>
          <w:numId w:val="2"/>
        </w:numPr>
        <w:spacing w:before="160" w:line="240" w:lineRule="auto"/>
        <w:contextualSpacing w:val="0"/>
        <w:jc w:val="both"/>
        <w:rPr>
          <w:rFonts w:ascii="Segoe UI" w:hAnsi="Segoe UI" w:cs="Segoe UI"/>
          <w:b/>
        </w:rPr>
      </w:pPr>
      <w:r w:rsidRPr="00E54248">
        <w:rPr>
          <w:rFonts w:ascii="Segoe UI" w:hAnsi="Segoe UI" w:cs="Segoe UI"/>
          <w:b/>
        </w:rPr>
        <w:t>¿Cuáles son los límites del derecho de toda persona a participar del progreso científico y en las decisiones relativas a su orientación y con qué fines? Facilite ejemplos.</w:t>
      </w:r>
    </w:p>
    <w:p w14:paraId="7756EBC5"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El derecho a participar del progreso científ</w:t>
      </w:r>
      <w:r w:rsidR="008B2CDA">
        <w:rPr>
          <w:rFonts w:ascii="Segoe UI" w:hAnsi="Segoe UI" w:cs="Segoe UI"/>
        </w:rPr>
        <w:t>ico no se encuentra consagrado </w:t>
      </w:r>
      <w:r w:rsidRPr="00E54248">
        <w:rPr>
          <w:rFonts w:ascii="Segoe UI" w:hAnsi="Segoe UI" w:cs="Segoe UI"/>
        </w:rPr>
        <w:t xml:space="preserve">constitucionalmente, por lo que no existe mandato para el legislador de considerarlo al regular materias relacionadas con ciencia y tecnología. </w:t>
      </w:r>
    </w:p>
    <w:p w14:paraId="5C9FCF6A"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Lo que sí se establece en la Constitución vigente es que “(…) E</w:t>
      </w:r>
      <w:r w:rsidRPr="00E54248">
        <w:rPr>
          <w:rStyle w:val="cf01"/>
          <w:color w:val="auto"/>
          <w:sz w:val="22"/>
          <w:szCs w:val="22"/>
        </w:rPr>
        <w:t>l desarrollo científico y tecnológico estará al servicio de las personas y se llevará a cabo con respeto a la vida y a la integridad física y psíquica. La ley regulará los requisitos, condiciones y restricciones para su utilización en las personas, debiendo resguardar especialmente la actividad cerebral, así como la información proveniente de ella…” (art 19, n 1)</w:t>
      </w:r>
      <w:r w:rsidR="00E54248">
        <w:rPr>
          <w:rStyle w:val="FootnoteReference"/>
          <w:rFonts w:ascii="Segoe UI" w:hAnsi="Segoe UI" w:cs="Segoe UI"/>
          <w:i/>
          <w:iCs/>
          <w:shd w:val="clear" w:color="auto" w:fill="FFFFFF"/>
        </w:rPr>
        <w:footnoteReference w:id="10"/>
      </w:r>
    </w:p>
    <w:p w14:paraId="5EE17973"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Hay programas ministeriales de participación ciudadana que abren espacios de discusión sobre orientaciones de políticas.</w:t>
      </w:r>
    </w:p>
    <w:p w14:paraId="0AFD2598" w14:textId="77777777" w:rsidR="002D06DE" w:rsidRPr="00E54248" w:rsidRDefault="002D06DE" w:rsidP="00E54248">
      <w:pPr>
        <w:spacing w:before="160" w:line="240" w:lineRule="auto"/>
        <w:jc w:val="both"/>
        <w:rPr>
          <w:rFonts w:ascii="Segoe UI" w:hAnsi="Segoe UI" w:cs="Segoe UI"/>
        </w:rPr>
      </w:pPr>
      <w:r w:rsidRPr="00E54248">
        <w:rPr>
          <w:rFonts w:ascii="Segoe UI" w:hAnsi="Segoe UI" w:cs="Segoe UI"/>
        </w:rPr>
        <w:t>Asimismo, hay avances, en materia de protección de las personas que intervienen como sujetos pasivos en la investigación científica. Por ejemplo, en la Ley N°20.584, s</w:t>
      </w:r>
      <w:r w:rsidR="008B2CDA">
        <w:rPr>
          <w:rFonts w:ascii="Segoe UI" w:hAnsi="Segoe UI" w:cs="Segoe UI"/>
        </w:rPr>
        <w:t>obre Derechos y Deberes de los P</w:t>
      </w:r>
      <w:r w:rsidRPr="00E54248">
        <w:rPr>
          <w:rFonts w:ascii="Segoe UI" w:hAnsi="Segoe UI" w:cs="Segoe UI"/>
        </w:rPr>
        <w:t>acientes,</w:t>
      </w:r>
      <w:r w:rsidR="00E54248">
        <w:rPr>
          <w:rStyle w:val="FootnoteReference"/>
          <w:rFonts w:ascii="Segoe UI" w:hAnsi="Segoe UI" w:cs="Segoe UI"/>
        </w:rPr>
        <w:footnoteReference w:id="11"/>
      </w:r>
      <w:r w:rsidRPr="00E54248">
        <w:rPr>
          <w:rFonts w:ascii="Segoe UI" w:hAnsi="Segoe UI" w:cs="Segoe UI"/>
        </w:rPr>
        <w:t xml:space="preserve"> con el objetivo de resguardar el carácter voluntario de su participación y el consentimiento informado. Dentro de los límites podría considerarse la disponibilidad de recursos económicos y el sistema de patentes, en particular, en la industria farmacéutica.</w:t>
      </w:r>
    </w:p>
    <w:p w14:paraId="5C3F7191" w14:textId="77777777" w:rsidR="00330B3E" w:rsidRPr="00E54248" w:rsidRDefault="00330B3E" w:rsidP="00E54248">
      <w:pPr>
        <w:spacing w:before="160" w:line="240" w:lineRule="auto"/>
        <w:jc w:val="both"/>
        <w:rPr>
          <w:rFonts w:ascii="Segoe UI" w:hAnsi="Segoe UI" w:cs="Segoe UI"/>
          <w:b/>
          <w:u w:val="single"/>
        </w:rPr>
      </w:pPr>
    </w:p>
    <w:sectPr w:rsidR="00330B3E" w:rsidRPr="00E5424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67C43" w14:textId="77777777" w:rsidR="00EF299E" w:rsidRDefault="00EF299E" w:rsidP="001C50B0">
      <w:pPr>
        <w:spacing w:after="0" w:line="240" w:lineRule="auto"/>
      </w:pPr>
      <w:r>
        <w:separator/>
      </w:r>
    </w:p>
  </w:endnote>
  <w:endnote w:type="continuationSeparator" w:id="0">
    <w:p w14:paraId="03C9E698" w14:textId="77777777" w:rsidR="00EF299E" w:rsidRDefault="00EF299E" w:rsidP="001C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18"/>
        <w:szCs w:val="18"/>
      </w:rPr>
      <w:id w:val="-1853863270"/>
      <w:docPartObj>
        <w:docPartGallery w:val="Page Numbers (Bottom of Page)"/>
        <w:docPartUnique/>
      </w:docPartObj>
    </w:sdtPr>
    <w:sdtEndPr/>
    <w:sdtContent>
      <w:p w14:paraId="2DF6DD4A" w14:textId="77777777" w:rsidR="004711BC" w:rsidRPr="004711BC" w:rsidRDefault="004711BC">
        <w:pPr>
          <w:pStyle w:val="Footer"/>
          <w:jc w:val="center"/>
          <w:rPr>
            <w:rFonts w:ascii="Segoe UI" w:hAnsi="Segoe UI" w:cs="Segoe UI"/>
            <w:sz w:val="18"/>
            <w:szCs w:val="18"/>
          </w:rPr>
        </w:pPr>
        <w:r w:rsidRPr="004711BC">
          <w:rPr>
            <w:rFonts w:ascii="Segoe UI" w:hAnsi="Segoe UI" w:cs="Segoe UI"/>
            <w:sz w:val="18"/>
            <w:szCs w:val="18"/>
          </w:rPr>
          <w:fldChar w:fldCharType="begin"/>
        </w:r>
        <w:r w:rsidRPr="004711BC">
          <w:rPr>
            <w:rFonts w:ascii="Segoe UI" w:hAnsi="Segoe UI" w:cs="Segoe UI"/>
            <w:sz w:val="18"/>
            <w:szCs w:val="18"/>
          </w:rPr>
          <w:instrText>PAGE   \* MERGEFORMAT</w:instrText>
        </w:r>
        <w:r w:rsidRPr="004711BC">
          <w:rPr>
            <w:rFonts w:ascii="Segoe UI" w:hAnsi="Segoe UI" w:cs="Segoe UI"/>
            <w:sz w:val="18"/>
            <w:szCs w:val="18"/>
          </w:rPr>
          <w:fldChar w:fldCharType="separate"/>
        </w:r>
        <w:r w:rsidR="008B2CDA">
          <w:rPr>
            <w:rFonts w:ascii="Segoe UI" w:hAnsi="Segoe UI" w:cs="Segoe UI"/>
            <w:noProof/>
            <w:sz w:val="18"/>
            <w:szCs w:val="18"/>
          </w:rPr>
          <w:t>2</w:t>
        </w:r>
        <w:r w:rsidRPr="004711BC">
          <w:rPr>
            <w:rFonts w:ascii="Segoe UI" w:hAnsi="Segoe UI" w:cs="Segoe UI"/>
            <w:sz w:val="18"/>
            <w:szCs w:val="18"/>
          </w:rPr>
          <w:fldChar w:fldCharType="end"/>
        </w:r>
      </w:p>
    </w:sdtContent>
  </w:sdt>
  <w:p w14:paraId="729436F2" w14:textId="77777777" w:rsidR="004711BC" w:rsidRDefault="0047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E4AA" w14:textId="77777777" w:rsidR="00EF299E" w:rsidRDefault="00EF299E" w:rsidP="001C50B0">
      <w:pPr>
        <w:spacing w:after="0" w:line="240" w:lineRule="auto"/>
      </w:pPr>
      <w:r>
        <w:separator/>
      </w:r>
    </w:p>
  </w:footnote>
  <w:footnote w:type="continuationSeparator" w:id="0">
    <w:p w14:paraId="78AD263F" w14:textId="77777777" w:rsidR="00EF299E" w:rsidRDefault="00EF299E" w:rsidP="001C50B0">
      <w:pPr>
        <w:spacing w:after="0" w:line="240" w:lineRule="auto"/>
      </w:pPr>
      <w:r>
        <w:continuationSeparator/>
      </w:r>
    </w:p>
  </w:footnote>
  <w:footnote w:id="1">
    <w:p w14:paraId="25A12C95" w14:textId="77777777" w:rsidR="001C50B0" w:rsidRPr="00E54248" w:rsidRDefault="001C50B0"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El presente documento se ha elaborado a partir de </w:t>
      </w:r>
      <w:r w:rsidR="00116D35" w:rsidRPr="00E54248">
        <w:rPr>
          <w:rFonts w:ascii="Segoe UI" w:hAnsi="Segoe UI" w:cs="Segoe UI"/>
          <w:sz w:val="16"/>
          <w:szCs w:val="16"/>
        </w:rPr>
        <w:t>los insumos proporcionados por</w:t>
      </w:r>
      <w:r w:rsidR="009E65FD" w:rsidRPr="00E54248">
        <w:rPr>
          <w:rFonts w:ascii="Segoe UI" w:hAnsi="Segoe UI" w:cs="Segoe UI"/>
          <w:sz w:val="16"/>
          <w:szCs w:val="16"/>
        </w:rPr>
        <w:t xml:space="preserve"> el Ministerio de </w:t>
      </w:r>
      <w:r w:rsidR="00E54248" w:rsidRPr="00E54248">
        <w:rPr>
          <w:rFonts w:ascii="Segoe UI" w:hAnsi="Segoe UI" w:cs="Segoe UI"/>
          <w:sz w:val="16"/>
          <w:szCs w:val="16"/>
        </w:rPr>
        <w:t xml:space="preserve">Ciencia, Tecnología, Conocimiento e Innovación. </w:t>
      </w:r>
    </w:p>
  </w:footnote>
  <w:footnote w:id="2">
    <w:p w14:paraId="333826F9" w14:textId="77777777" w:rsidR="002D06DE" w:rsidRPr="00E54248" w:rsidRDefault="002D06DE" w:rsidP="00E54248">
      <w:pPr>
        <w:spacing w:after="0" w:line="240" w:lineRule="auto"/>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La legislación define al Sistema Nacional de Ciencia, Tecnología, Conocimiento e Innovación como compuesto “de los organismos públicos, instituciones públicas de investigación y desarrollo e instituciones de educación superior estatales; y por las personas e instituciones privadas que realizan, fomentan o apoyan actividades relevantes relacionadas con ciencia, tecnología e innovación. Se comprenderán dentro de estas materias las actividades relacionadas con la formación de recursos humanos altamente calificados y técnicos especializados; la investigación básica y aplicada y la generación de conocimiento en las diversas disciplinas del saber; el desarrollo, transferencia y difusión de tecnología; y la innovación pública y privada en todas sus dimensiones” (Ley 21.105, artículo 1).</w:t>
      </w:r>
      <w:r w:rsidR="00E54248" w:rsidRPr="00E54248">
        <w:rPr>
          <w:rFonts w:ascii="Segoe UI" w:hAnsi="Segoe UI" w:cs="Segoe UI"/>
          <w:sz w:val="16"/>
          <w:szCs w:val="16"/>
        </w:rPr>
        <w:t xml:space="preserve"> Disponible en: </w:t>
      </w:r>
      <w:hyperlink r:id="rId1" w:history="1">
        <w:r w:rsidR="00E54248" w:rsidRPr="00E54248">
          <w:rPr>
            <w:rStyle w:val="Hyperlink"/>
            <w:rFonts w:ascii="Segoe UI" w:hAnsi="Segoe UI" w:cs="Segoe UI"/>
            <w:sz w:val="16"/>
            <w:szCs w:val="16"/>
          </w:rPr>
          <w:t>https://www.bcn.cl/leychile/navegar?idNorma=1121682</w:t>
        </w:r>
      </w:hyperlink>
    </w:p>
  </w:footnote>
  <w:footnote w:id="3">
    <w:p w14:paraId="0C3BE5F1"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Disponible en: </w:t>
      </w:r>
      <w:hyperlink r:id="rId2" w:history="1">
        <w:r w:rsidRPr="00E54248">
          <w:rPr>
            <w:rStyle w:val="Hyperlink"/>
            <w:rFonts w:ascii="Segoe UI" w:hAnsi="Segoe UI" w:cs="Segoe UI"/>
            <w:sz w:val="16"/>
            <w:szCs w:val="16"/>
          </w:rPr>
          <w:t>https://www.bcn.cl/leychile/navegar?idNorma=242302&amp;idParte</w:t>
        </w:r>
      </w:hyperlink>
    </w:p>
  </w:footnote>
  <w:footnote w:id="4">
    <w:p w14:paraId="70F10CF7"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Ibid.</w:t>
      </w:r>
    </w:p>
  </w:footnote>
  <w:footnote w:id="5">
    <w:p w14:paraId="6A8B4555"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Ibid. </w:t>
      </w:r>
    </w:p>
  </w:footnote>
  <w:footnote w:id="6">
    <w:p w14:paraId="7BEFB367"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Véase </w:t>
      </w:r>
      <w:r w:rsidRPr="00E54248">
        <w:rPr>
          <w:rFonts w:ascii="Segoe UI" w:hAnsi="Segoe UI" w:cs="Segoe UI"/>
          <w:i/>
          <w:sz w:val="16"/>
          <w:szCs w:val="16"/>
        </w:rPr>
        <w:t>supra</w:t>
      </w:r>
      <w:r w:rsidRPr="00E54248">
        <w:rPr>
          <w:rFonts w:ascii="Segoe UI" w:hAnsi="Segoe UI" w:cs="Segoe UI"/>
          <w:sz w:val="16"/>
          <w:szCs w:val="16"/>
        </w:rPr>
        <w:t xml:space="preserve">, nota </w:t>
      </w:r>
      <w:r w:rsidRPr="00E54248">
        <w:rPr>
          <w:rFonts w:ascii="Segoe UI" w:hAnsi="Segoe UI" w:cs="Segoe UI"/>
          <w:sz w:val="16"/>
          <w:szCs w:val="16"/>
        </w:rPr>
        <w:fldChar w:fldCharType="begin"/>
      </w:r>
      <w:r w:rsidRPr="00E54248">
        <w:rPr>
          <w:rFonts w:ascii="Segoe UI" w:hAnsi="Segoe UI" w:cs="Segoe UI"/>
          <w:sz w:val="16"/>
          <w:szCs w:val="16"/>
        </w:rPr>
        <w:instrText xml:space="preserve"> NOTEREF _Ref153891976 \h  \* MERGEFORMAT </w:instrText>
      </w:r>
      <w:r w:rsidRPr="00E54248">
        <w:rPr>
          <w:rFonts w:ascii="Segoe UI" w:hAnsi="Segoe UI" w:cs="Segoe UI"/>
          <w:sz w:val="16"/>
          <w:szCs w:val="16"/>
        </w:rPr>
      </w:r>
      <w:r w:rsidRPr="00E54248">
        <w:rPr>
          <w:rFonts w:ascii="Segoe UI" w:hAnsi="Segoe UI" w:cs="Segoe UI"/>
          <w:sz w:val="16"/>
          <w:szCs w:val="16"/>
        </w:rPr>
        <w:fldChar w:fldCharType="separate"/>
      </w:r>
      <w:r w:rsidRPr="00E54248">
        <w:rPr>
          <w:rFonts w:ascii="Segoe UI" w:hAnsi="Segoe UI" w:cs="Segoe UI"/>
          <w:sz w:val="16"/>
          <w:szCs w:val="16"/>
        </w:rPr>
        <w:t>2</w:t>
      </w:r>
      <w:r w:rsidRPr="00E54248">
        <w:rPr>
          <w:rFonts w:ascii="Segoe UI" w:hAnsi="Segoe UI" w:cs="Segoe UI"/>
          <w:sz w:val="16"/>
          <w:szCs w:val="16"/>
        </w:rPr>
        <w:fldChar w:fldCharType="end"/>
      </w:r>
      <w:r w:rsidRPr="00E54248">
        <w:rPr>
          <w:rFonts w:ascii="Segoe UI" w:hAnsi="Segoe UI" w:cs="Segoe UI"/>
          <w:sz w:val="16"/>
          <w:szCs w:val="16"/>
        </w:rPr>
        <w:t>.</w:t>
      </w:r>
    </w:p>
  </w:footnote>
  <w:footnote w:id="7">
    <w:p w14:paraId="35C27B57"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Véase </w:t>
      </w:r>
      <w:r w:rsidRPr="00E54248">
        <w:rPr>
          <w:rFonts w:ascii="Segoe UI" w:hAnsi="Segoe UI" w:cs="Segoe UI"/>
          <w:i/>
          <w:sz w:val="16"/>
          <w:szCs w:val="16"/>
        </w:rPr>
        <w:t>supra</w:t>
      </w:r>
      <w:r w:rsidRPr="00E54248">
        <w:rPr>
          <w:rFonts w:ascii="Segoe UI" w:hAnsi="Segoe UI" w:cs="Segoe UI"/>
          <w:sz w:val="16"/>
          <w:szCs w:val="16"/>
        </w:rPr>
        <w:t xml:space="preserve">, nota </w:t>
      </w:r>
      <w:r w:rsidRPr="00E54248">
        <w:rPr>
          <w:rFonts w:ascii="Segoe UI" w:hAnsi="Segoe UI" w:cs="Segoe UI"/>
          <w:sz w:val="16"/>
          <w:szCs w:val="16"/>
        </w:rPr>
        <w:fldChar w:fldCharType="begin"/>
      </w:r>
      <w:r w:rsidRPr="00E54248">
        <w:rPr>
          <w:rFonts w:ascii="Segoe UI" w:hAnsi="Segoe UI" w:cs="Segoe UI"/>
          <w:sz w:val="16"/>
          <w:szCs w:val="16"/>
        </w:rPr>
        <w:instrText xml:space="preserve"> NOTEREF _Ref153892024 \h  \* MERGEFORMAT </w:instrText>
      </w:r>
      <w:r w:rsidRPr="00E54248">
        <w:rPr>
          <w:rFonts w:ascii="Segoe UI" w:hAnsi="Segoe UI" w:cs="Segoe UI"/>
          <w:sz w:val="16"/>
          <w:szCs w:val="16"/>
        </w:rPr>
      </w:r>
      <w:r w:rsidRPr="00E54248">
        <w:rPr>
          <w:rFonts w:ascii="Segoe UI" w:hAnsi="Segoe UI" w:cs="Segoe UI"/>
          <w:sz w:val="16"/>
          <w:szCs w:val="16"/>
        </w:rPr>
        <w:fldChar w:fldCharType="separate"/>
      </w:r>
      <w:r w:rsidRPr="00E54248">
        <w:rPr>
          <w:rFonts w:ascii="Segoe UI" w:hAnsi="Segoe UI" w:cs="Segoe UI"/>
          <w:sz w:val="16"/>
          <w:szCs w:val="16"/>
        </w:rPr>
        <w:t>3</w:t>
      </w:r>
      <w:r w:rsidRPr="00E54248">
        <w:rPr>
          <w:rFonts w:ascii="Segoe UI" w:hAnsi="Segoe UI" w:cs="Segoe UI"/>
          <w:sz w:val="16"/>
          <w:szCs w:val="16"/>
        </w:rPr>
        <w:fldChar w:fldCharType="end"/>
      </w:r>
      <w:r w:rsidRPr="00E54248">
        <w:rPr>
          <w:rFonts w:ascii="Segoe UI" w:hAnsi="Segoe UI" w:cs="Segoe UI"/>
          <w:sz w:val="16"/>
          <w:szCs w:val="16"/>
        </w:rPr>
        <w:t>.</w:t>
      </w:r>
    </w:p>
  </w:footnote>
  <w:footnote w:id="8">
    <w:p w14:paraId="01029B71"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Véase </w:t>
      </w:r>
      <w:r w:rsidRPr="00E54248">
        <w:rPr>
          <w:rFonts w:ascii="Segoe UI" w:hAnsi="Segoe UI" w:cs="Segoe UI"/>
          <w:i/>
          <w:sz w:val="16"/>
          <w:szCs w:val="16"/>
        </w:rPr>
        <w:t>supra</w:t>
      </w:r>
      <w:r w:rsidRPr="00E54248">
        <w:rPr>
          <w:rFonts w:ascii="Segoe UI" w:hAnsi="Segoe UI" w:cs="Segoe UI"/>
          <w:sz w:val="16"/>
          <w:szCs w:val="16"/>
        </w:rPr>
        <w:t xml:space="preserve">, nota </w:t>
      </w:r>
      <w:r w:rsidRPr="00E54248">
        <w:rPr>
          <w:rFonts w:ascii="Segoe UI" w:hAnsi="Segoe UI" w:cs="Segoe UI"/>
          <w:sz w:val="16"/>
          <w:szCs w:val="16"/>
        </w:rPr>
        <w:fldChar w:fldCharType="begin"/>
      </w:r>
      <w:r w:rsidRPr="00E54248">
        <w:rPr>
          <w:rFonts w:ascii="Segoe UI" w:hAnsi="Segoe UI" w:cs="Segoe UI"/>
          <w:sz w:val="16"/>
          <w:szCs w:val="16"/>
        </w:rPr>
        <w:instrText xml:space="preserve"> NOTEREF _Ref153891976 \h  \* MERGEFORMAT </w:instrText>
      </w:r>
      <w:r w:rsidRPr="00E54248">
        <w:rPr>
          <w:rFonts w:ascii="Segoe UI" w:hAnsi="Segoe UI" w:cs="Segoe UI"/>
          <w:sz w:val="16"/>
          <w:szCs w:val="16"/>
        </w:rPr>
      </w:r>
      <w:r w:rsidRPr="00E54248">
        <w:rPr>
          <w:rFonts w:ascii="Segoe UI" w:hAnsi="Segoe UI" w:cs="Segoe UI"/>
          <w:sz w:val="16"/>
          <w:szCs w:val="16"/>
        </w:rPr>
        <w:fldChar w:fldCharType="separate"/>
      </w:r>
      <w:r w:rsidRPr="00E54248">
        <w:rPr>
          <w:rFonts w:ascii="Segoe UI" w:hAnsi="Segoe UI" w:cs="Segoe UI"/>
          <w:sz w:val="16"/>
          <w:szCs w:val="16"/>
        </w:rPr>
        <w:t>2</w:t>
      </w:r>
      <w:r w:rsidRPr="00E54248">
        <w:rPr>
          <w:rFonts w:ascii="Segoe UI" w:hAnsi="Segoe UI" w:cs="Segoe UI"/>
          <w:sz w:val="16"/>
          <w:szCs w:val="16"/>
        </w:rPr>
        <w:fldChar w:fldCharType="end"/>
      </w:r>
      <w:r w:rsidRPr="00E54248">
        <w:rPr>
          <w:rFonts w:ascii="Segoe UI" w:hAnsi="Segoe UI" w:cs="Segoe UI"/>
          <w:sz w:val="16"/>
          <w:szCs w:val="16"/>
        </w:rPr>
        <w:t>.</w:t>
      </w:r>
    </w:p>
  </w:footnote>
  <w:footnote w:id="9">
    <w:p w14:paraId="5C11E191"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Véase </w:t>
      </w:r>
      <w:r w:rsidRPr="00E54248">
        <w:rPr>
          <w:rFonts w:ascii="Segoe UI" w:hAnsi="Segoe UI" w:cs="Segoe UI"/>
          <w:i/>
          <w:sz w:val="16"/>
          <w:szCs w:val="16"/>
        </w:rPr>
        <w:t>supra</w:t>
      </w:r>
      <w:r w:rsidRPr="00E54248">
        <w:rPr>
          <w:rFonts w:ascii="Segoe UI" w:hAnsi="Segoe UI" w:cs="Segoe UI"/>
          <w:sz w:val="16"/>
          <w:szCs w:val="16"/>
        </w:rPr>
        <w:t xml:space="preserve">, nota </w:t>
      </w:r>
      <w:r w:rsidRPr="00E54248">
        <w:rPr>
          <w:rFonts w:ascii="Segoe UI" w:hAnsi="Segoe UI" w:cs="Segoe UI"/>
          <w:sz w:val="16"/>
          <w:szCs w:val="16"/>
        </w:rPr>
        <w:fldChar w:fldCharType="begin"/>
      </w:r>
      <w:r w:rsidRPr="00E54248">
        <w:rPr>
          <w:rFonts w:ascii="Segoe UI" w:hAnsi="Segoe UI" w:cs="Segoe UI"/>
          <w:sz w:val="16"/>
          <w:szCs w:val="16"/>
        </w:rPr>
        <w:instrText xml:space="preserve"> NOTEREF _Ref153891976 \h  \* MERGEFORMAT </w:instrText>
      </w:r>
      <w:r w:rsidRPr="00E54248">
        <w:rPr>
          <w:rFonts w:ascii="Segoe UI" w:hAnsi="Segoe UI" w:cs="Segoe UI"/>
          <w:sz w:val="16"/>
          <w:szCs w:val="16"/>
        </w:rPr>
      </w:r>
      <w:r w:rsidRPr="00E54248">
        <w:rPr>
          <w:rFonts w:ascii="Segoe UI" w:hAnsi="Segoe UI" w:cs="Segoe UI"/>
          <w:sz w:val="16"/>
          <w:szCs w:val="16"/>
        </w:rPr>
        <w:fldChar w:fldCharType="separate"/>
      </w:r>
      <w:r w:rsidRPr="00E54248">
        <w:rPr>
          <w:rFonts w:ascii="Segoe UI" w:hAnsi="Segoe UI" w:cs="Segoe UI"/>
          <w:sz w:val="16"/>
          <w:szCs w:val="16"/>
        </w:rPr>
        <w:t>2</w:t>
      </w:r>
      <w:r w:rsidRPr="00E54248">
        <w:rPr>
          <w:rFonts w:ascii="Segoe UI" w:hAnsi="Segoe UI" w:cs="Segoe UI"/>
          <w:sz w:val="16"/>
          <w:szCs w:val="16"/>
        </w:rPr>
        <w:fldChar w:fldCharType="end"/>
      </w:r>
      <w:r w:rsidRPr="00E54248">
        <w:rPr>
          <w:rFonts w:ascii="Segoe UI" w:hAnsi="Segoe UI" w:cs="Segoe UI"/>
          <w:sz w:val="16"/>
          <w:szCs w:val="16"/>
        </w:rPr>
        <w:t>.</w:t>
      </w:r>
    </w:p>
  </w:footnote>
  <w:footnote w:id="10">
    <w:p w14:paraId="35075543"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Véase </w:t>
      </w:r>
      <w:r w:rsidRPr="00E54248">
        <w:rPr>
          <w:rFonts w:ascii="Segoe UI" w:hAnsi="Segoe UI" w:cs="Segoe UI"/>
          <w:i/>
          <w:sz w:val="16"/>
          <w:szCs w:val="16"/>
        </w:rPr>
        <w:t>supra</w:t>
      </w:r>
      <w:r w:rsidRPr="00E54248">
        <w:rPr>
          <w:rFonts w:ascii="Segoe UI" w:hAnsi="Segoe UI" w:cs="Segoe UI"/>
          <w:sz w:val="16"/>
          <w:szCs w:val="16"/>
        </w:rPr>
        <w:t xml:space="preserve">, nota </w:t>
      </w:r>
      <w:r w:rsidRPr="00E54248">
        <w:rPr>
          <w:rFonts w:ascii="Segoe UI" w:hAnsi="Segoe UI" w:cs="Segoe UI"/>
          <w:sz w:val="16"/>
          <w:szCs w:val="16"/>
        </w:rPr>
        <w:fldChar w:fldCharType="begin"/>
      </w:r>
      <w:r w:rsidRPr="00E54248">
        <w:rPr>
          <w:rFonts w:ascii="Segoe UI" w:hAnsi="Segoe UI" w:cs="Segoe UI"/>
          <w:sz w:val="16"/>
          <w:szCs w:val="16"/>
        </w:rPr>
        <w:instrText xml:space="preserve"> NOTEREF _Ref153892024 \h  \* MERGEFORMAT </w:instrText>
      </w:r>
      <w:r w:rsidRPr="00E54248">
        <w:rPr>
          <w:rFonts w:ascii="Segoe UI" w:hAnsi="Segoe UI" w:cs="Segoe UI"/>
          <w:sz w:val="16"/>
          <w:szCs w:val="16"/>
        </w:rPr>
      </w:r>
      <w:r w:rsidRPr="00E54248">
        <w:rPr>
          <w:rFonts w:ascii="Segoe UI" w:hAnsi="Segoe UI" w:cs="Segoe UI"/>
          <w:sz w:val="16"/>
          <w:szCs w:val="16"/>
        </w:rPr>
        <w:fldChar w:fldCharType="separate"/>
      </w:r>
      <w:r w:rsidRPr="00E54248">
        <w:rPr>
          <w:rFonts w:ascii="Segoe UI" w:hAnsi="Segoe UI" w:cs="Segoe UI"/>
          <w:sz w:val="16"/>
          <w:szCs w:val="16"/>
        </w:rPr>
        <w:t>3</w:t>
      </w:r>
      <w:r w:rsidRPr="00E54248">
        <w:rPr>
          <w:rFonts w:ascii="Segoe UI" w:hAnsi="Segoe UI" w:cs="Segoe UI"/>
          <w:sz w:val="16"/>
          <w:szCs w:val="16"/>
        </w:rPr>
        <w:fldChar w:fldCharType="end"/>
      </w:r>
      <w:r w:rsidRPr="00E54248">
        <w:rPr>
          <w:rFonts w:ascii="Segoe UI" w:hAnsi="Segoe UI" w:cs="Segoe UI"/>
          <w:sz w:val="16"/>
          <w:szCs w:val="16"/>
        </w:rPr>
        <w:t>.</w:t>
      </w:r>
    </w:p>
  </w:footnote>
  <w:footnote w:id="11">
    <w:p w14:paraId="755ECB9F" w14:textId="77777777" w:rsidR="00E54248" w:rsidRPr="00E54248" w:rsidRDefault="00E54248" w:rsidP="00E54248">
      <w:pPr>
        <w:pStyle w:val="FootnoteText"/>
        <w:jc w:val="both"/>
        <w:rPr>
          <w:rFonts w:ascii="Segoe UI" w:hAnsi="Segoe UI" w:cs="Segoe UI"/>
          <w:sz w:val="16"/>
          <w:szCs w:val="16"/>
        </w:rPr>
      </w:pPr>
      <w:r w:rsidRPr="00E54248">
        <w:rPr>
          <w:rStyle w:val="FootnoteReference"/>
          <w:rFonts w:ascii="Segoe UI" w:hAnsi="Segoe UI" w:cs="Segoe UI"/>
          <w:sz w:val="16"/>
          <w:szCs w:val="16"/>
        </w:rPr>
        <w:footnoteRef/>
      </w:r>
      <w:r w:rsidRPr="00E54248">
        <w:rPr>
          <w:rFonts w:ascii="Segoe UI" w:hAnsi="Segoe UI" w:cs="Segoe UI"/>
          <w:sz w:val="16"/>
          <w:szCs w:val="16"/>
        </w:rPr>
        <w:t xml:space="preserve"> Disponible en: </w:t>
      </w:r>
      <w:hyperlink r:id="rId3" w:history="1">
        <w:r w:rsidRPr="00E54248">
          <w:rPr>
            <w:rStyle w:val="Hyperlink"/>
            <w:rFonts w:ascii="Segoe UI" w:hAnsi="Segoe UI" w:cs="Segoe UI"/>
            <w:sz w:val="16"/>
            <w:szCs w:val="16"/>
          </w:rPr>
          <w:t>https://www.bcn.cl/leychile/navegar?idNorma=1039348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888" w14:textId="77777777" w:rsidR="001C50B0" w:rsidRDefault="001C50B0" w:rsidP="001C50B0">
    <w:pPr>
      <w:pStyle w:val="Header"/>
      <w:jc w:val="right"/>
      <w:rPr>
        <w:rFonts w:ascii="Segoe UI" w:hAnsi="Segoe UI" w:cs="Segoe UI"/>
        <w:b/>
      </w:rPr>
    </w:pPr>
    <w:r>
      <w:rPr>
        <w:noProof/>
        <w:lang w:val="es-CL" w:eastAsia="es-CL"/>
      </w:rPr>
      <w:drawing>
        <wp:anchor distT="0" distB="0" distL="114300" distR="114300" simplePos="0" relativeHeight="251659264" behindDoc="1" locked="0" layoutInCell="1" allowOverlap="1" wp14:anchorId="24C343FF" wp14:editId="721463BA">
          <wp:simplePos x="0" y="0"/>
          <wp:positionH relativeFrom="column">
            <wp:posOffset>-5343</wp:posOffset>
          </wp:positionH>
          <wp:positionV relativeFrom="paragraph">
            <wp:posOffset>-216814</wp:posOffset>
          </wp:positionV>
          <wp:extent cx="1152525" cy="1042675"/>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lacionesExteri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104267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rPr>
      <w:tab/>
    </w:r>
    <w:r>
      <w:rPr>
        <w:rFonts w:ascii="Segoe UI" w:hAnsi="Segoe UI" w:cs="Segoe UI"/>
        <w:b/>
      </w:rPr>
      <w:tab/>
    </w:r>
  </w:p>
  <w:p w14:paraId="029CE79A" w14:textId="77777777" w:rsidR="001C50B0" w:rsidRPr="00220965" w:rsidRDefault="001C50B0" w:rsidP="001C50B0">
    <w:pPr>
      <w:pStyle w:val="Header"/>
      <w:jc w:val="right"/>
      <w:rPr>
        <w:rFonts w:ascii="Segoe UI" w:hAnsi="Segoe UI" w:cs="Segoe UI"/>
      </w:rPr>
    </w:pPr>
    <w:r w:rsidRPr="00220965">
      <w:rPr>
        <w:rFonts w:ascii="Segoe UI" w:hAnsi="Segoe UI" w:cs="Segoe UI"/>
      </w:rPr>
      <w:t>Ministerio de Relaciones Exteriores</w:t>
    </w:r>
  </w:p>
  <w:p w14:paraId="586DA947" w14:textId="77777777" w:rsidR="001C50B0" w:rsidRPr="00220965" w:rsidRDefault="001C50B0" w:rsidP="001C50B0">
    <w:pPr>
      <w:pStyle w:val="Header"/>
      <w:jc w:val="right"/>
      <w:rPr>
        <w:rFonts w:ascii="Segoe UI" w:hAnsi="Segoe UI" w:cs="Segoe UI"/>
      </w:rPr>
    </w:pPr>
    <w:r w:rsidRPr="00220965">
      <w:rPr>
        <w:rFonts w:ascii="Segoe UI" w:hAnsi="Segoe UI" w:cs="Segoe UI"/>
      </w:rPr>
      <w:t>División de Derechos Humanos</w:t>
    </w:r>
  </w:p>
  <w:p w14:paraId="0203FAB1" w14:textId="77777777" w:rsidR="001C50B0" w:rsidRPr="00220965" w:rsidRDefault="005A29E5" w:rsidP="001C50B0">
    <w:pPr>
      <w:pStyle w:val="Header"/>
      <w:jc w:val="right"/>
      <w:rPr>
        <w:rFonts w:ascii="Segoe UI" w:hAnsi="Segoe UI" w:cs="Segoe UI"/>
      </w:rPr>
    </w:pPr>
    <w:r>
      <w:rPr>
        <w:rFonts w:ascii="Segoe UI" w:hAnsi="Segoe UI" w:cs="Segoe UI"/>
      </w:rPr>
      <w:t>19</w:t>
    </w:r>
    <w:r w:rsidR="001C50B0" w:rsidRPr="00220965">
      <w:rPr>
        <w:rFonts w:ascii="Segoe UI" w:hAnsi="Segoe UI" w:cs="Segoe UI"/>
      </w:rPr>
      <w:t xml:space="preserve"> de </w:t>
    </w:r>
    <w:r>
      <w:rPr>
        <w:rFonts w:ascii="Segoe UI" w:hAnsi="Segoe UI" w:cs="Segoe UI"/>
      </w:rPr>
      <w:t>diciembre</w:t>
    </w:r>
    <w:r w:rsidR="001C50B0" w:rsidRPr="00220965">
      <w:rPr>
        <w:rFonts w:ascii="Segoe UI" w:hAnsi="Segoe UI" w:cs="Segoe UI"/>
      </w:rPr>
      <w:t xml:space="preserve"> de 2023</w:t>
    </w:r>
  </w:p>
  <w:p w14:paraId="6DB50003" w14:textId="77777777" w:rsidR="001C50B0" w:rsidRDefault="001C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F5222"/>
    <w:multiLevelType w:val="hybridMultilevel"/>
    <w:tmpl w:val="96D03DD0"/>
    <w:lvl w:ilvl="0" w:tplc="34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4C587DEA"/>
    <w:multiLevelType w:val="hybridMultilevel"/>
    <w:tmpl w:val="7D58311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5008011F"/>
    <w:multiLevelType w:val="hybridMultilevel"/>
    <w:tmpl w:val="63A88C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9275557">
    <w:abstractNumId w:val="2"/>
  </w:num>
  <w:num w:numId="2" w16cid:durableId="954336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8889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B0"/>
    <w:rsid w:val="00005F16"/>
    <w:rsid w:val="0004459C"/>
    <w:rsid w:val="0006315B"/>
    <w:rsid w:val="000B1A5F"/>
    <w:rsid w:val="000B3325"/>
    <w:rsid w:val="000B6019"/>
    <w:rsid w:val="00116D35"/>
    <w:rsid w:val="00145810"/>
    <w:rsid w:val="00146B87"/>
    <w:rsid w:val="001758F9"/>
    <w:rsid w:val="001A69F5"/>
    <w:rsid w:val="001A6B69"/>
    <w:rsid w:val="001B578B"/>
    <w:rsid w:val="001C50B0"/>
    <w:rsid w:val="001F0B81"/>
    <w:rsid w:val="002C6A42"/>
    <w:rsid w:val="002D06DE"/>
    <w:rsid w:val="002E3C45"/>
    <w:rsid w:val="00313138"/>
    <w:rsid w:val="003224A6"/>
    <w:rsid w:val="00330B3E"/>
    <w:rsid w:val="00367400"/>
    <w:rsid w:val="0037124A"/>
    <w:rsid w:val="00386263"/>
    <w:rsid w:val="003A26B6"/>
    <w:rsid w:val="003F1FEF"/>
    <w:rsid w:val="004513E8"/>
    <w:rsid w:val="00452073"/>
    <w:rsid w:val="004711BC"/>
    <w:rsid w:val="004E2210"/>
    <w:rsid w:val="005250C4"/>
    <w:rsid w:val="005A29E5"/>
    <w:rsid w:val="0060010A"/>
    <w:rsid w:val="00601820"/>
    <w:rsid w:val="0060190A"/>
    <w:rsid w:val="00626B1C"/>
    <w:rsid w:val="00627B35"/>
    <w:rsid w:val="00644A6B"/>
    <w:rsid w:val="00665029"/>
    <w:rsid w:val="00670732"/>
    <w:rsid w:val="006E6320"/>
    <w:rsid w:val="006F7BE0"/>
    <w:rsid w:val="0070176A"/>
    <w:rsid w:val="00714420"/>
    <w:rsid w:val="00754806"/>
    <w:rsid w:val="007671AC"/>
    <w:rsid w:val="00774ED6"/>
    <w:rsid w:val="00786FEC"/>
    <w:rsid w:val="00790650"/>
    <w:rsid w:val="007B5632"/>
    <w:rsid w:val="007E5295"/>
    <w:rsid w:val="007F6D79"/>
    <w:rsid w:val="00830EC2"/>
    <w:rsid w:val="008569E1"/>
    <w:rsid w:val="0086000D"/>
    <w:rsid w:val="008852AD"/>
    <w:rsid w:val="008A75B7"/>
    <w:rsid w:val="008B2CDA"/>
    <w:rsid w:val="008B7AD4"/>
    <w:rsid w:val="008F34AD"/>
    <w:rsid w:val="009002CD"/>
    <w:rsid w:val="00922E86"/>
    <w:rsid w:val="009A3489"/>
    <w:rsid w:val="009B3A59"/>
    <w:rsid w:val="009E65FD"/>
    <w:rsid w:val="009F5AD0"/>
    <w:rsid w:val="00A53933"/>
    <w:rsid w:val="00AA3D1E"/>
    <w:rsid w:val="00AC047D"/>
    <w:rsid w:val="00AE0DB4"/>
    <w:rsid w:val="00B253CE"/>
    <w:rsid w:val="00B32B03"/>
    <w:rsid w:val="00B70B52"/>
    <w:rsid w:val="00B8411F"/>
    <w:rsid w:val="00BA4C8E"/>
    <w:rsid w:val="00BC228B"/>
    <w:rsid w:val="00C634AC"/>
    <w:rsid w:val="00C6541B"/>
    <w:rsid w:val="00C91D3C"/>
    <w:rsid w:val="00CC03D4"/>
    <w:rsid w:val="00CE4617"/>
    <w:rsid w:val="00CE544A"/>
    <w:rsid w:val="00CF263C"/>
    <w:rsid w:val="00D03E43"/>
    <w:rsid w:val="00D4179E"/>
    <w:rsid w:val="00DA5DCF"/>
    <w:rsid w:val="00DB0004"/>
    <w:rsid w:val="00DB40E6"/>
    <w:rsid w:val="00DE7937"/>
    <w:rsid w:val="00E0184F"/>
    <w:rsid w:val="00E12C9E"/>
    <w:rsid w:val="00E23E63"/>
    <w:rsid w:val="00E36740"/>
    <w:rsid w:val="00E54248"/>
    <w:rsid w:val="00E71AAC"/>
    <w:rsid w:val="00EB4EA1"/>
    <w:rsid w:val="00EF299E"/>
    <w:rsid w:val="00F27ABD"/>
    <w:rsid w:val="00F378D5"/>
    <w:rsid w:val="00F62FE6"/>
    <w:rsid w:val="00F63128"/>
    <w:rsid w:val="00F97060"/>
    <w:rsid w:val="00FA0C4E"/>
    <w:rsid w:val="00FB19E4"/>
    <w:rsid w:val="00FC12E9"/>
    <w:rsid w:val="00FE2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157C8"/>
  <w15:chartTrackingRefBased/>
  <w15:docId w15:val="{EFE609A9-0E32-4F2F-9EE3-A47DBCD7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0B0"/>
    <w:pPr>
      <w:tabs>
        <w:tab w:val="center" w:pos="4252"/>
        <w:tab w:val="right" w:pos="8504"/>
      </w:tabs>
      <w:spacing w:after="0" w:line="240" w:lineRule="auto"/>
    </w:pPr>
  </w:style>
  <w:style w:type="character" w:customStyle="1" w:styleId="HeaderChar">
    <w:name w:val="Header Char"/>
    <w:basedOn w:val="DefaultParagraphFont"/>
    <w:link w:val="Header"/>
    <w:uiPriority w:val="99"/>
    <w:rsid w:val="001C50B0"/>
  </w:style>
  <w:style w:type="paragraph" w:styleId="Footer">
    <w:name w:val="footer"/>
    <w:basedOn w:val="Normal"/>
    <w:link w:val="FooterChar"/>
    <w:uiPriority w:val="99"/>
    <w:unhideWhenUsed/>
    <w:rsid w:val="001C50B0"/>
    <w:pPr>
      <w:tabs>
        <w:tab w:val="center" w:pos="4252"/>
        <w:tab w:val="right" w:pos="8504"/>
      </w:tabs>
      <w:spacing w:after="0" w:line="240" w:lineRule="auto"/>
    </w:pPr>
  </w:style>
  <w:style w:type="character" w:customStyle="1" w:styleId="FooterChar">
    <w:name w:val="Footer Char"/>
    <w:basedOn w:val="DefaultParagraphFont"/>
    <w:link w:val="Footer"/>
    <w:uiPriority w:val="99"/>
    <w:rsid w:val="001C50B0"/>
  </w:style>
  <w:style w:type="paragraph" w:styleId="FootnoteText">
    <w:name w:val="footnote text"/>
    <w:basedOn w:val="Normal"/>
    <w:link w:val="FootnoteTextChar"/>
    <w:uiPriority w:val="99"/>
    <w:semiHidden/>
    <w:unhideWhenUsed/>
    <w:rsid w:val="001C5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0B0"/>
    <w:rPr>
      <w:sz w:val="20"/>
      <w:szCs w:val="20"/>
    </w:rPr>
  </w:style>
  <w:style w:type="character" w:styleId="FootnoteReference">
    <w:name w:val="footnote reference"/>
    <w:basedOn w:val="DefaultParagraphFont"/>
    <w:uiPriority w:val="99"/>
    <w:unhideWhenUsed/>
    <w:rsid w:val="001C50B0"/>
    <w:rPr>
      <w:vertAlign w:val="superscript"/>
    </w:rPr>
  </w:style>
  <w:style w:type="character" w:styleId="Hyperlink">
    <w:name w:val="Hyperlink"/>
    <w:basedOn w:val="DefaultParagraphFont"/>
    <w:uiPriority w:val="99"/>
    <w:unhideWhenUsed/>
    <w:rsid w:val="00DB0004"/>
    <w:rPr>
      <w:color w:val="0563C1" w:themeColor="hyperlink"/>
      <w:u w:val="single"/>
    </w:rPr>
  </w:style>
  <w:style w:type="paragraph" w:styleId="ListParagraph">
    <w:name w:val="List Paragraph"/>
    <w:basedOn w:val="Normal"/>
    <w:uiPriority w:val="34"/>
    <w:qFormat/>
    <w:rsid w:val="0037124A"/>
    <w:pPr>
      <w:ind w:left="720"/>
      <w:contextualSpacing/>
    </w:pPr>
  </w:style>
  <w:style w:type="character" w:customStyle="1" w:styleId="cf01">
    <w:name w:val="cf01"/>
    <w:basedOn w:val="DefaultParagraphFont"/>
    <w:rsid w:val="002D06DE"/>
    <w:rPr>
      <w:rFonts w:ascii="Segoe UI" w:hAnsi="Segoe UI" w:cs="Segoe UI" w:hint="default"/>
      <w:i/>
      <w:iCs/>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2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cn.cl/leychile/navegar?idNorma=1039348" TargetMode="External"/><Relationship Id="rId2" Type="http://schemas.openxmlformats.org/officeDocument/2006/relationships/hyperlink" Target="https://www.bcn.cl/leychile/navegar?idNorma=242302&amp;idParte" TargetMode="External"/><Relationship Id="rId1" Type="http://schemas.openxmlformats.org/officeDocument/2006/relationships/hyperlink" Target="https://www.bcn.cl/leychile/navegar?idNorma=11216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Chile</Contributor>
    <Postingdate xmlns="d42e65b2-cf21-49c1-b27d-d23f90380c0e" xsi:nil="true"/>
    <Postedonline xmlns="d42e65b2-cf21-49c1-b27d-d23f90380c0e">false</Postedon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8CF98-E483-4720-9D5A-00E0C37CF1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F3F88-3CDA-4923-AFDE-FE447C633249}">
  <ds:schemaRefs>
    <ds:schemaRef ds:uri="http://schemas.microsoft.com/sharepoint/v3/contenttype/forms"/>
  </ds:schemaRefs>
</ds:datastoreItem>
</file>

<file path=customXml/itemProps3.xml><?xml version="1.0" encoding="utf-8"?>
<ds:datastoreItem xmlns:ds="http://schemas.openxmlformats.org/officeDocument/2006/customXml" ds:itemID="{386346C2-94BE-4E94-8BE8-AA7F1B98667D}"/>
</file>

<file path=customXml/itemProps4.xml><?xml version="1.0" encoding="utf-8"?>
<ds:datastoreItem xmlns:ds="http://schemas.openxmlformats.org/officeDocument/2006/customXml" ds:itemID="{FF19E5D6-3FF9-4888-941F-1D37CB95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Fuentes Salinas</dc:creator>
  <cp:keywords/>
  <dc:description/>
  <cp:lastModifiedBy>Johanne Bouchard</cp:lastModifiedBy>
  <cp:revision>2</cp:revision>
  <dcterms:created xsi:type="dcterms:W3CDTF">2023-12-22T12:48:00Z</dcterms:created>
  <dcterms:modified xsi:type="dcterms:W3CDTF">2023-12-22T12:48:00Z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cc4761907aee46b137dc6113bca222391737163725143ac48b787ef4a567a6bc</vt:lpwstr>
  </property>
  <property fmtid="{D5CDD505-2E9C-101B-9397-08002B2CF9AE}" pid="3" name="ContentTypeId">
    <vt:lpwstr>0x0101009D953D6983EF5F4EB0B6A5354F975E96</vt:lpwstr>
  </property>
</Properties>
</file>