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709F" w14:textId="127F0A24" w:rsidR="005278B0" w:rsidRDefault="004C2798" w:rsidP="004C2798">
      <w:pPr>
        <w:pStyle w:val="Default"/>
        <w:spacing w:after="49"/>
        <w:jc w:val="center"/>
        <w:rPr>
          <w:rFonts w:asciiTheme="minorHAnsi" w:hAnsiTheme="minorHAnsi" w:cstheme="minorBidi"/>
          <w:b/>
          <w:bCs/>
          <w:sz w:val="22"/>
          <w:szCs w:val="22"/>
        </w:rPr>
      </w:pPr>
      <w:r w:rsidRPr="004C2798">
        <w:rPr>
          <w:rFonts w:asciiTheme="minorHAnsi" w:hAnsiTheme="minorHAnsi" w:cstheme="minorBidi"/>
          <w:b/>
          <w:bCs/>
          <w:sz w:val="22"/>
          <w:szCs w:val="22"/>
        </w:rPr>
        <w:t>IDB Response to UN request for Right to Development Report</w:t>
      </w:r>
    </w:p>
    <w:p w14:paraId="766CF92C" w14:textId="77777777" w:rsidR="005278B0" w:rsidRDefault="005278B0" w:rsidP="2BFDD211">
      <w:pPr>
        <w:pStyle w:val="Default"/>
        <w:spacing w:after="49"/>
        <w:jc w:val="both"/>
        <w:rPr>
          <w:rFonts w:asciiTheme="minorHAnsi" w:hAnsiTheme="minorHAnsi" w:cstheme="minorBidi"/>
          <w:b/>
          <w:bCs/>
          <w:sz w:val="22"/>
          <w:szCs w:val="22"/>
        </w:rPr>
      </w:pPr>
    </w:p>
    <w:p w14:paraId="46DBA86E" w14:textId="6398E47D" w:rsidR="00426AA2" w:rsidRPr="00396F48" w:rsidRDefault="003F4902" w:rsidP="00426AA2">
      <w:pPr>
        <w:pStyle w:val="Default"/>
        <w:numPr>
          <w:ilvl w:val="0"/>
          <w:numId w:val="10"/>
        </w:numPr>
        <w:spacing w:after="49"/>
        <w:jc w:val="both"/>
        <w:rPr>
          <w:rFonts w:asciiTheme="minorHAnsi" w:hAnsiTheme="minorHAnsi" w:cstheme="minorHAnsi"/>
          <w:b/>
          <w:bCs/>
          <w:sz w:val="22"/>
          <w:szCs w:val="22"/>
        </w:rPr>
      </w:pPr>
      <w:r>
        <w:t xml:space="preserve"> </w:t>
      </w:r>
      <w:r w:rsidRPr="2BFDD211">
        <w:rPr>
          <w:rFonts w:asciiTheme="minorHAnsi" w:hAnsiTheme="minorHAnsi" w:cstheme="minorBidi"/>
          <w:b/>
          <w:bCs/>
          <w:sz w:val="22"/>
          <w:szCs w:val="22"/>
        </w:rPr>
        <w:t>Policies and guidelines of the IADB on human rights, including the right to development</w:t>
      </w:r>
    </w:p>
    <w:p w14:paraId="7855AAA8" w14:textId="313CED8F" w:rsidR="007E2E3B"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 xml:space="preserve">Human rights are intrinsic to the IDB’s mission of improving lives and bringing sustainable development to our region. </w:t>
      </w:r>
      <w:r w:rsidR="007E2E3B" w:rsidRPr="00116838">
        <w:rPr>
          <w:rFonts w:asciiTheme="minorHAnsi" w:hAnsiTheme="minorHAnsi" w:cstheme="minorHAnsi"/>
          <w:sz w:val="22"/>
          <w:szCs w:val="22"/>
        </w:rPr>
        <w:t>The IDB recognizes that human rights are central to its mission of improving lives and bringing sustainable development to the Latin America and the Caribbean (LAC) region.</w:t>
      </w:r>
    </w:p>
    <w:p w14:paraId="28A9D869" w14:textId="3A5EC9F6" w:rsidR="00010043" w:rsidRPr="00090293" w:rsidRDefault="00FB0EB4" w:rsidP="00973C80">
      <w:pPr>
        <w:pStyle w:val="NormalWeb"/>
        <w:jc w:val="both"/>
        <w:rPr>
          <w:rFonts w:asciiTheme="minorHAnsi" w:hAnsiTheme="minorHAnsi" w:cstheme="minorHAnsi"/>
          <w:sz w:val="22"/>
          <w:szCs w:val="22"/>
        </w:rPr>
      </w:pPr>
      <w:r w:rsidRPr="00090293">
        <w:rPr>
          <w:rFonts w:asciiTheme="minorHAnsi" w:hAnsiTheme="minorHAnsi" w:cstheme="minorHAnsi"/>
          <w:sz w:val="22"/>
          <w:szCs w:val="22"/>
        </w:rPr>
        <w:t xml:space="preserve">On September 16, 2020, </w:t>
      </w:r>
      <w:r w:rsidR="00010043" w:rsidRPr="00090293">
        <w:rPr>
          <w:rFonts w:asciiTheme="minorHAnsi" w:hAnsiTheme="minorHAnsi" w:cstheme="minorHAnsi"/>
          <w:sz w:val="22"/>
          <w:szCs w:val="22"/>
        </w:rPr>
        <w:t xml:space="preserve">the Inter-American Development Bank’s (IDB) </w:t>
      </w:r>
      <w:r w:rsidR="00E75F71" w:rsidRPr="00090293">
        <w:rPr>
          <w:rFonts w:asciiTheme="minorHAnsi" w:hAnsiTheme="minorHAnsi" w:cstheme="minorHAnsi"/>
          <w:sz w:val="22"/>
          <w:szCs w:val="22"/>
        </w:rPr>
        <w:t xml:space="preserve">adopted a </w:t>
      </w:r>
      <w:r w:rsidR="00010043" w:rsidRPr="00090293">
        <w:rPr>
          <w:rFonts w:asciiTheme="minorHAnsi" w:hAnsiTheme="minorHAnsi" w:cstheme="minorHAnsi"/>
          <w:sz w:val="22"/>
          <w:szCs w:val="22"/>
        </w:rPr>
        <w:t>new Environmental and Social Policy Framework (ESPF)</w:t>
      </w:r>
      <w:r w:rsidRPr="00090293">
        <w:rPr>
          <w:rFonts w:asciiTheme="minorHAnsi" w:hAnsiTheme="minorHAnsi" w:cstheme="minorHAnsi"/>
          <w:sz w:val="22"/>
          <w:szCs w:val="22"/>
        </w:rPr>
        <w:t xml:space="preserve">, which </w:t>
      </w:r>
      <w:r w:rsidR="00010043" w:rsidRPr="00090293">
        <w:rPr>
          <w:rFonts w:asciiTheme="minorHAnsi" w:hAnsiTheme="minorHAnsi" w:cstheme="minorHAnsi"/>
          <w:sz w:val="22"/>
          <w:szCs w:val="22"/>
        </w:rPr>
        <w:t>became effective</w:t>
      </w:r>
      <w:r w:rsidR="000B2B7F" w:rsidRPr="00090293">
        <w:rPr>
          <w:rFonts w:asciiTheme="minorHAnsi" w:hAnsiTheme="minorHAnsi" w:cstheme="minorHAnsi"/>
          <w:sz w:val="22"/>
          <w:szCs w:val="22"/>
        </w:rPr>
        <w:t xml:space="preserve"> </w:t>
      </w:r>
      <w:r w:rsidRPr="00090293">
        <w:rPr>
          <w:rFonts w:asciiTheme="minorHAnsi" w:hAnsiTheme="minorHAnsi" w:cstheme="minorHAnsi"/>
          <w:sz w:val="22"/>
          <w:szCs w:val="22"/>
        </w:rPr>
        <w:t xml:space="preserve">in </w:t>
      </w:r>
      <w:r w:rsidR="000B2B7F" w:rsidRPr="00090293">
        <w:rPr>
          <w:rFonts w:asciiTheme="minorHAnsi" w:hAnsiTheme="minorHAnsi" w:cstheme="minorHAnsi"/>
          <w:sz w:val="22"/>
          <w:szCs w:val="22"/>
        </w:rPr>
        <w:t xml:space="preserve">November 2021 </w:t>
      </w:r>
      <w:r w:rsidR="00010043" w:rsidRPr="00090293">
        <w:rPr>
          <w:rFonts w:asciiTheme="minorHAnsi" w:hAnsiTheme="minorHAnsi" w:cstheme="minorHAnsi"/>
          <w:sz w:val="22"/>
          <w:szCs w:val="22"/>
        </w:rPr>
        <w:t>(</w:t>
      </w:r>
      <w:hyperlink r:id="rId8" w:history="1">
        <w:r w:rsidR="00010043" w:rsidRPr="00090293">
          <w:rPr>
            <w:rStyle w:val="Hyperlink"/>
            <w:rFonts w:asciiTheme="minorHAnsi" w:hAnsiTheme="minorHAnsi" w:cstheme="minorHAnsi"/>
            <w:sz w:val="22"/>
            <w:szCs w:val="22"/>
          </w:rPr>
          <w:t>https://idbdocs.iadb.org/wsdocs/getdocument.aspx?docnum=EZSHARE-110529158-160</w:t>
        </w:r>
      </w:hyperlink>
      <w:r w:rsidR="00010043" w:rsidRPr="00090293">
        <w:rPr>
          <w:rFonts w:asciiTheme="minorHAnsi" w:hAnsiTheme="minorHAnsi" w:cstheme="minorHAnsi"/>
          <w:sz w:val="22"/>
          <w:szCs w:val="22"/>
        </w:rPr>
        <w:t xml:space="preserve">). </w:t>
      </w:r>
      <w:r w:rsidR="00E25194" w:rsidRPr="00090293">
        <w:rPr>
          <w:rFonts w:asciiTheme="minorHAnsi" w:hAnsiTheme="minorHAnsi" w:cstheme="minorHAnsi"/>
          <w:sz w:val="22"/>
          <w:szCs w:val="22"/>
        </w:rPr>
        <w:t>T</w:t>
      </w:r>
      <w:r w:rsidR="00010043" w:rsidRPr="00090293">
        <w:rPr>
          <w:rFonts w:asciiTheme="minorHAnsi" w:hAnsiTheme="minorHAnsi" w:cstheme="minorHAnsi"/>
          <w:sz w:val="22"/>
          <w:szCs w:val="22"/>
        </w:rPr>
        <w:t xml:space="preserve">he ESPF makes an explicit commitment to respecting internationally recognized human rights standards, </w:t>
      </w:r>
      <w:r w:rsidR="00E75F71" w:rsidRPr="00090293">
        <w:rPr>
          <w:rFonts w:asciiTheme="minorHAnsi" w:hAnsiTheme="minorHAnsi" w:cstheme="minorHAnsi"/>
          <w:sz w:val="22"/>
          <w:szCs w:val="22"/>
        </w:rPr>
        <w:t xml:space="preserve">as provided for in </w:t>
      </w:r>
      <w:r w:rsidR="00010043" w:rsidRPr="00090293">
        <w:rPr>
          <w:rFonts w:asciiTheme="minorHAnsi" w:hAnsiTheme="minorHAnsi" w:cstheme="minorHAnsi"/>
          <w:sz w:val="22"/>
          <w:szCs w:val="22"/>
        </w:rPr>
        <w:t>the International Bill of Rights, the International Labor Organization’s (ILO) Declaration on Fundamental Principles and Rights at Work, and other universal and regional instruments relating to human rights.</w:t>
      </w:r>
      <w:r w:rsidR="000B2B7F" w:rsidRPr="00090293">
        <w:rPr>
          <w:rFonts w:asciiTheme="minorHAnsi" w:hAnsiTheme="minorHAnsi" w:cstheme="minorHAnsi"/>
          <w:sz w:val="22"/>
          <w:szCs w:val="22"/>
        </w:rPr>
        <w:t xml:space="preserve"> </w:t>
      </w:r>
    </w:p>
    <w:p w14:paraId="71BEC7D5" w14:textId="60E97375" w:rsidR="00010043" w:rsidRPr="00116838" w:rsidRDefault="00010043" w:rsidP="00973C80">
      <w:pPr>
        <w:pStyle w:val="NormalWeb"/>
        <w:jc w:val="both"/>
        <w:rPr>
          <w:rFonts w:asciiTheme="minorHAnsi" w:hAnsiTheme="minorHAnsi" w:cstheme="minorHAnsi"/>
          <w:sz w:val="22"/>
          <w:szCs w:val="22"/>
        </w:rPr>
      </w:pPr>
      <w:r w:rsidRPr="00090293">
        <w:rPr>
          <w:rFonts w:asciiTheme="minorHAnsi" w:hAnsiTheme="minorHAnsi" w:cstheme="minorHAnsi"/>
          <w:sz w:val="22"/>
          <w:szCs w:val="22"/>
        </w:rPr>
        <w:t xml:space="preserve">In </w:t>
      </w:r>
      <w:r w:rsidR="00E75F71" w:rsidRPr="00090293">
        <w:rPr>
          <w:rFonts w:asciiTheme="minorHAnsi" w:hAnsiTheme="minorHAnsi" w:cstheme="minorHAnsi"/>
          <w:sz w:val="22"/>
          <w:szCs w:val="22"/>
        </w:rPr>
        <w:t>M</w:t>
      </w:r>
      <w:r w:rsidRPr="00090293">
        <w:rPr>
          <w:rFonts w:asciiTheme="minorHAnsi" w:hAnsiTheme="minorHAnsi" w:cstheme="minorHAnsi"/>
          <w:sz w:val="22"/>
          <w:szCs w:val="22"/>
        </w:rPr>
        <w:t xml:space="preserve">ay 2022, the IDB </w:t>
      </w:r>
      <w:r w:rsidR="00EF5F6A">
        <w:rPr>
          <w:rFonts w:asciiTheme="minorHAnsi" w:hAnsiTheme="minorHAnsi" w:cstheme="minorHAnsi"/>
          <w:sz w:val="22"/>
          <w:szCs w:val="22"/>
        </w:rPr>
        <w:t>published</w:t>
      </w:r>
      <w:r w:rsidR="008448B9" w:rsidRPr="00090293">
        <w:rPr>
          <w:rFonts w:asciiTheme="minorHAnsi" w:hAnsiTheme="minorHAnsi" w:cstheme="minorHAnsi"/>
          <w:sz w:val="22"/>
          <w:szCs w:val="22"/>
        </w:rPr>
        <w:t xml:space="preserve"> </w:t>
      </w:r>
      <w:r w:rsidRPr="00090293">
        <w:rPr>
          <w:rFonts w:asciiTheme="minorHAnsi" w:hAnsiTheme="minorHAnsi" w:cstheme="minorHAnsi"/>
          <w:sz w:val="22"/>
          <w:szCs w:val="22"/>
        </w:rPr>
        <w:t xml:space="preserve">a Technical Note </w:t>
      </w:r>
      <w:r w:rsidR="008448B9" w:rsidRPr="00090293">
        <w:rPr>
          <w:rFonts w:asciiTheme="minorHAnsi" w:hAnsiTheme="minorHAnsi" w:cstheme="minorHAnsi"/>
          <w:sz w:val="22"/>
          <w:szCs w:val="22"/>
        </w:rPr>
        <w:t xml:space="preserve">(TN) </w:t>
      </w:r>
      <w:r w:rsidRPr="00090293">
        <w:rPr>
          <w:rFonts w:asciiTheme="minorHAnsi" w:hAnsiTheme="minorHAnsi" w:cstheme="minorHAnsi"/>
          <w:sz w:val="22"/>
          <w:szCs w:val="22"/>
        </w:rPr>
        <w:t xml:space="preserve">on </w:t>
      </w:r>
      <w:r w:rsidR="008448B9" w:rsidRPr="00090293">
        <w:rPr>
          <w:rFonts w:asciiTheme="minorHAnsi" w:hAnsiTheme="minorHAnsi" w:cstheme="minorHAnsi"/>
          <w:sz w:val="22"/>
          <w:szCs w:val="22"/>
        </w:rPr>
        <w:t xml:space="preserve">Managing </w:t>
      </w:r>
      <w:r w:rsidRPr="00090293">
        <w:rPr>
          <w:rFonts w:asciiTheme="minorHAnsi" w:hAnsiTheme="minorHAnsi" w:cstheme="minorHAnsi"/>
          <w:sz w:val="22"/>
          <w:szCs w:val="22"/>
        </w:rPr>
        <w:t xml:space="preserve">Human Rights </w:t>
      </w:r>
      <w:r w:rsidR="008448B9" w:rsidRPr="00090293">
        <w:rPr>
          <w:rFonts w:asciiTheme="minorHAnsi" w:hAnsiTheme="minorHAnsi" w:cstheme="minorHAnsi"/>
          <w:sz w:val="22"/>
          <w:szCs w:val="22"/>
        </w:rPr>
        <w:t xml:space="preserve"> Risks in IDB Projects, </w:t>
      </w:r>
      <w:r w:rsidR="00E75F71" w:rsidRPr="00090293">
        <w:rPr>
          <w:rFonts w:asciiTheme="minorHAnsi" w:hAnsiTheme="minorHAnsi" w:cstheme="minorHAnsi"/>
          <w:sz w:val="22"/>
          <w:szCs w:val="22"/>
        </w:rPr>
        <w:t xml:space="preserve"> which</w:t>
      </w:r>
      <w:r w:rsidRPr="00090293">
        <w:rPr>
          <w:rFonts w:asciiTheme="minorHAnsi" w:hAnsiTheme="minorHAnsi" w:cstheme="minorHAnsi"/>
          <w:sz w:val="22"/>
          <w:szCs w:val="22"/>
        </w:rPr>
        <w:t xml:space="preserve"> aims </w:t>
      </w:r>
      <w:r w:rsidR="00E75F71" w:rsidRPr="00090293">
        <w:rPr>
          <w:rFonts w:asciiTheme="minorHAnsi" w:hAnsiTheme="minorHAnsi" w:cstheme="minorHAnsi"/>
          <w:sz w:val="22"/>
          <w:szCs w:val="22"/>
        </w:rPr>
        <w:t xml:space="preserve">at </w:t>
      </w:r>
      <w:r w:rsidRPr="00090293">
        <w:rPr>
          <w:rFonts w:asciiTheme="minorHAnsi" w:hAnsiTheme="minorHAnsi" w:cstheme="minorHAnsi"/>
          <w:sz w:val="22"/>
          <w:szCs w:val="22"/>
        </w:rPr>
        <w:t>provid</w:t>
      </w:r>
      <w:r w:rsidR="00E75F71" w:rsidRPr="00090293">
        <w:rPr>
          <w:rFonts w:asciiTheme="minorHAnsi" w:hAnsiTheme="minorHAnsi" w:cstheme="minorHAnsi"/>
          <w:sz w:val="22"/>
          <w:szCs w:val="22"/>
        </w:rPr>
        <w:t xml:space="preserve">ing </w:t>
      </w:r>
      <w:r w:rsidRPr="00090293">
        <w:rPr>
          <w:rFonts w:asciiTheme="minorHAnsi" w:hAnsiTheme="minorHAnsi" w:cstheme="minorHAnsi"/>
          <w:sz w:val="22"/>
          <w:szCs w:val="22"/>
        </w:rPr>
        <w:t>support to IDB</w:t>
      </w:r>
      <w:r w:rsidR="008448B9" w:rsidRPr="00090293">
        <w:rPr>
          <w:rFonts w:asciiTheme="minorHAnsi" w:hAnsiTheme="minorHAnsi" w:cstheme="minorHAnsi"/>
          <w:sz w:val="22"/>
          <w:szCs w:val="22"/>
        </w:rPr>
        <w:t xml:space="preserve"> borrowing member countries (Borrowers)</w:t>
      </w:r>
      <w:r w:rsidR="00E75F71" w:rsidRPr="00090293">
        <w:rPr>
          <w:rFonts w:asciiTheme="minorHAnsi" w:hAnsiTheme="minorHAnsi" w:cstheme="minorHAnsi"/>
          <w:sz w:val="22"/>
          <w:szCs w:val="22"/>
        </w:rPr>
        <w:t xml:space="preserve"> </w:t>
      </w:r>
      <w:r w:rsidRPr="00090293">
        <w:rPr>
          <w:rFonts w:asciiTheme="minorHAnsi" w:hAnsiTheme="minorHAnsi" w:cstheme="minorHAnsi"/>
          <w:sz w:val="22"/>
          <w:szCs w:val="22"/>
        </w:rPr>
        <w:t xml:space="preserve"> in identifying and addressing human rights risks and impacts on IDB-financed projects under the new ESPF (</w:t>
      </w:r>
      <w:hyperlink r:id="rId9" w:history="1">
        <w:r w:rsidRPr="00090293">
          <w:rPr>
            <w:rStyle w:val="Hyperlink"/>
            <w:rFonts w:asciiTheme="minorHAnsi" w:hAnsiTheme="minorHAnsi" w:cstheme="minorHAnsi"/>
            <w:sz w:val="22"/>
            <w:szCs w:val="22"/>
          </w:rPr>
          <w:t>https://publications.iadb.org/publications/english/viewer/Managing-Human-Rights-Risks-in-IDB-Projects--Requirements-of-the-IDBs-Environmental-and-Social-Policy-Framework.pdf</w:t>
        </w:r>
      </w:hyperlink>
      <w:r w:rsidRPr="00090293">
        <w:rPr>
          <w:rFonts w:asciiTheme="minorHAnsi" w:hAnsiTheme="minorHAnsi" w:cstheme="minorHAnsi"/>
          <w:sz w:val="22"/>
          <w:szCs w:val="22"/>
        </w:rPr>
        <w:t>.) Th</w:t>
      </w:r>
      <w:r w:rsidR="008448B9" w:rsidRPr="00090293">
        <w:rPr>
          <w:rFonts w:asciiTheme="minorHAnsi" w:hAnsiTheme="minorHAnsi" w:cstheme="minorHAnsi"/>
          <w:sz w:val="22"/>
          <w:szCs w:val="22"/>
        </w:rPr>
        <w:t xml:space="preserve">e TN </w:t>
      </w:r>
      <w:r w:rsidRPr="00090293">
        <w:rPr>
          <w:rFonts w:asciiTheme="minorHAnsi" w:hAnsiTheme="minorHAnsi" w:cstheme="minorHAnsi"/>
          <w:sz w:val="22"/>
          <w:szCs w:val="22"/>
        </w:rPr>
        <w:t>outlines how human rights are addressed by the ESPF’s ten Environmental and Social Performance Standards (ESPS) and various other IDB policies and provides information on key human rights issues in the L</w:t>
      </w:r>
      <w:r w:rsidR="008448B9" w:rsidRPr="00090293">
        <w:rPr>
          <w:rFonts w:asciiTheme="minorHAnsi" w:hAnsiTheme="minorHAnsi" w:cstheme="minorHAnsi"/>
          <w:sz w:val="22"/>
          <w:szCs w:val="22"/>
        </w:rPr>
        <w:t>atin American and Caribbean (L</w:t>
      </w:r>
      <w:r w:rsidRPr="00090293">
        <w:rPr>
          <w:rFonts w:asciiTheme="minorHAnsi" w:hAnsiTheme="minorHAnsi" w:cstheme="minorHAnsi"/>
          <w:sz w:val="22"/>
          <w:szCs w:val="22"/>
        </w:rPr>
        <w:t>AC</w:t>
      </w:r>
      <w:r w:rsidR="008448B9" w:rsidRPr="00090293">
        <w:rPr>
          <w:rFonts w:asciiTheme="minorHAnsi" w:hAnsiTheme="minorHAnsi" w:cstheme="minorHAnsi"/>
          <w:sz w:val="22"/>
          <w:szCs w:val="22"/>
        </w:rPr>
        <w:t>)</w:t>
      </w:r>
      <w:r w:rsidRPr="00090293">
        <w:rPr>
          <w:rFonts w:asciiTheme="minorHAnsi" w:hAnsiTheme="minorHAnsi" w:cstheme="minorHAnsi"/>
          <w:sz w:val="22"/>
          <w:szCs w:val="22"/>
        </w:rPr>
        <w:t xml:space="preserve"> region. With a particular focus on ESPF requirements, the T</w:t>
      </w:r>
      <w:r w:rsidR="008448B9" w:rsidRPr="00090293">
        <w:rPr>
          <w:rFonts w:asciiTheme="minorHAnsi" w:hAnsiTheme="minorHAnsi" w:cstheme="minorHAnsi"/>
          <w:sz w:val="22"/>
          <w:szCs w:val="22"/>
        </w:rPr>
        <w:t xml:space="preserve">N </w:t>
      </w:r>
      <w:r w:rsidRPr="00090293">
        <w:rPr>
          <w:rFonts w:asciiTheme="minorHAnsi" w:hAnsiTheme="minorHAnsi" w:cstheme="minorHAnsi"/>
          <w:sz w:val="22"/>
          <w:szCs w:val="22"/>
        </w:rPr>
        <w:t>focuses on how Borrowers can integrate a human rights lens into the design and implementation of IDB-financed projects. As such, it also provides key guidance on stakeholder engagement and effective grievance management, as these are key parts of the human rights-based approach. Finally, the T</w:t>
      </w:r>
      <w:r w:rsidR="008448B9" w:rsidRPr="00090293">
        <w:rPr>
          <w:rFonts w:asciiTheme="minorHAnsi" w:hAnsiTheme="minorHAnsi" w:cstheme="minorHAnsi"/>
          <w:sz w:val="22"/>
          <w:szCs w:val="22"/>
        </w:rPr>
        <w:t xml:space="preserve">N </w:t>
      </w:r>
      <w:r w:rsidRPr="00090293">
        <w:rPr>
          <w:rFonts w:asciiTheme="minorHAnsi" w:hAnsiTheme="minorHAnsi" w:cstheme="minorHAnsi"/>
          <w:sz w:val="22"/>
          <w:szCs w:val="22"/>
        </w:rPr>
        <w:t xml:space="preserve">looks at the importance </w:t>
      </w:r>
      <w:r w:rsidR="00BA0A0C" w:rsidRPr="00090293">
        <w:rPr>
          <w:rFonts w:asciiTheme="minorHAnsi" w:hAnsiTheme="minorHAnsi" w:cstheme="minorHAnsi"/>
          <w:sz w:val="22"/>
          <w:szCs w:val="22"/>
        </w:rPr>
        <w:t>of</w:t>
      </w:r>
      <w:r w:rsidRPr="00090293">
        <w:rPr>
          <w:rFonts w:asciiTheme="minorHAnsi" w:hAnsiTheme="minorHAnsi" w:cstheme="minorHAnsi"/>
          <w:sz w:val="22"/>
          <w:szCs w:val="22"/>
        </w:rPr>
        <w:t xml:space="preserve"> collaborative approaches to working on human rights issues, particularly when addressing complex and contextual challenges.</w:t>
      </w:r>
      <w:r w:rsidR="00090293" w:rsidRPr="00090293">
        <w:rPr>
          <w:rFonts w:asciiTheme="minorHAnsi" w:hAnsiTheme="minorHAnsi" w:cstheme="minorHAnsi"/>
          <w:sz w:val="22"/>
          <w:szCs w:val="22"/>
        </w:rPr>
        <w:t xml:space="preserve"> </w:t>
      </w:r>
    </w:p>
    <w:p w14:paraId="6A0CC145" w14:textId="3A6572A7" w:rsidR="00892A8A" w:rsidRPr="00116838" w:rsidRDefault="00892A8A"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 xml:space="preserve">In addition to the ESPF, </w:t>
      </w:r>
      <w:r w:rsidR="008448B9">
        <w:rPr>
          <w:rFonts w:asciiTheme="minorHAnsi" w:hAnsiTheme="minorHAnsi" w:cstheme="minorHAnsi"/>
          <w:sz w:val="22"/>
          <w:szCs w:val="22"/>
        </w:rPr>
        <w:t xml:space="preserve">the IDB has </w:t>
      </w:r>
      <w:r w:rsidRPr="00116838">
        <w:rPr>
          <w:rFonts w:asciiTheme="minorHAnsi" w:hAnsiTheme="minorHAnsi" w:cstheme="minorHAnsi"/>
          <w:sz w:val="22"/>
          <w:szCs w:val="22"/>
        </w:rPr>
        <w:t xml:space="preserve">complementary instruments governing or relating to human rights. </w:t>
      </w:r>
    </w:p>
    <w:p w14:paraId="4E85E919" w14:textId="4B8FA4F6" w:rsidR="00892A8A" w:rsidRPr="00090293" w:rsidRDefault="00CD3B4E" w:rsidP="00973C80">
      <w:pPr>
        <w:pStyle w:val="NormalWeb"/>
        <w:numPr>
          <w:ilvl w:val="0"/>
          <w:numId w:val="14"/>
        </w:numPr>
        <w:ind w:left="284" w:hanging="284"/>
        <w:jc w:val="both"/>
        <w:rPr>
          <w:rFonts w:asciiTheme="minorHAnsi" w:hAnsiTheme="minorHAnsi" w:cstheme="minorHAnsi"/>
          <w:sz w:val="22"/>
          <w:szCs w:val="22"/>
        </w:rPr>
      </w:pPr>
      <w:r w:rsidRPr="00090293">
        <w:rPr>
          <w:rFonts w:asciiTheme="minorHAnsi" w:hAnsiTheme="minorHAnsi" w:cstheme="minorHAnsi"/>
          <w:sz w:val="22"/>
          <w:szCs w:val="22"/>
        </w:rPr>
        <w:t>T</w:t>
      </w:r>
      <w:r w:rsidR="00892A8A" w:rsidRPr="00090293">
        <w:rPr>
          <w:rFonts w:asciiTheme="minorHAnsi" w:hAnsiTheme="minorHAnsi" w:cstheme="minorHAnsi"/>
          <w:sz w:val="22"/>
          <w:szCs w:val="22"/>
        </w:rPr>
        <w:t xml:space="preserve">he Access to Information Policy and its Implementation Guidelines define what project-related information and Board documents should be disclosed publicly, how this should happen, and commits the Bank to transparency in </w:t>
      </w:r>
      <w:r w:rsidR="008F1829" w:rsidRPr="00090293">
        <w:rPr>
          <w:rFonts w:asciiTheme="minorHAnsi" w:hAnsiTheme="minorHAnsi" w:cstheme="minorHAnsi"/>
          <w:sz w:val="22"/>
          <w:szCs w:val="22"/>
        </w:rPr>
        <w:t>all</w:t>
      </w:r>
      <w:r w:rsidR="00892A8A" w:rsidRPr="00090293">
        <w:rPr>
          <w:rFonts w:asciiTheme="minorHAnsi" w:hAnsiTheme="minorHAnsi" w:cstheme="minorHAnsi"/>
          <w:sz w:val="22"/>
          <w:szCs w:val="22"/>
        </w:rPr>
        <w:t xml:space="preserve"> its activities.</w:t>
      </w:r>
      <w:r w:rsidR="008919F0" w:rsidRPr="00090293">
        <w:rPr>
          <w:rFonts w:asciiTheme="minorHAnsi" w:hAnsiTheme="minorHAnsi" w:cstheme="minorHAnsi"/>
          <w:sz w:val="22"/>
          <w:szCs w:val="22"/>
        </w:rPr>
        <w:t xml:space="preserve"> This policy is currently being updated trough a consultation process with civil society (</w:t>
      </w:r>
      <w:hyperlink r:id="rId10" w:history="1">
        <w:r w:rsidR="008919F0" w:rsidRPr="00090293">
          <w:rPr>
            <w:rStyle w:val="Hyperlink"/>
            <w:rFonts w:asciiTheme="minorHAnsi" w:hAnsiTheme="minorHAnsi" w:cstheme="minorHAnsi"/>
            <w:sz w:val="22"/>
            <w:szCs w:val="22"/>
          </w:rPr>
          <w:t>https://nam02.safelinks.protection.outlook.com/?url=https%3A%2F%2Fwww.iadb.org%2Fdocument.cfm%3Fid%3DEZSHARE-908968382-303&amp;data=05%7C01%7CCRISTIANPI%40IADB.ORG%7Cc2cd524f390743c4f2c208da89dbb2df%7C9dfb1a055f1d449a896062abcb479e7d%7C0%7C0%7C637973873944792025%7CUnknown%7CTWFpbGZsb3d8eyJWIjoiMC4wLjAwMDAiLCJQIjoiV2luMzIiLCJBTiI6Ik1haWwiLCJXVCI6Mn0%3D%7C3000%7C%7C%7C&amp;sdata=B%2FsKPW7w8%2BnFuLvEozsh8thND%2BHPgy3gU65KZqztBig%3D&amp;reserved=0</w:t>
        </w:r>
      </w:hyperlink>
      <w:r w:rsidR="008919F0" w:rsidRPr="00090293">
        <w:rPr>
          <w:rFonts w:asciiTheme="minorHAnsi" w:hAnsiTheme="minorHAnsi" w:cstheme="minorHAnsi"/>
          <w:sz w:val="22"/>
          <w:szCs w:val="22"/>
        </w:rPr>
        <w:t>)</w:t>
      </w:r>
      <w:r w:rsidR="00090293" w:rsidRPr="00B404E8">
        <w:rPr>
          <w:rFonts w:asciiTheme="minorHAnsi" w:hAnsiTheme="minorHAnsi" w:cstheme="minorHAnsi"/>
          <w:sz w:val="22"/>
          <w:szCs w:val="22"/>
        </w:rPr>
        <w:t xml:space="preserve"> </w:t>
      </w:r>
    </w:p>
    <w:p w14:paraId="5A233EF3" w14:textId="0C56EBDE" w:rsidR="008919F0" w:rsidRPr="00090293" w:rsidRDefault="00892A8A" w:rsidP="00973C80">
      <w:pPr>
        <w:pStyle w:val="NormalWeb"/>
        <w:numPr>
          <w:ilvl w:val="0"/>
          <w:numId w:val="14"/>
        </w:numPr>
        <w:ind w:left="284" w:hanging="284"/>
        <w:jc w:val="both"/>
        <w:rPr>
          <w:rFonts w:asciiTheme="minorHAnsi" w:hAnsiTheme="minorHAnsi" w:cstheme="minorHAnsi"/>
          <w:sz w:val="22"/>
          <w:szCs w:val="22"/>
        </w:rPr>
      </w:pPr>
      <w:r w:rsidRPr="00090293">
        <w:rPr>
          <w:rFonts w:asciiTheme="minorHAnsi" w:hAnsiTheme="minorHAnsi" w:cstheme="minorHAnsi"/>
          <w:sz w:val="22"/>
          <w:szCs w:val="22"/>
        </w:rPr>
        <w:t xml:space="preserve">The IDB </w:t>
      </w:r>
      <w:r w:rsidR="008448B9" w:rsidRPr="00090293">
        <w:rPr>
          <w:rFonts w:asciiTheme="minorHAnsi" w:hAnsiTheme="minorHAnsi" w:cstheme="minorHAnsi"/>
          <w:sz w:val="22"/>
          <w:szCs w:val="22"/>
        </w:rPr>
        <w:t xml:space="preserve">Policies for the </w:t>
      </w:r>
      <w:r w:rsidRPr="00090293">
        <w:rPr>
          <w:rFonts w:asciiTheme="minorHAnsi" w:hAnsiTheme="minorHAnsi" w:cstheme="minorHAnsi"/>
          <w:sz w:val="22"/>
          <w:szCs w:val="22"/>
        </w:rPr>
        <w:t xml:space="preserve">Procurement </w:t>
      </w:r>
      <w:r w:rsidR="008448B9" w:rsidRPr="00090293">
        <w:rPr>
          <w:rFonts w:asciiTheme="minorHAnsi" w:hAnsiTheme="minorHAnsi" w:cstheme="minorHAnsi"/>
          <w:sz w:val="22"/>
          <w:szCs w:val="22"/>
        </w:rPr>
        <w:t>of Goods and Works</w:t>
      </w:r>
      <w:r w:rsidR="00090293" w:rsidRPr="00090293">
        <w:rPr>
          <w:rFonts w:asciiTheme="minorHAnsi" w:hAnsiTheme="minorHAnsi" w:cstheme="minorHAnsi"/>
          <w:sz w:val="22"/>
          <w:szCs w:val="22"/>
        </w:rPr>
        <w:t xml:space="preserve"> and for the Selection and Contracting of Consultants</w:t>
      </w:r>
      <w:r w:rsidR="008448B9" w:rsidRPr="00090293">
        <w:rPr>
          <w:rFonts w:asciiTheme="minorHAnsi" w:hAnsiTheme="minorHAnsi" w:cstheme="minorHAnsi"/>
          <w:sz w:val="22"/>
          <w:szCs w:val="22"/>
        </w:rPr>
        <w:t xml:space="preserve"> </w:t>
      </w:r>
      <w:r w:rsidRPr="00090293">
        <w:rPr>
          <w:rFonts w:asciiTheme="minorHAnsi" w:hAnsiTheme="minorHAnsi" w:cstheme="minorHAnsi"/>
          <w:sz w:val="22"/>
          <w:szCs w:val="22"/>
        </w:rPr>
        <w:t xml:space="preserve">and </w:t>
      </w:r>
      <w:r w:rsidR="00090293" w:rsidRPr="00090293">
        <w:rPr>
          <w:rFonts w:asciiTheme="minorHAnsi" w:hAnsiTheme="minorHAnsi" w:cstheme="minorHAnsi"/>
          <w:sz w:val="22"/>
          <w:szCs w:val="22"/>
        </w:rPr>
        <w:t xml:space="preserve">their </w:t>
      </w:r>
      <w:r w:rsidRPr="00090293">
        <w:rPr>
          <w:rFonts w:asciiTheme="minorHAnsi" w:hAnsiTheme="minorHAnsi" w:cstheme="minorHAnsi"/>
          <w:sz w:val="22"/>
          <w:szCs w:val="22"/>
        </w:rPr>
        <w:t xml:space="preserve">Standard Bidding Documents contain provisions and instructions related to human rights, such as forced labor, </w:t>
      </w:r>
      <w:r w:rsidR="008448B9" w:rsidRPr="00090293">
        <w:rPr>
          <w:rFonts w:asciiTheme="minorHAnsi" w:hAnsiTheme="minorHAnsi" w:cstheme="minorHAnsi"/>
          <w:sz w:val="22"/>
          <w:szCs w:val="22"/>
        </w:rPr>
        <w:t xml:space="preserve">which </w:t>
      </w:r>
      <w:r w:rsidRPr="00090293">
        <w:rPr>
          <w:rFonts w:asciiTheme="minorHAnsi" w:hAnsiTheme="minorHAnsi" w:cstheme="minorHAnsi"/>
          <w:sz w:val="22"/>
          <w:szCs w:val="22"/>
        </w:rPr>
        <w:t xml:space="preserve">all contractors and suppliers need to comply with in the </w:t>
      </w:r>
      <w:r w:rsidR="008448B9" w:rsidRPr="00090293">
        <w:rPr>
          <w:rFonts w:asciiTheme="minorHAnsi" w:hAnsiTheme="minorHAnsi" w:cstheme="minorHAnsi"/>
          <w:sz w:val="22"/>
          <w:szCs w:val="22"/>
        </w:rPr>
        <w:t xml:space="preserve">implementation </w:t>
      </w:r>
      <w:r w:rsidRPr="00090293">
        <w:rPr>
          <w:rFonts w:asciiTheme="minorHAnsi" w:hAnsiTheme="minorHAnsi" w:cstheme="minorHAnsi"/>
          <w:sz w:val="22"/>
          <w:szCs w:val="22"/>
        </w:rPr>
        <w:t>of IDB-financed projects.</w:t>
      </w:r>
      <w:r w:rsidR="008919F0" w:rsidRPr="00090293">
        <w:rPr>
          <w:rFonts w:asciiTheme="minorHAnsi" w:hAnsiTheme="minorHAnsi" w:cstheme="minorHAnsi"/>
          <w:sz w:val="22"/>
          <w:szCs w:val="22"/>
        </w:rPr>
        <w:t xml:space="preserve"> (</w:t>
      </w:r>
      <w:hyperlink r:id="rId11" w:history="1">
        <w:r w:rsidR="008919F0" w:rsidRPr="00090293">
          <w:rPr>
            <w:rFonts w:asciiTheme="minorHAnsi" w:hAnsiTheme="minorHAnsi" w:cstheme="minorHAnsi"/>
            <w:sz w:val="22"/>
            <w:szCs w:val="22"/>
          </w:rPr>
          <w:t>https://projectprocurement.iadb.org/en/policies</w:t>
        </w:r>
      </w:hyperlink>
      <w:r w:rsidR="008919F0" w:rsidRPr="00090293">
        <w:rPr>
          <w:rFonts w:asciiTheme="minorHAnsi" w:hAnsiTheme="minorHAnsi" w:cstheme="minorHAnsi"/>
          <w:sz w:val="22"/>
          <w:szCs w:val="22"/>
        </w:rPr>
        <w:t>)</w:t>
      </w:r>
      <w:r w:rsidR="00090293" w:rsidRPr="00B404E8">
        <w:rPr>
          <w:rFonts w:asciiTheme="minorHAnsi" w:hAnsiTheme="minorHAnsi" w:cstheme="minorHAnsi"/>
          <w:sz w:val="22"/>
          <w:szCs w:val="22"/>
        </w:rPr>
        <w:t xml:space="preserve"> </w:t>
      </w:r>
    </w:p>
    <w:p w14:paraId="32094B93" w14:textId="58DEDFA5" w:rsidR="00892A8A" w:rsidRPr="00090293" w:rsidRDefault="00892A8A" w:rsidP="00973C80">
      <w:pPr>
        <w:pStyle w:val="NormalWeb"/>
        <w:numPr>
          <w:ilvl w:val="0"/>
          <w:numId w:val="14"/>
        </w:numPr>
        <w:ind w:left="284" w:hanging="284"/>
        <w:jc w:val="both"/>
        <w:rPr>
          <w:rFonts w:asciiTheme="minorHAnsi" w:hAnsiTheme="minorHAnsi" w:cstheme="minorHAnsi"/>
          <w:sz w:val="22"/>
          <w:szCs w:val="22"/>
        </w:rPr>
      </w:pPr>
      <w:r w:rsidRPr="00090293">
        <w:rPr>
          <w:rFonts w:asciiTheme="minorHAnsi" w:hAnsiTheme="minorHAnsi" w:cstheme="minorHAnsi"/>
          <w:sz w:val="22"/>
          <w:szCs w:val="22"/>
        </w:rPr>
        <w:t>The Independent Consultation and Investigation Mechanism (MICI) establishes the process of the Inter-American Development Bank Group</w:t>
      </w:r>
      <w:r w:rsidR="00341275" w:rsidRPr="00090293">
        <w:rPr>
          <w:rFonts w:asciiTheme="minorHAnsi" w:hAnsiTheme="minorHAnsi" w:cstheme="minorHAnsi"/>
          <w:sz w:val="22"/>
          <w:szCs w:val="22"/>
        </w:rPr>
        <w:t>’s</w:t>
      </w:r>
      <w:r w:rsidRPr="00090293">
        <w:rPr>
          <w:rFonts w:asciiTheme="minorHAnsi" w:hAnsiTheme="minorHAnsi" w:cstheme="minorHAnsi"/>
          <w:sz w:val="22"/>
          <w:szCs w:val="22"/>
        </w:rPr>
        <w:t xml:space="preserve"> (IDBG) independent accountability mechanism. MICI handles complaints from communities harmed by environmental and social impacts caused by projects funded by any of the institutions that make up the IDBG, including the IDB. Once a complaint is found to be eligible, the Mechanism can either initiate a consultation phase – a flexible and voluntary dispute resolution process – or a compliance review phase, which involves a fact-finding process where MICI acts as an independent investigator to determine whether the IDBG has complied with its environmental and social standards in relation to the allegations of harm raised by the complainants. </w:t>
      </w:r>
      <w:r w:rsidRPr="00090293">
        <w:rPr>
          <w:rFonts w:asciiTheme="minorHAnsi" w:hAnsiTheme="minorHAnsi" w:cstheme="minorHAnsi"/>
          <w:sz w:val="22"/>
          <w:szCs w:val="22"/>
        </w:rPr>
        <w:lastRenderedPageBreak/>
        <w:t>See Section 7 for more information on the interplay between MICI and project-level complaint mechanisms</w:t>
      </w:r>
      <w:r w:rsidR="008919F0" w:rsidRPr="00090293">
        <w:rPr>
          <w:rFonts w:asciiTheme="minorHAnsi" w:hAnsiTheme="minorHAnsi" w:cstheme="minorHAnsi"/>
          <w:sz w:val="22"/>
          <w:szCs w:val="22"/>
        </w:rPr>
        <w:t xml:space="preserve"> (</w:t>
      </w:r>
      <w:hyperlink r:id="rId12" w:history="1">
        <w:r w:rsidR="008919F0" w:rsidRPr="00090293">
          <w:rPr>
            <w:rStyle w:val="Hyperlink"/>
            <w:rFonts w:asciiTheme="minorHAnsi" w:hAnsiTheme="minorHAnsi" w:cstheme="minorHAnsi"/>
            <w:sz w:val="22"/>
            <w:szCs w:val="22"/>
          </w:rPr>
          <w:t>https://www.iadb.org/es/mici/mici-mecanismo-independiente-de-consulta-e-investigacion</w:t>
        </w:r>
      </w:hyperlink>
      <w:r w:rsidR="008919F0" w:rsidRPr="00090293">
        <w:rPr>
          <w:rFonts w:asciiTheme="minorHAnsi" w:hAnsiTheme="minorHAnsi" w:cstheme="minorHAnsi"/>
          <w:sz w:val="22"/>
          <w:szCs w:val="22"/>
        </w:rPr>
        <w:t>).</w:t>
      </w:r>
      <w:r w:rsidR="00090293" w:rsidRPr="00B404E8">
        <w:rPr>
          <w:rFonts w:asciiTheme="minorHAnsi" w:hAnsiTheme="minorHAnsi" w:cstheme="minorHAnsi"/>
          <w:sz w:val="22"/>
          <w:szCs w:val="22"/>
        </w:rPr>
        <w:t xml:space="preserve"> </w:t>
      </w:r>
    </w:p>
    <w:p w14:paraId="6E0146E6" w14:textId="79369B93" w:rsidR="008919F0" w:rsidRPr="00116838" w:rsidRDefault="008919F0"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 xml:space="preserve">Additionally, the IDB has developed </w:t>
      </w:r>
      <w:r w:rsidR="00090293">
        <w:rPr>
          <w:rFonts w:asciiTheme="minorHAnsi" w:hAnsiTheme="minorHAnsi" w:cstheme="minorHAnsi"/>
          <w:sz w:val="22"/>
          <w:szCs w:val="22"/>
        </w:rPr>
        <w:t>g</w:t>
      </w:r>
      <w:r w:rsidRPr="00116838">
        <w:rPr>
          <w:rFonts w:asciiTheme="minorHAnsi" w:hAnsiTheme="minorHAnsi" w:cstheme="minorHAnsi"/>
          <w:sz w:val="22"/>
          <w:szCs w:val="22"/>
        </w:rPr>
        <w:t>uidelines to provide guidance to Borrowers on the requirements of the ESPSs, with the overall purpose of improving project performance and environmental and social outcomes (</w:t>
      </w:r>
      <w:hyperlink r:id="rId13" w:history="1">
        <w:r w:rsidRPr="00116838">
          <w:rPr>
            <w:rStyle w:val="Hyperlink"/>
            <w:rFonts w:asciiTheme="minorHAnsi" w:hAnsiTheme="minorHAnsi" w:cstheme="minorHAnsi"/>
            <w:sz w:val="22"/>
            <w:szCs w:val="22"/>
          </w:rPr>
          <w:t>https://www.iadb.org/document.cfm?id=EZSHARE-110529158-192</w:t>
        </w:r>
      </w:hyperlink>
      <w:r w:rsidRPr="00116838">
        <w:rPr>
          <w:rFonts w:asciiTheme="minorHAnsi" w:hAnsiTheme="minorHAnsi" w:cstheme="minorHAnsi"/>
          <w:sz w:val="22"/>
          <w:szCs w:val="22"/>
        </w:rPr>
        <w:t xml:space="preserve">.) </w:t>
      </w:r>
    </w:p>
    <w:p w14:paraId="5C816687" w14:textId="4583C3FD" w:rsidR="008919F0" w:rsidRPr="00116838" w:rsidRDefault="008919F0"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Other specific guidelines produce</w:t>
      </w:r>
      <w:r w:rsidR="007E2E3B">
        <w:rPr>
          <w:rFonts w:asciiTheme="minorHAnsi" w:hAnsiTheme="minorHAnsi" w:cstheme="minorHAnsi"/>
          <w:sz w:val="22"/>
          <w:szCs w:val="22"/>
        </w:rPr>
        <w:t>d includes:</w:t>
      </w:r>
    </w:p>
    <w:p w14:paraId="777630E5" w14:textId="1E38C0AD" w:rsidR="008919F0" w:rsidRPr="00116838" w:rsidRDefault="008919F0" w:rsidP="00973C80">
      <w:pPr>
        <w:pStyle w:val="NormalWeb"/>
        <w:numPr>
          <w:ilvl w:val="0"/>
          <w:numId w:val="14"/>
        </w:numPr>
        <w:ind w:left="284" w:hanging="284"/>
        <w:jc w:val="both"/>
        <w:rPr>
          <w:rFonts w:asciiTheme="minorHAnsi" w:hAnsiTheme="minorHAnsi" w:cstheme="minorHAnsi"/>
          <w:sz w:val="22"/>
          <w:szCs w:val="22"/>
        </w:rPr>
      </w:pPr>
      <w:r w:rsidRPr="00116838">
        <w:rPr>
          <w:rFonts w:asciiTheme="minorHAnsi" w:hAnsiTheme="minorHAnsi" w:cstheme="minorHAnsi"/>
          <w:sz w:val="22"/>
          <w:szCs w:val="22"/>
        </w:rPr>
        <w:t>The IDB Reprisal Risk Management Guidance Note provides guidance to Borrowers and Executing Agencies in giving practical effect to the ESPF requirements on addressing risks of retaliation against project stakeholders (</w:t>
      </w:r>
      <w:hyperlink r:id="rId14" w:history="1">
        <w:r w:rsidRPr="00116838">
          <w:rPr>
            <w:rStyle w:val="Hyperlink"/>
            <w:rFonts w:asciiTheme="minorHAnsi" w:hAnsiTheme="minorHAnsi" w:cstheme="minorHAnsi"/>
            <w:sz w:val="22"/>
            <w:szCs w:val="22"/>
          </w:rPr>
          <w:t>https://publications.iadb.org/publications/english/viewer/Reprisal-Risk-Management.pdf</w:t>
        </w:r>
      </w:hyperlink>
      <w:r w:rsidRPr="00116838">
        <w:rPr>
          <w:rFonts w:asciiTheme="minorHAnsi" w:hAnsiTheme="minorHAnsi" w:cstheme="minorHAnsi"/>
          <w:sz w:val="22"/>
          <w:szCs w:val="22"/>
        </w:rPr>
        <w:t xml:space="preserve">.) </w:t>
      </w:r>
    </w:p>
    <w:p w14:paraId="3EF86E58" w14:textId="036DE7D3" w:rsidR="008919F0" w:rsidRPr="00116838" w:rsidRDefault="008919F0" w:rsidP="00973C80">
      <w:pPr>
        <w:pStyle w:val="NormalWeb"/>
        <w:numPr>
          <w:ilvl w:val="0"/>
          <w:numId w:val="14"/>
        </w:numPr>
        <w:ind w:left="284" w:hanging="284"/>
        <w:jc w:val="both"/>
        <w:rPr>
          <w:rFonts w:asciiTheme="minorHAnsi" w:hAnsiTheme="minorHAnsi" w:cstheme="minorHAnsi"/>
          <w:sz w:val="22"/>
          <w:szCs w:val="22"/>
        </w:rPr>
      </w:pPr>
      <w:r w:rsidRPr="00116838">
        <w:rPr>
          <w:rFonts w:asciiTheme="minorHAnsi" w:hAnsiTheme="minorHAnsi" w:cstheme="minorHAnsi"/>
          <w:sz w:val="22"/>
          <w:szCs w:val="22"/>
        </w:rPr>
        <w:t>The IDB-developed note on Social Impact Assessment: Integrating Social Issues in Development Projects provides an overview of good practice standards in Social Impact Assessment. The note aims to provide guidance to practitioners and decision-makers (</w:t>
      </w:r>
      <w:hyperlink r:id="rId15" w:history="1">
        <w:r w:rsidRPr="00116838">
          <w:rPr>
            <w:rStyle w:val="Hyperlink"/>
            <w:rFonts w:asciiTheme="minorHAnsi" w:hAnsiTheme="minorHAnsi" w:cstheme="minorHAnsi"/>
            <w:sz w:val="22"/>
            <w:szCs w:val="22"/>
          </w:rPr>
          <w:t>https://publications.iadb.org/publications/english/viewer/Social_Impact_Assessment_Integrating_Social_Issues_in_Development_Projects.pdf</w:t>
        </w:r>
      </w:hyperlink>
      <w:r w:rsidRPr="00116838">
        <w:rPr>
          <w:rFonts w:asciiTheme="minorHAnsi" w:hAnsiTheme="minorHAnsi" w:cstheme="minorHAnsi"/>
          <w:sz w:val="22"/>
          <w:szCs w:val="22"/>
        </w:rPr>
        <w:t xml:space="preserve">) . </w:t>
      </w:r>
    </w:p>
    <w:p w14:paraId="740AAE38" w14:textId="1DEB3347" w:rsidR="008919F0" w:rsidRPr="00116838" w:rsidRDefault="008919F0" w:rsidP="00973C80">
      <w:pPr>
        <w:pStyle w:val="NormalWeb"/>
        <w:numPr>
          <w:ilvl w:val="0"/>
          <w:numId w:val="14"/>
        </w:numPr>
        <w:ind w:left="284" w:hanging="284"/>
        <w:jc w:val="both"/>
        <w:rPr>
          <w:rFonts w:asciiTheme="minorHAnsi" w:hAnsiTheme="minorHAnsi" w:cstheme="minorHAnsi"/>
          <w:sz w:val="22"/>
          <w:szCs w:val="22"/>
        </w:rPr>
      </w:pPr>
      <w:r w:rsidRPr="00116838">
        <w:rPr>
          <w:rFonts w:asciiTheme="minorHAnsi" w:hAnsiTheme="minorHAnsi" w:cstheme="minorHAnsi"/>
          <w:sz w:val="22"/>
          <w:szCs w:val="22"/>
        </w:rPr>
        <w:t>The joint publication on Meaningful Stakeholder Engagement developed by the Multilateral Financial Institutions Group on Environmental and Social Standards provides useful guidance on stakeholder engagement throughout a project’s lifecycle (</w:t>
      </w:r>
      <w:hyperlink r:id="rId16" w:history="1">
        <w:r w:rsidRPr="00116838">
          <w:rPr>
            <w:rStyle w:val="Hyperlink"/>
            <w:rFonts w:asciiTheme="minorHAnsi" w:hAnsiTheme="minorHAnsi" w:cstheme="minorHAnsi"/>
            <w:sz w:val="22"/>
            <w:szCs w:val="22"/>
          </w:rPr>
          <w:t>https://publications.iadb.org/publications/english/viewer/Meaningful_Stakeholder_Engagement_A_Joint_Publication_of_the_MFI_Working_Group_on_Environmental_and_Social_Standards_en.pdf</w:t>
        </w:r>
      </w:hyperlink>
      <w:r w:rsidRPr="00116838">
        <w:rPr>
          <w:rFonts w:asciiTheme="minorHAnsi" w:hAnsiTheme="minorHAnsi" w:cstheme="minorHAnsi"/>
          <w:sz w:val="22"/>
          <w:szCs w:val="22"/>
        </w:rPr>
        <w:t xml:space="preserve">.) </w:t>
      </w:r>
    </w:p>
    <w:p w14:paraId="3F051F5B" w14:textId="0E528B61" w:rsidR="00010043" w:rsidRPr="00116838"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At the sectoral level, the IADB has produce</w:t>
      </w:r>
      <w:r w:rsidR="001E058B">
        <w:rPr>
          <w:rFonts w:asciiTheme="minorHAnsi" w:hAnsiTheme="minorHAnsi" w:cstheme="minorHAnsi"/>
          <w:sz w:val="22"/>
          <w:szCs w:val="22"/>
        </w:rPr>
        <w:t>d</w:t>
      </w:r>
      <w:r w:rsidRPr="00116838">
        <w:rPr>
          <w:rFonts w:asciiTheme="minorHAnsi" w:hAnsiTheme="minorHAnsi" w:cstheme="minorHAnsi"/>
          <w:sz w:val="22"/>
          <w:szCs w:val="22"/>
        </w:rPr>
        <w:t xml:space="preserve"> s</w:t>
      </w:r>
      <w:r w:rsidR="001E058B">
        <w:rPr>
          <w:rFonts w:asciiTheme="minorHAnsi" w:hAnsiTheme="minorHAnsi" w:cstheme="minorHAnsi"/>
          <w:sz w:val="22"/>
          <w:szCs w:val="22"/>
        </w:rPr>
        <w:t xml:space="preserve"> </w:t>
      </w:r>
      <w:r w:rsidRPr="00116838">
        <w:rPr>
          <w:rFonts w:asciiTheme="minorHAnsi" w:hAnsiTheme="minorHAnsi" w:cstheme="minorHAnsi"/>
          <w:sz w:val="22"/>
          <w:szCs w:val="22"/>
        </w:rPr>
        <w:t>studies and manuals related to specific human rights issues. In 2017, the Water and Sanitation Sector published the Basic Manual on the Human Rights to Water and Sanitation in Latin America and the Caribbean (</w:t>
      </w:r>
      <w:hyperlink r:id="rId17" w:history="1">
        <w:r w:rsidRPr="00116838">
          <w:rPr>
            <w:rStyle w:val="Hyperlink"/>
            <w:rFonts w:asciiTheme="minorHAnsi" w:hAnsiTheme="minorHAnsi" w:cstheme="minorHAnsi"/>
            <w:sz w:val="22"/>
            <w:szCs w:val="22"/>
          </w:rPr>
          <w:t>https://publications.iadb.org/publications/spanish/viewer/Manual-de-Base-sobre-los-Derechos-Humanos-al-Agua-y-al-Saneamiento-en-Latinoam%C3%A9rica-y-el-Caribe.pdf</w:t>
        </w:r>
      </w:hyperlink>
      <w:r w:rsidRPr="00116838">
        <w:rPr>
          <w:rFonts w:asciiTheme="minorHAnsi" w:hAnsiTheme="minorHAnsi" w:cstheme="minorHAnsi"/>
          <w:sz w:val="22"/>
          <w:szCs w:val="22"/>
        </w:rPr>
        <w:t xml:space="preserve">) oriented to </w:t>
      </w:r>
      <w:r w:rsidR="00090293">
        <w:rPr>
          <w:rFonts w:asciiTheme="minorHAnsi" w:hAnsiTheme="minorHAnsi" w:cstheme="minorHAnsi"/>
          <w:sz w:val="22"/>
          <w:szCs w:val="22"/>
        </w:rPr>
        <w:t>B</w:t>
      </w:r>
      <w:r w:rsidRPr="00116838">
        <w:rPr>
          <w:rFonts w:asciiTheme="minorHAnsi" w:hAnsiTheme="minorHAnsi" w:cstheme="minorHAnsi"/>
          <w:sz w:val="22"/>
          <w:szCs w:val="22"/>
        </w:rPr>
        <w:t xml:space="preserve">orrowers, and in 2021 a study on </w:t>
      </w:r>
      <w:r w:rsidR="00090293">
        <w:rPr>
          <w:rFonts w:asciiTheme="minorHAnsi" w:hAnsiTheme="minorHAnsi" w:cstheme="minorHAnsi"/>
          <w:sz w:val="22"/>
          <w:szCs w:val="22"/>
        </w:rPr>
        <w:t>r</w:t>
      </w:r>
      <w:r w:rsidRPr="00116838">
        <w:rPr>
          <w:rFonts w:asciiTheme="minorHAnsi" w:hAnsiTheme="minorHAnsi" w:cstheme="minorHAnsi"/>
          <w:sz w:val="22"/>
          <w:szCs w:val="22"/>
        </w:rPr>
        <w:t>egulators and the implementation of the human rights to water and sanitation in Latin America and the Caribbean was published aim to understand to what extent the human rights to safe drinking water and sanitation are being incorporated into the regulation of water and sanitation services, and to identify the main trends, good practices and opportunities for their full incorporation (</w:t>
      </w:r>
      <w:hyperlink r:id="rId18" w:history="1">
        <w:r w:rsidRPr="00116838">
          <w:rPr>
            <w:rStyle w:val="Hyperlink"/>
            <w:rFonts w:asciiTheme="minorHAnsi" w:hAnsiTheme="minorHAnsi" w:cstheme="minorHAnsi"/>
            <w:sz w:val="22"/>
            <w:szCs w:val="22"/>
          </w:rPr>
          <w:t>https://publications.iadb.org/publications/spanish/viewer/Los-reguladores-y-la-implementacion-de-los-derechos-humanos-al-agua-y-al-saneamiento-en-America-Latina-y-el-Caribe.pdf</w:t>
        </w:r>
      </w:hyperlink>
      <w:r w:rsidRPr="00116838">
        <w:rPr>
          <w:rFonts w:asciiTheme="minorHAnsi" w:hAnsiTheme="minorHAnsi" w:cstheme="minorHAnsi"/>
          <w:sz w:val="22"/>
          <w:szCs w:val="22"/>
        </w:rPr>
        <w:t>)</w:t>
      </w:r>
    </w:p>
    <w:p w14:paraId="43220EA1" w14:textId="16609AD1" w:rsidR="00010043" w:rsidRPr="00116838"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For its part, IDB INVEST has developed a new Sustainability Framework, integrated by a new Access to Information Policy and an Environmental and Social Sustainability Policy approved in April 2019 and 2020, respectively</w:t>
      </w:r>
      <w:r w:rsidR="00661EE5" w:rsidRPr="00116838">
        <w:rPr>
          <w:rFonts w:asciiTheme="minorHAnsi" w:hAnsiTheme="minorHAnsi" w:cstheme="minorHAnsi"/>
          <w:sz w:val="22"/>
          <w:szCs w:val="22"/>
        </w:rPr>
        <w:t xml:space="preserve">. </w:t>
      </w:r>
    </w:p>
    <w:p w14:paraId="0C97FF8C" w14:textId="0CDE3D25" w:rsidR="00010043" w:rsidRPr="00116838"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The new Access to Information Policy reaffirms IDB Invest's commitment to transparency in the exercise of its activities, making explicit reference to the recognition and exercise of the right of access to information as a fundamental human right. Providing clear and correct information to those potentially affected by a project, particularly the most vulnerable, and protecting the identity of information seekers, whistleblowers and human rights defenders from possible reprisals is a fundamental part of this approach</w:t>
      </w:r>
      <w:r w:rsidR="00661EE5" w:rsidRPr="00116838">
        <w:rPr>
          <w:rFonts w:asciiTheme="minorHAnsi" w:hAnsiTheme="minorHAnsi" w:cstheme="minorHAnsi"/>
          <w:sz w:val="22"/>
          <w:szCs w:val="22"/>
        </w:rPr>
        <w:t xml:space="preserve"> (</w:t>
      </w:r>
      <w:hyperlink r:id="rId19" w:history="1">
        <w:r w:rsidR="00661EE5" w:rsidRPr="00116838">
          <w:rPr>
            <w:rStyle w:val="Hyperlink"/>
            <w:rFonts w:asciiTheme="minorHAnsi" w:hAnsiTheme="minorHAnsi" w:cstheme="minorHAnsi"/>
            <w:sz w:val="22"/>
            <w:szCs w:val="22"/>
          </w:rPr>
          <w:t>https://idbinvest.org/sites/default/files/2019-05/ENG%20-%20Pol%C3%ADtica%20de%20Acceso%20a%20Informaci%C3%B3n_web.pdf</w:t>
        </w:r>
      </w:hyperlink>
      <w:r w:rsidRPr="00116838">
        <w:rPr>
          <w:rFonts w:asciiTheme="minorHAnsi" w:hAnsiTheme="minorHAnsi" w:cstheme="minorHAnsi"/>
          <w:sz w:val="22"/>
          <w:szCs w:val="22"/>
        </w:rPr>
        <w:t>.</w:t>
      </w:r>
      <w:r w:rsidR="00661EE5" w:rsidRPr="00116838">
        <w:rPr>
          <w:rFonts w:asciiTheme="minorHAnsi" w:hAnsiTheme="minorHAnsi" w:cstheme="minorHAnsi"/>
          <w:sz w:val="22"/>
          <w:szCs w:val="22"/>
        </w:rPr>
        <w:t xml:space="preserve">) </w:t>
      </w:r>
    </w:p>
    <w:p w14:paraId="3E335528" w14:textId="105ABCFC" w:rsidR="00010043" w:rsidRPr="00116838"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t>Through its new Environmental and Social Sustainability Policy (Sustainability Policy), IDB Invest promotes the responsibility of companies to respect human rights. To that end, IDB Invest requires its clients to have an approach to assess potential human rights risks and impacts, respect human rights, avoid violating the human rights of others, and address risks and adverse impacts to those rights in the context of the projects supported by IDB Invest</w:t>
      </w:r>
      <w:r w:rsidR="00661EE5" w:rsidRPr="00116838">
        <w:rPr>
          <w:rFonts w:asciiTheme="minorHAnsi" w:hAnsiTheme="minorHAnsi" w:cstheme="minorHAnsi"/>
          <w:sz w:val="22"/>
          <w:szCs w:val="22"/>
        </w:rPr>
        <w:t xml:space="preserve"> (</w:t>
      </w:r>
      <w:hyperlink r:id="rId20" w:history="1">
        <w:r w:rsidR="00661EE5" w:rsidRPr="00116838">
          <w:rPr>
            <w:rStyle w:val="Hyperlink"/>
            <w:rFonts w:asciiTheme="minorHAnsi" w:hAnsiTheme="minorHAnsi" w:cstheme="minorHAnsi"/>
            <w:sz w:val="22"/>
            <w:szCs w:val="22"/>
          </w:rPr>
          <w:t>https://idbinvest.org/en/download/18692</w:t>
        </w:r>
      </w:hyperlink>
      <w:r w:rsidR="00661EE5" w:rsidRPr="00116838">
        <w:rPr>
          <w:rFonts w:asciiTheme="minorHAnsi" w:hAnsiTheme="minorHAnsi" w:cstheme="minorHAnsi"/>
          <w:sz w:val="22"/>
          <w:szCs w:val="22"/>
        </w:rPr>
        <w:t>)</w:t>
      </w:r>
      <w:r w:rsidRPr="00116838">
        <w:rPr>
          <w:rFonts w:asciiTheme="minorHAnsi" w:hAnsiTheme="minorHAnsi" w:cstheme="minorHAnsi"/>
          <w:sz w:val="22"/>
          <w:szCs w:val="22"/>
        </w:rPr>
        <w:t>.</w:t>
      </w:r>
    </w:p>
    <w:p w14:paraId="36DCA46B" w14:textId="5256BB51" w:rsidR="00010043" w:rsidRPr="00116838" w:rsidRDefault="00010043" w:rsidP="00973C80">
      <w:pPr>
        <w:pStyle w:val="NormalWeb"/>
        <w:jc w:val="both"/>
        <w:rPr>
          <w:rFonts w:asciiTheme="minorHAnsi" w:hAnsiTheme="minorHAnsi" w:cstheme="minorHAnsi"/>
          <w:sz w:val="22"/>
          <w:szCs w:val="22"/>
        </w:rPr>
      </w:pPr>
      <w:r w:rsidRPr="00116838">
        <w:rPr>
          <w:rFonts w:asciiTheme="minorHAnsi" w:hAnsiTheme="minorHAnsi" w:cstheme="minorHAnsi"/>
          <w:sz w:val="22"/>
          <w:szCs w:val="22"/>
        </w:rPr>
        <w:lastRenderedPageBreak/>
        <w:t>The new policy includes a greater focus on fostering full respect for the human rights, dignity, aspirations, culture, and livelihoods of indigenous peoples, Afro-descendants, and other vulnerable groups. In the new Sustainability Policy, additional protections have been put in place for Indigenous Peoples in voluntary isolation or initial contact.</w:t>
      </w:r>
    </w:p>
    <w:p w14:paraId="7FC7BC15" w14:textId="73D96EA8" w:rsidR="00BE34E4" w:rsidRPr="00892A8A" w:rsidRDefault="00BE34E4" w:rsidP="00892A8A">
      <w:pPr>
        <w:pStyle w:val="Default"/>
        <w:numPr>
          <w:ilvl w:val="0"/>
          <w:numId w:val="10"/>
        </w:numPr>
        <w:spacing w:after="49"/>
        <w:jc w:val="both"/>
        <w:rPr>
          <w:rFonts w:asciiTheme="minorHAnsi" w:hAnsiTheme="minorHAnsi" w:cstheme="minorHAnsi"/>
          <w:b/>
          <w:bCs/>
          <w:sz w:val="22"/>
          <w:szCs w:val="22"/>
        </w:rPr>
      </w:pPr>
      <w:r w:rsidRPr="00892A8A">
        <w:rPr>
          <w:rFonts w:asciiTheme="minorHAnsi" w:hAnsiTheme="minorHAnsi" w:cstheme="minorHAnsi"/>
          <w:b/>
          <w:bCs/>
          <w:sz w:val="22"/>
          <w:szCs w:val="22"/>
        </w:rPr>
        <w:t xml:space="preserve">How does the IADB identify, prevent and address human rights impacts and risks in its operations and activities? </w:t>
      </w:r>
    </w:p>
    <w:p w14:paraId="5C825CAC" w14:textId="77777777" w:rsidR="003F4902" w:rsidRPr="00585D54" w:rsidRDefault="003F4902" w:rsidP="00E26073">
      <w:pPr>
        <w:pStyle w:val="Default"/>
        <w:rPr>
          <w:rFonts w:asciiTheme="minorHAnsi" w:hAnsiTheme="minorHAnsi" w:cstheme="minorHAnsi"/>
          <w:sz w:val="22"/>
          <w:szCs w:val="22"/>
        </w:rPr>
      </w:pPr>
    </w:p>
    <w:p w14:paraId="66FEA6FF" w14:textId="64AA04B4" w:rsidR="00746BC0" w:rsidRPr="00B9039D" w:rsidRDefault="00746BC0" w:rsidP="00746BC0">
      <w:pPr>
        <w:pStyle w:val="Default"/>
        <w:jc w:val="both"/>
        <w:rPr>
          <w:rFonts w:asciiTheme="minorHAnsi" w:hAnsiTheme="minorHAnsi" w:cstheme="minorHAnsi"/>
          <w:sz w:val="22"/>
          <w:szCs w:val="22"/>
        </w:rPr>
      </w:pPr>
      <w:r w:rsidRPr="00116838">
        <w:rPr>
          <w:rFonts w:asciiTheme="minorHAnsi" w:hAnsiTheme="minorHAnsi" w:cstheme="minorHAnsi"/>
          <w:sz w:val="22"/>
          <w:szCs w:val="22"/>
        </w:rPr>
        <w:t>The ESPF provides the IDB with the tools to assess human rights risks in the context of IDB</w:t>
      </w:r>
      <w:r w:rsidR="001E058B">
        <w:rPr>
          <w:rFonts w:asciiTheme="minorHAnsi" w:hAnsiTheme="minorHAnsi" w:cstheme="minorHAnsi"/>
          <w:sz w:val="22"/>
          <w:szCs w:val="22"/>
        </w:rPr>
        <w:t>-financed</w:t>
      </w:r>
      <w:r w:rsidRPr="00116838">
        <w:rPr>
          <w:rFonts w:asciiTheme="minorHAnsi" w:hAnsiTheme="minorHAnsi" w:cstheme="minorHAnsi"/>
          <w:sz w:val="22"/>
          <w:szCs w:val="22"/>
        </w:rPr>
        <w:t xml:space="preserve"> projects. Where such risks are identified, the IDB is committed to supporting Borrowers in carrying out their due diligence to</w:t>
      </w:r>
      <w:r w:rsidR="006B2607">
        <w:rPr>
          <w:rFonts w:asciiTheme="minorHAnsi" w:hAnsiTheme="minorHAnsi" w:cstheme="minorHAnsi"/>
          <w:sz w:val="22"/>
          <w:szCs w:val="22"/>
        </w:rPr>
        <w:t xml:space="preserve"> manage risk and minimize adverse impacts to vulnerable</w:t>
      </w:r>
      <w:r w:rsidRPr="00116838">
        <w:rPr>
          <w:rFonts w:asciiTheme="minorHAnsi" w:hAnsiTheme="minorHAnsi" w:cstheme="minorHAnsi"/>
          <w:sz w:val="22"/>
          <w:szCs w:val="22"/>
        </w:rPr>
        <w:t xml:space="preserve"> communities, and workers from abuse, enable the fulfilment of their rights, and remedy harm caused.</w:t>
      </w:r>
      <w:r w:rsidRPr="00116838">
        <w:rPr>
          <w:rFonts w:asciiTheme="minorHAnsi" w:hAnsiTheme="minorHAnsi" w:cstheme="minorHAnsi"/>
        </w:rPr>
        <w:t xml:space="preserve"> </w:t>
      </w:r>
      <w:r w:rsidR="00CD38CD" w:rsidRPr="00B9039D">
        <w:rPr>
          <w:rFonts w:asciiTheme="minorHAnsi" w:hAnsiTheme="minorHAnsi" w:cstheme="minorHAnsi"/>
          <w:color w:val="000000" w:themeColor="text1"/>
          <w:sz w:val="22"/>
          <w:szCs w:val="22"/>
        </w:rPr>
        <w:t xml:space="preserve">By helping borrowers, details on IDB project cycle have been included in the “Designing and Developing Projects with human rights in mind” </w:t>
      </w:r>
      <w:r w:rsidR="0052287B">
        <w:rPr>
          <w:rFonts w:asciiTheme="minorHAnsi" w:hAnsiTheme="minorHAnsi" w:cstheme="minorHAnsi"/>
          <w:color w:val="000000" w:themeColor="text1"/>
          <w:sz w:val="22"/>
          <w:szCs w:val="22"/>
        </w:rPr>
        <w:t>(</w:t>
      </w:r>
      <w:r w:rsidR="00CD38CD" w:rsidRPr="00B9039D">
        <w:rPr>
          <w:rFonts w:asciiTheme="minorHAnsi" w:hAnsiTheme="minorHAnsi" w:cstheme="minorHAnsi"/>
          <w:color w:val="000000" w:themeColor="text1"/>
          <w:sz w:val="22"/>
          <w:szCs w:val="22"/>
        </w:rPr>
        <w:t>section</w:t>
      </w:r>
      <w:r w:rsidR="0052287B">
        <w:rPr>
          <w:rFonts w:asciiTheme="minorHAnsi" w:hAnsiTheme="minorHAnsi" w:cstheme="minorHAnsi"/>
          <w:color w:val="000000" w:themeColor="text1"/>
          <w:sz w:val="22"/>
          <w:szCs w:val="22"/>
        </w:rPr>
        <w:t xml:space="preserve"> 5 </w:t>
      </w:r>
      <w:r w:rsidR="001E058B">
        <w:rPr>
          <w:rFonts w:asciiTheme="minorHAnsi" w:hAnsiTheme="minorHAnsi" w:cstheme="minorHAnsi"/>
          <w:color w:val="000000" w:themeColor="text1"/>
          <w:sz w:val="22"/>
          <w:szCs w:val="22"/>
        </w:rPr>
        <w:t>TN</w:t>
      </w:r>
      <w:r w:rsidR="0052287B">
        <w:rPr>
          <w:rFonts w:asciiTheme="minorHAnsi" w:hAnsiTheme="minorHAnsi" w:cstheme="minorHAnsi"/>
          <w:color w:val="000000" w:themeColor="text1"/>
          <w:sz w:val="22"/>
          <w:szCs w:val="22"/>
        </w:rPr>
        <w:t xml:space="preserve">), such </w:t>
      </w:r>
      <w:r w:rsidR="0052287B" w:rsidRPr="00B9039D">
        <w:rPr>
          <w:rFonts w:asciiTheme="minorHAnsi" w:hAnsiTheme="minorHAnsi" w:cstheme="minorHAnsi"/>
          <w:sz w:val="22"/>
          <w:szCs w:val="22"/>
        </w:rPr>
        <w:t>section outlines how Borrowers can integrate human rights considerations in development of IDB-financed projects. It focuses on providing guidance to Borrowers on applying a human rights lens to the identification of risks and impacts, the integration of identified risks into the development of mitigation measures, and the subsequent monitoring and review of a project and the implementation of these measures</w:t>
      </w:r>
      <w:r w:rsidR="0052287B">
        <w:rPr>
          <w:rFonts w:asciiTheme="minorHAnsi" w:hAnsiTheme="minorHAnsi" w:cstheme="minorHAnsi"/>
          <w:sz w:val="22"/>
          <w:szCs w:val="22"/>
        </w:rPr>
        <w:t>.</w:t>
      </w:r>
    </w:p>
    <w:p w14:paraId="4B181162" w14:textId="0AB8F1DA" w:rsidR="009F7B54" w:rsidRPr="00B9039D" w:rsidRDefault="009F7B54" w:rsidP="00746BC0">
      <w:pPr>
        <w:pStyle w:val="Default"/>
        <w:jc w:val="both"/>
        <w:rPr>
          <w:rFonts w:asciiTheme="minorHAnsi" w:hAnsiTheme="minorHAnsi" w:cstheme="minorHAnsi"/>
          <w:sz w:val="22"/>
          <w:szCs w:val="22"/>
        </w:rPr>
      </w:pPr>
    </w:p>
    <w:p w14:paraId="0DCBE7A5" w14:textId="454B3744" w:rsidR="00746BC0" w:rsidRDefault="00746BC0" w:rsidP="00746BC0">
      <w:pPr>
        <w:pStyle w:val="Default"/>
        <w:jc w:val="both"/>
        <w:rPr>
          <w:rFonts w:asciiTheme="minorHAnsi" w:hAnsiTheme="minorHAnsi" w:cstheme="minorHAnsi"/>
          <w:sz w:val="22"/>
          <w:szCs w:val="22"/>
        </w:rPr>
      </w:pPr>
      <w:r w:rsidRPr="00116838">
        <w:rPr>
          <w:rFonts w:asciiTheme="minorHAnsi" w:hAnsiTheme="minorHAnsi" w:cstheme="minorHAnsi"/>
          <w:sz w:val="22"/>
          <w:szCs w:val="22"/>
        </w:rPr>
        <w:t xml:space="preserve">The IDB requires Borrowers to conduct an environmental and social (E&amp;S) assessment of the specific investment project, program or financial intermediation proposed for IDB support in accordance with ESPS 1. The assessment and management of E&amp;S risks and impacts should be part of the larger overall set of processes that a Borrower uses to manage projects, which must be included in a Borrower’s Environmental and Social Management System (ESMS): a dynamic management tool that enables continuous improvement of E&amp;S performance. </w:t>
      </w:r>
    </w:p>
    <w:p w14:paraId="5CAD3D24" w14:textId="77777777" w:rsidR="00973C80" w:rsidRPr="00116838" w:rsidRDefault="00973C80" w:rsidP="00746BC0">
      <w:pPr>
        <w:pStyle w:val="Default"/>
        <w:jc w:val="both"/>
        <w:rPr>
          <w:rFonts w:asciiTheme="minorHAnsi" w:hAnsiTheme="minorHAnsi" w:cstheme="minorHAnsi"/>
          <w:sz w:val="22"/>
          <w:szCs w:val="22"/>
        </w:rPr>
      </w:pPr>
    </w:p>
    <w:p w14:paraId="57E0BCB1" w14:textId="77777777" w:rsidR="00973C80" w:rsidRPr="00116838" w:rsidRDefault="00973C80" w:rsidP="00746BC0">
      <w:pPr>
        <w:pStyle w:val="Default"/>
        <w:jc w:val="both"/>
        <w:rPr>
          <w:rFonts w:asciiTheme="minorHAnsi" w:hAnsiTheme="minorHAnsi" w:cstheme="minorHAnsi"/>
          <w:sz w:val="22"/>
          <w:szCs w:val="22"/>
        </w:rPr>
      </w:pPr>
    </w:p>
    <w:p w14:paraId="566D60D8" w14:textId="69834B93" w:rsidR="00235EAA" w:rsidRPr="00116838" w:rsidRDefault="00235EAA" w:rsidP="00235EAA">
      <w:pPr>
        <w:pStyle w:val="Default"/>
        <w:jc w:val="both"/>
        <w:rPr>
          <w:rFonts w:asciiTheme="minorHAnsi" w:hAnsiTheme="minorHAnsi" w:cstheme="minorHAnsi"/>
          <w:sz w:val="20"/>
          <w:szCs w:val="20"/>
        </w:rPr>
      </w:pPr>
      <w:r w:rsidRPr="00116838">
        <w:rPr>
          <w:rFonts w:asciiTheme="minorHAnsi" w:hAnsiTheme="minorHAnsi" w:cstheme="minorHAnsi"/>
          <w:sz w:val="22"/>
          <w:szCs w:val="22"/>
        </w:rPr>
        <w:t>More information on the methodology can be found at the T</w:t>
      </w:r>
      <w:r w:rsidR="001E058B">
        <w:rPr>
          <w:rFonts w:asciiTheme="minorHAnsi" w:hAnsiTheme="minorHAnsi" w:cstheme="minorHAnsi"/>
          <w:sz w:val="22"/>
          <w:szCs w:val="22"/>
        </w:rPr>
        <w:t xml:space="preserve">N </w:t>
      </w:r>
      <w:hyperlink r:id="rId21" w:history="1">
        <w:r w:rsidRPr="00116838">
          <w:rPr>
            <w:rStyle w:val="Hyperlink"/>
            <w:rFonts w:asciiTheme="minorHAnsi" w:hAnsiTheme="minorHAnsi" w:cstheme="minorHAnsi"/>
            <w:sz w:val="22"/>
            <w:szCs w:val="22"/>
          </w:rPr>
          <w:t>https://publications.iadb.org/publications/english/viewer/Managing-Human-Rights-Risks-in-IDB-Projects--Requirements-of-the-IDBs-Environmental-and-Social-Policy-Framework.pdf</w:t>
        </w:r>
      </w:hyperlink>
      <w:r w:rsidRPr="00116838">
        <w:rPr>
          <w:rFonts w:asciiTheme="minorHAnsi" w:hAnsiTheme="minorHAnsi" w:cstheme="minorHAnsi"/>
          <w:sz w:val="22"/>
          <w:szCs w:val="22"/>
        </w:rPr>
        <w:t>.</w:t>
      </w:r>
    </w:p>
    <w:p w14:paraId="0809A263" w14:textId="77777777" w:rsidR="003F4902" w:rsidRDefault="003F4902" w:rsidP="00E26073">
      <w:pPr>
        <w:pStyle w:val="Default"/>
        <w:spacing w:after="49"/>
        <w:jc w:val="both"/>
        <w:rPr>
          <w:rFonts w:asciiTheme="minorHAnsi" w:hAnsiTheme="minorHAnsi" w:cstheme="minorHAnsi"/>
          <w:b/>
          <w:bCs/>
          <w:sz w:val="22"/>
          <w:szCs w:val="22"/>
        </w:rPr>
      </w:pPr>
    </w:p>
    <w:p w14:paraId="30E4F765" w14:textId="2D57D95E" w:rsidR="00E26073" w:rsidRPr="00426AA2" w:rsidRDefault="00E26073" w:rsidP="00E26073">
      <w:pPr>
        <w:pStyle w:val="Default"/>
        <w:numPr>
          <w:ilvl w:val="0"/>
          <w:numId w:val="10"/>
        </w:numPr>
        <w:spacing w:after="49"/>
        <w:jc w:val="both"/>
        <w:rPr>
          <w:rFonts w:asciiTheme="minorHAnsi" w:hAnsiTheme="minorHAnsi" w:cstheme="minorHAnsi"/>
          <w:b/>
          <w:bCs/>
          <w:sz w:val="22"/>
          <w:szCs w:val="22"/>
        </w:rPr>
      </w:pPr>
      <w:r w:rsidRPr="00892A8A">
        <w:rPr>
          <w:rFonts w:asciiTheme="minorHAnsi" w:hAnsiTheme="minorHAnsi" w:cstheme="minorHAnsi"/>
          <w:b/>
          <w:bCs/>
          <w:sz w:val="22"/>
          <w:szCs w:val="22"/>
        </w:rPr>
        <w:t xml:space="preserve">How does the IADB ensure active, free and meaningful participation of affected communities and stakeholders in the development projects you support and in the fair distribution of benefits resulting therefrom? </w:t>
      </w:r>
    </w:p>
    <w:p w14:paraId="12C2A536" w14:textId="51A1FB65" w:rsidR="00E26073" w:rsidRPr="008A09C9" w:rsidRDefault="00E26073" w:rsidP="00E26073">
      <w:pPr>
        <w:pStyle w:val="Default"/>
        <w:jc w:val="both"/>
        <w:rPr>
          <w:rFonts w:asciiTheme="minorHAnsi" w:hAnsiTheme="minorHAnsi" w:cstheme="minorHAnsi"/>
          <w:b/>
          <w:bCs/>
          <w:sz w:val="22"/>
          <w:szCs w:val="22"/>
        </w:rPr>
      </w:pPr>
    </w:p>
    <w:p w14:paraId="70419ADB" w14:textId="7E0AD8DD" w:rsidR="00835E31" w:rsidRPr="008A09C9" w:rsidRDefault="00924E4B" w:rsidP="00E26073">
      <w:pPr>
        <w:pStyle w:val="Default"/>
        <w:jc w:val="both"/>
        <w:rPr>
          <w:rFonts w:asciiTheme="minorHAnsi" w:hAnsiTheme="minorHAnsi" w:cstheme="minorHAnsi"/>
          <w:sz w:val="22"/>
          <w:szCs w:val="22"/>
        </w:rPr>
      </w:pPr>
      <w:r w:rsidRPr="008A09C9">
        <w:rPr>
          <w:rFonts w:asciiTheme="minorHAnsi" w:hAnsiTheme="minorHAnsi" w:cstheme="minorHAnsi"/>
          <w:sz w:val="22"/>
          <w:szCs w:val="22"/>
        </w:rPr>
        <w:t>Active, free and meaningful participation of project stakeholders and affected communities</w:t>
      </w:r>
      <w:r w:rsidR="00B931A5" w:rsidRPr="008A09C9">
        <w:rPr>
          <w:rFonts w:asciiTheme="minorHAnsi" w:hAnsiTheme="minorHAnsi" w:cstheme="minorHAnsi"/>
          <w:sz w:val="22"/>
          <w:szCs w:val="22"/>
        </w:rPr>
        <w:t xml:space="preserve"> is a core aspect of the IDB’s approach to environmental and social </w:t>
      </w:r>
      <w:r w:rsidR="007563C5" w:rsidRPr="008A09C9">
        <w:rPr>
          <w:rFonts w:asciiTheme="minorHAnsi" w:hAnsiTheme="minorHAnsi" w:cstheme="minorHAnsi"/>
          <w:sz w:val="22"/>
          <w:szCs w:val="22"/>
        </w:rPr>
        <w:t xml:space="preserve">(E&amp;S) </w:t>
      </w:r>
      <w:r w:rsidR="00B931A5" w:rsidRPr="008A09C9">
        <w:rPr>
          <w:rFonts w:asciiTheme="minorHAnsi" w:hAnsiTheme="minorHAnsi" w:cstheme="minorHAnsi"/>
          <w:sz w:val="22"/>
          <w:szCs w:val="22"/>
        </w:rPr>
        <w:t>risk</w:t>
      </w:r>
      <w:r w:rsidR="00BB0946" w:rsidRPr="008A09C9">
        <w:rPr>
          <w:rFonts w:asciiTheme="minorHAnsi" w:hAnsiTheme="minorHAnsi" w:cstheme="minorHAnsi"/>
          <w:sz w:val="22"/>
          <w:szCs w:val="22"/>
        </w:rPr>
        <w:t xml:space="preserve"> management</w:t>
      </w:r>
      <w:r w:rsidR="00B931A5" w:rsidRPr="008A09C9">
        <w:rPr>
          <w:rFonts w:asciiTheme="minorHAnsi" w:hAnsiTheme="minorHAnsi" w:cstheme="minorHAnsi"/>
          <w:sz w:val="22"/>
          <w:szCs w:val="22"/>
        </w:rPr>
        <w:t xml:space="preserve">. </w:t>
      </w:r>
      <w:r w:rsidR="00F45BCD" w:rsidRPr="008A09C9">
        <w:rPr>
          <w:rFonts w:asciiTheme="minorHAnsi" w:hAnsiTheme="minorHAnsi" w:cstheme="minorHAnsi"/>
          <w:sz w:val="22"/>
          <w:szCs w:val="22"/>
        </w:rPr>
        <w:t xml:space="preserve">In its </w:t>
      </w:r>
      <w:hyperlink r:id="rId22" w:history="1">
        <w:r w:rsidR="002E36BC" w:rsidRPr="008A09C9">
          <w:rPr>
            <w:rStyle w:val="Hyperlink"/>
            <w:rFonts w:asciiTheme="minorHAnsi" w:hAnsiTheme="minorHAnsi" w:cstheme="minorHAnsi"/>
            <w:sz w:val="22"/>
            <w:szCs w:val="22"/>
          </w:rPr>
          <w:t>E</w:t>
        </w:r>
        <w:r w:rsidR="001E058B">
          <w:rPr>
            <w:rStyle w:val="Hyperlink"/>
            <w:rFonts w:asciiTheme="minorHAnsi" w:hAnsiTheme="minorHAnsi" w:cstheme="minorHAnsi"/>
            <w:sz w:val="22"/>
            <w:szCs w:val="22"/>
          </w:rPr>
          <w:t xml:space="preserve">SPF </w:t>
        </w:r>
      </w:hyperlink>
      <w:r w:rsidR="00F45BCD" w:rsidRPr="008A09C9">
        <w:rPr>
          <w:rFonts w:asciiTheme="minorHAnsi" w:hAnsiTheme="minorHAnsi" w:cstheme="minorHAnsi"/>
          <w:sz w:val="22"/>
          <w:szCs w:val="22"/>
        </w:rPr>
        <w:t xml:space="preserve">, </w:t>
      </w:r>
      <w:r w:rsidR="001E058B">
        <w:rPr>
          <w:rFonts w:asciiTheme="minorHAnsi" w:hAnsiTheme="minorHAnsi" w:cstheme="minorHAnsi"/>
          <w:sz w:val="22"/>
          <w:szCs w:val="22"/>
        </w:rPr>
        <w:t xml:space="preserve">the </w:t>
      </w:r>
      <w:r w:rsidR="00F45BCD" w:rsidRPr="008A09C9">
        <w:rPr>
          <w:rFonts w:asciiTheme="minorHAnsi" w:hAnsiTheme="minorHAnsi" w:cstheme="minorHAnsi"/>
          <w:sz w:val="22"/>
          <w:szCs w:val="22"/>
        </w:rPr>
        <w:t>ID</w:t>
      </w:r>
      <w:r w:rsidR="000746CA" w:rsidRPr="008A09C9">
        <w:rPr>
          <w:rFonts w:asciiTheme="minorHAnsi" w:hAnsiTheme="minorHAnsi" w:cstheme="minorHAnsi"/>
          <w:sz w:val="22"/>
          <w:szCs w:val="22"/>
        </w:rPr>
        <w:t>B commits to ensuring</w:t>
      </w:r>
      <w:r w:rsidR="0060069A" w:rsidRPr="008A09C9">
        <w:rPr>
          <w:rFonts w:asciiTheme="minorHAnsi" w:hAnsiTheme="minorHAnsi" w:cstheme="minorHAnsi"/>
          <w:sz w:val="22"/>
          <w:szCs w:val="22"/>
        </w:rPr>
        <w:t xml:space="preserve"> that</w:t>
      </w:r>
      <w:r w:rsidR="00F45BCD" w:rsidRPr="008A09C9">
        <w:rPr>
          <w:rFonts w:asciiTheme="minorHAnsi" w:hAnsiTheme="minorHAnsi" w:cstheme="minorHAnsi"/>
          <w:sz w:val="22"/>
          <w:szCs w:val="22"/>
        </w:rPr>
        <w:t xml:space="preserve"> </w:t>
      </w:r>
      <w:r w:rsidR="00584FAC" w:rsidRPr="008A09C9">
        <w:rPr>
          <w:rFonts w:asciiTheme="minorHAnsi" w:hAnsiTheme="minorHAnsi" w:cstheme="minorHAnsi"/>
          <w:sz w:val="22"/>
          <w:szCs w:val="22"/>
        </w:rPr>
        <w:t xml:space="preserve">an </w:t>
      </w:r>
      <w:r w:rsidR="00F45BCD" w:rsidRPr="008A09C9">
        <w:rPr>
          <w:rFonts w:asciiTheme="minorHAnsi" w:hAnsiTheme="minorHAnsi" w:cstheme="minorHAnsi"/>
          <w:sz w:val="22"/>
          <w:szCs w:val="22"/>
        </w:rPr>
        <w:t xml:space="preserve">open, transparent, and inclusive engagement process with </w:t>
      </w:r>
      <w:r w:rsidR="00584FAC" w:rsidRPr="008A09C9">
        <w:rPr>
          <w:rFonts w:asciiTheme="minorHAnsi" w:hAnsiTheme="minorHAnsi" w:cstheme="minorHAnsi"/>
          <w:sz w:val="22"/>
          <w:szCs w:val="22"/>
        </w:rPr>
        <w:t xml:space="preserve">all </w:t>
      </w:r>
      <w:r w:rsidR="00F45BCD" w:rsidRPr="008A09C9">
        <w:rPr>
          <w:rFonts w:asciiTheme="minorHAnsi" w:hAnsiTheme="minorHAnsi" w:cstheme="minorHAnsi"/>
          <w:sz w:val="22"/>
          <w:szCs w:val="22"/>
        </w:rPr>
        <w:t>stakeholders</w:t>
      </w:r>
      <w:r w:rsidR="00584FAC" w:rsidRPr="008A09C9">
        <w:rPr>
          <w:rFonts w:asciiTheme="minorHAnsi" w:hAnsiTheme="minorHAnsi" w:cstheme="minorHAnsi"/>
          <w:sz w:val="22"/>
          <w:szCs w:val="22"/>
        </w:rPr>
        <w:t>, including affected communities,</w:t>
      </w:r>
      <w:r w:rsidR="000746CA" w:rsidRPr="008A09C9">
        <w:rPr>
          <w:rFonts w:asciiTheme="minorHAnsi" w:hAnsiTheme="minorHAnsi" w:cstheme="minorHAnsi"/>
          <w:sz w:val="22"/>
          <w:szCs w:val="22"/>
        </w:rPr>
        <w:t xml:space="preserve"> is a priority in the projects it finances</w:t>
      </w:r>
      <w:r w:rsidR="00584FAC" w:rsidRPr="008A09C9">
        <w:rPr>
          <w:rFonts w:asciiTheme="minorHAnsi" w:hAnsiTheme="minorHAnsi" w:cstheme="minorHAnsi"/>
          <w:sz w:val="22"/>
          <w:szCs w:val="22"/>
        </w:rPr>
        <w:t xml:space="preserve">. To this end, </w:t>
      </w:r>
      <w:r w:rsidR="001E058B">
        <w:rPr>
          <w:rFonts w:asciiTheme="minorHAnsi" w:hAnsiTheme="minorHAnsi" w:cstheme="minorHAnsi"/>
          <w:sz w:val="22"/>
          <w:szCs w:val="22"/>
        </w:rPr>
        <w:t xml:space="preserve">the </w:t>
      </w:r>
      <w:r w:rsidR="00584FAC" w:rsidRPr="008A09C9">
        <w:rPr>
          <w:rFonts w:asciiTheme="minorHAnsi" w:hAnsiTheme="minorHAnsi" w:cstheme="minorHAnsi"/>
          <w:sz w:val="22"/>
          <w:szCs w:val="22"/>
        </w:rPr>
        <w:t xml:space="preserve">IDB </w:t>
      </w:r>
      <w:r w:rsidR="00B612A4" w:rsidRPr="008A09C9">
        <w:rPr>
          <w:rFonts w:asciiTheme="minorHAnsi" w:hAnsiTheme="minorHAnsi" w:cstheme="minorHAnsi"/>
          <w:sz w:val="22"/>
          <w:szCs w:val="22"/>
        </w:rPr>
        <w:t>commits to support Borrowers in</w:t>
      </w:r>
      <w:r w:rsidR="00B612A4" w:rsidRPr="008A09C9">
        <w:rPr>
          <w:rFonts w:cstheme="minorHAnsi"/>
          <w:sz w:val="22"/>
          <w:szCs w:val="22"/>
        </w:rPr>
        <w:t xml:space="preserve"> </w:t>
      </w:r>
      <w:r w:rsidR="00B612A4" w:rsidRPr="008A09C9">
        <w:rPr>
          <w:rFonts w:asciiTheme="minorHAnsi" w:hAnsiTheme="minorHAnsi" w:cstheme="minorHAnsi"/>
          <w:sz w:val="22"/>
          <w:szCs w:val="22"/>
        </w:rPr>
        <w:t>carrying out early and continuing engagement and meaningful consultation with stakeholders and in developing project-based grievance mechanisms</w:t>
      </w:r>
      <w:r w:rsidR="00822D5A" w:rsidRPr="008A09C9">
        <w:rPr>
          <w:rFonts w:asciiTheme="minorHAnsi" w:hAnsiTheme="minorHAnsi" w:cstheme="minorHAnsi"/>
          <w:sz w:val="22"/>
          <w:szCs w:val="22"/>
        </w:rPr>
        <w:t>. Also,</w:t>
      </w:r>
      <w:r w:rsidR="008778B4" w:rsidRPr="008A09C9">
        <w:rPr>
          <w:rFonts w:asciiTheme="minorHAnsi" w:hAnsiTheme="minorHAnsi" w:cstheme="minorHAnsi"/>
          <w:sz w:val="22"/>
          <w:szCs w:val="22"/>
        </w:rPr>
        <w:t xml:space="preserve"> in line with its </w:t>
      </w:r>
      <w:hyperlink r:id="rId23" w:history="1">
        <w:r w:rsidR="008778B4" w:rsidRPr="008A09C9">
          <w:rPr>
            <w:rStyle w:val="Hyperlink"/>
            <w:rFonts w:asciiTheme="minorHAnsi" w:hAnsiTheme="minorHAnsi" w:cstheme="minorHAnsi"/>
            <w:sz w:val="22"/>
            <w:szCs w:val="22"/>
          </w:rPr>
          <w:t>Access to Information Policy</w:t>
        </w:r>
      </w:hyperlink>
      <w:r w:rsidR="008E7268" w:rsidRPr="008A09C9">
        <w:rPr>
          <w:rStyle w:val="FootnoteReference"/>
          <w:rFonts w:asciiTheme="minorHAnsi" w:hAnsiTheme="minorHAnsi" w:cstheme="minorHAnsi"/>
          <w:sz w:val="22"/>
          <w:szCs w:val="22"/>
        </w:rPr>
        <w:footnoteReference w:id="1"/>
      </w:r>
      <w:r w:rsidR="008778B4" w:rsidRPr="008A09C9">
        <w:rPr>
          <w:rFonts w:asciiTheme="minorHAnsi" w:hAnsiTheme="minorHAnsi" w:cstheme="minorHAnsi"/>
          <w:sz w:val="22"/>
          <w:szCs w:val="22"/>
        </w:rPr>
        <w:t>,</w:t>
      </w:r>
      <w:r w:rsidR="00822D5A" w:rsidRPr="008A09C9">
        <w:rPr>
          <w:rFonts w:asciiTheme="minorHAnsi" w:hAnsiTheme="minorHAnsi" w:cstheme="minorHAnsi"/>
          <w:sz w:val="22"/>
          <w:szCs w:val="22"/>
        </w:rPr>
        <w:t xml:space="preserve"> IDB commits to disclose</w:t>
      </w:r>
      <w:r w:rsidR="00AB7BE2" w:rsidRPr="008A09C9">
        <w:rPr>
          <w:rFonts w:asciiTheme="minorHAnsi" w:hAnsiTheme="minorHAnsi" w:cstheme="minorHAnsi"/>
          <w:sz w:val="22"/>
          <w:szCs w:val="22"/>
        </w:rPr>
        <w:t xml:space="preserve"> documentation regarding</w:t>
      </w:r>
      <w:r w:rsidR="00822D5A" w:rsidRPr="008A09C9">
        <w:rPr>
          <w:rFonts w:asciiTheme="minorHAnsi" w:hAnsiTheme="minorHAnsi" w:cstheme="minorHAnsi"/>
          <w:sz w:val="22"/>
          <w:szCs w:val="22"/>
        </w:rPr>
        <w:t xml:space="preserve"> environmental and social </w:t>
      </w:r>
      <w:r w:rsidR="00AB7BE2" w:rsidRPr="008A09C9">
        <w:rPr>
          <w:rFonts w:asciiTheme="minorHAnsi" w:hAnsiTheme="minorHAnsi" w:cstheme="minorHAnsi"/>
          <w:sz w:val="22"/>
          <w:szCs w:val="22"/>
        </w:rPr>
        <w:t xml:space="preserve">risk and impact assessments and management plans </w:t>
      </w:r>
      <w:r w:rsidR="00822D5A" w:rsidRPr="008A09C9">
        <w:rPr>
          <w:rFonts w:asciiTheme="minorHAnsi" w:hAnsiTheme="minorHAnsi" w:cstheme="minorHAnsi"/>
          <w:sz w:val="22"/>
          <w:szCs w:val="22"/>
        </w:rPr>
        <w:t xml:space="preserve">produced by </w:t>
      </w:r>
      <w:r w:rsidR="00B41055">
        <w:rPr>
          <w:rFonts w:asciiTheme="minorHAnsi" w:hAnsiTheme="minorHAnsi" w:cstheme="minorHAnsi"/>
          <w:sz w:val="22"/>
          <w:szCs w:val="22"/>
        </w:rPr>
        <w:t xml:space="preserve">the </w:t>
      </w:r>
      <w:r w:rsidR="00822D5A" w:rsidRPr="008A09C9">
        <w:rPr>
          <w:rFonts w:asciiTheme="minorHAnsi" w:hAnsiTheme="minorHAnsi" w:cstheme="minorHAnsi"/>
          <w:sz w:val="22"/>
          <w:szCs w:val="22"/>
        </w:rPr>
        <w:t xml:space="preserve">IDB and </w:t>
      </w:r>
      <w:r w:rsidR="00FA23EB" w:rsidRPr="008A09C9">
        <w:rPr>
          <w:rFonts w:asciiTheme="minorHAnsi" w:hAnsiTheme="minorHAnsi" w:cstheme="minorHAnsi"/>
          <w:sz w:val="22"/>
          <w:szCs w:val="22"/>
        </w:rPr>
        <w:t>its</w:t>
      </w:r>
      <w:r w:rsidR="00822D5A" w:rsidRPr="008A09C9">
        <w:rPr>
          <w:rFonts w:asciiTheme="minorHAnsi" w:hAnsiTheme="minorHAnsi" w:cstheme="minorHAnsi"/>
          <w:sz w:val="22"/>
          <w:szCs w:val="22"/>
        </w:rPr>
        <w:t xml:space="preserve"> Borrower</w:t>
      </w:r>
      <w:r w:rsidR="00FA23EB" w:rsidRPr="008A09C9">
        <w:rPr>
          <w:rFonts w:asciiTheme="minorHAnsi" w:hAnsiTheme="minorHAnsi" w:cstheme="minorHAnsi"/>
          <w:sz w:val="22"/>
          <w:szCs w:val="22"/>
        </w:rPr>
        <w:t>s</w:t>
      </w:r>
      <w:r w:rsidR="00822D5A" w:rsidRPr="008A09C9">
        <w:rPr>
          <w:rFonts w:asciiTheme="minorHAnsi" w:hAnsiTheme="minorHAnsi" w:cstheme="minorHAnsi"/>
          <w:sz w:val="22"/>
          <w:szCs w:val="22"/>
        </w:rPr>
        <w:t xml:space="preserve">, </w:t>
      </w:r>
      <w:r w:rsidR="00CA149A" w:rsidRPr="008A09C9">
        <w:rPr>
          <w:rFonts w:asciiTheme="minorHAnsi" w:hAnsiTheme="minorHAnsi" w:cstheme="minorHAnsi"/>
          <w:sz w:val="22"/>
          <w:szCs w:val="22"/>
        </w:rPr>
        <w:t xml:space="preserve">in order to promote informed engagement and participation in IDB-funded projects. </w:t>
      </w:r>
    </w:p>
    <w:p w14:paraId="6B394377" w14:textId="0EDE28C4" w:rsidR="008A7B42" w:rsidRPr="008A09C9" w:rsidRDefault="008A7B42" w:rsidP="00E26073">
      <w:pPr>
        <w:pStyle w:val="Default"/>
        <w:jc w:val="both"/>
        <w:rPr>
          <w:rFonts w:asciiTheme="minorHAnsi" w:hAnsiTheme="minorHAnsi" w:cstheme="minorHAnsi"/>
          <w:sz w:val="22"/>
          <w:szCs w:val="22"/>
        </w:rPr>
      </w:pPr>
    </w:p>
    <w:p w14:paraId="7FB952B1" w14:textId="359DE42E" w:rsidR="002C411C" w:rsidRPr="008A09C9" w:rsidRDefault="008A7B42" w:rsidP="00E26073">
      <w:pPr>
        <w:pStyle w:val="Default"/>
        <w:jc w:val="both"/>
        <w:rPr>
          <w:rFonts w:asciiTheme="minorHAnsi" w:hAnsiTheme="minorHAnsi" w:cstheme="minorHAnsi"/>
          <w:sz w:val="22"/>
          <w:szCs w:val="22"/>
        </w:rPr>
      </w:pPr>
      <w:r w:rsidRPr="008A09C9">
        <w:rPr>
          <w:rFonts w:asciiTheme="minorHAnsi" w:hAnsiTheme="minorHAnsi" w:cstheme="minorHAnsi"/>
          <w:sz w:val="22"/>
          <w:szCs w:val="22"/>
        </w:rPr>
        <w:t>Besides the clear statement o</w:t>
      </w:r>
      <w:r w:rsidR="00B97841" w:rsidRPr="008A09C9">
        <w:rPr>
          <w:rFonts w:asciiTheme="minorHAnsi" w:hAnsiTheme="minorHAnsi" w:cstheme="minorHAnsi"/>
          <w:sz w:val="22"/>
          <w:szCs w:val="22"/>
        </w:rPr>
        <w:t>n</w:t>
      </w:r>
      <w:r w:rsidRPr="008A09C9">
        <w:rPr>
          <w:rFonts w:asciiTheme="minorHAnsi" w:hAnsiTheme="minorHAnsi" w:cstheme="minorHAnsi"/>
          <w:sz w:val="22"/>
          <w:szCs w:val="22"/>
        </w:rPr>
        <w:t xml:space="preserve"> IDB’s commitment regarding stakeholder engagement, the ESPF outlines </w:t>
      </w:r>
      <w:r w:rsidR="00FA23EB" w:rsidRPr="008A09C9">
        <w:rPr>
          <w:rFonts w:asciiTheme="minorHAnsi" w:hAnsiTheme="minorHAnsi" w:cstheme="minorHAnsi"/>
          <w:sz w:val="22"/>
          <w:szCs w:val="22"/>
        </w:rPr>
        <w:t xml:space="preserve">specific </w:t>
      </w:r>
      <w:r w:rsidR="002F1A75" w:rsidRPr="008A09C9">
        <w:rPr>
          <w:rFonts w:asciiTheme="minorHAnsi" w:hAnsiTheme="minorHAnsi" w:cstheme="minorHAnsi"/>
          <w:sz w:val="22"/>
          <w:szCs w:val="22"/>
        </w:rPr>
        <w:t xml:space="preserve">requirements and guidelines for </w:t>
      </w:r>
      <w:r w:rsidR="001419CB" w:rsidRPr="008A09C9">
        <w:rPr>
          <w:rFonts w:asciiTheme="minorHAnsi" w:hAnsiTheme="minorHAnsi" w:cstheme="minorHAnsi"/>
          <w:sz w:val="22"/>
          <w:szCs w:val="22"/>
        </w:rPr>
        <w:t xml:space="preserve">IDB </w:t>
      </w:r>
      <w:r w:rsidR="002F1A75" w:rsidRPr="008A09C9">
        <w:rPr>
          <w:rFonts w:asciiTheme="minorHAnsi" w:hAnsiTheme="minorHAnsi" w:cstheme="minorHAnsi"/>
          <w:sz w:val="22"/>
          <w:szCs w:val="22"/>
        </w:rPr>
        <w:t xml:space="preserve">Borrowers </w:t>
      </w:r>
      <w:r w:rsidR="001419CB" w:rsidRPr="008A09C9">
        <w:rPr>
          <w:rFonts w:asciiTheme="minorHAnsi" w:hAnsiTheme="minorHAnsi" w:cstheme="minorHAnsi"/>
          <w:sz w:val="22"/>
          <w:szCs w:val="22"/>
        </w:rPr>
        <w:t>on engaging</w:t>
      </w:r>
      <w:r w:rsidR="002F1A75" w:rsidRPr="008A09C9">
        <w:rPr>
          <w:rFonts w:asciiTheme="minorHAnsi" w:hAnsiTheme="minorHAnsi" w:cstheme="minorHAnsi"/>
          <w:sz w:val="22"/>
          <w:szCs w:val="22"/>
        </w:rPr>
        <w:t xml:space="preserve"> with project stakeholders throughout </w:t>
      </w:r>
      <w:r w:rsidR="002F1A75" w:rsidRPr="008A09C9">
        <w:rPr>
          <w:rFonts w:asciiTheme="minorHAnsi" w:hAnsiTheme="minorHAnsi" w:cstheme="minorHAnsi"/>
          <w:sz w:val="22"/>
          <w:szCs w:val="22"/>
        </w:rPr>
        <w:lastRenderedPageBreak/>
        <w:t>the project cycle</w:t>
      </w:r>
      <w:r w:rsidR="00716BD2" w:rsidRPr="008A09C9">
        <w:rPr>
          <w:rFonts w:asciiTheme="minorHAnsi" w:hAnsiTheme="minorHAnsi" w:cstheme="minorHAnsi"/>
          <w:sz w:val="22"/>
          <w:szCs w:val="22"/>
        </w:rPr>
        <w:t>, which are included</w:t>
      </w:r>
      <w:r w:rsidR="002F1A75" w:rsidRPr="008A09C9">
        <w:rPr>
          <w:rFonts w:asciiTheme="minorHAnsi" w:hAnsiTheme="minorHAnsi" w:cstheme="minorHAnsi"/>
          <w:sz w:val="22"/>
          <w:szCs w:val="22"/>
        </w:rPr>
        <w:t xml:space="preserve"> in its Environmental and Social Performance Standard 10 on </w:t>
      </w:r>
      <w:r w:rsidR="00B97841" w:rsidRPr="008A09C9">
        <w:rPr>
          <w:rFonts w:asciiTheme="minorHAnsi" w:hAnsiTheme="minorHAnsi" w:cstheme="minorHAnsi"/>
          <w:sz w:val="22"/>
          <w:szCs w:val="22"/>
        </w:rPr>
        <w:t>Stakeholder Engagement and Information Disclosure (</w:t>
      </w:r>
      <w:hyperlink r:id="rId24" w:history="1">
        <w:r w:rsidR="00B97841" w:rsidRPr="008A09C9">
          <w:rPr>
            <w:rStyle w:val="Hyperlink"/>
            <w:rFonts w:asciiTheme="minorHAnsi" w:hAnsiTheme="minorHAnsi" w:cstheme="minorHAnsi"/>
            <w:sz w:val="22"/>
            <w:szCs w:val="22"/>
          </w:rPr>
          <w:t>ESPS10</w:t>
        </w:r>
      </w:hyperlink>
      <w:r w:rsidR="00B97841" w:rsidRPr="008A09C9">
        <w:rPr>
          <w:rFonts w:asciiTheme="minorHAnsi" w:hAnsiTheme="minorHAnsi" w:cstheme="minorHAnsi"/>
          <w:sz w:val="22"/>
          <w:szCs w:val="22"/>
        </w:rPr>
        <w:t xml:space="preserve">). </w:t>
      </w:r>
      <w:r w:rsidR="00A7226D" w:rsidRPr="008A09C9">
        <w:rPr>
          <w:rFonts w:asciiTheme="minorHAnsi" w:hAnsiTheme="minorHAnsi" w:cstheme="minorHAnsi"/>
          <w:sz w:val="22"/>
          <w:szCs w:val="22"/>
        </w:rPr>
        <w:t>According to ESPS10, IDB Borrowers are required to</w:t>
      </w:r>
      <w:r w:rsidR="00494CBE" w:rsidRPr="008A09C9">
        <w:rPr>
          <w:rFonts w:asciiTheme="minorHAnsi" w:hAnsiTheme="minorHAnsi" w:cstheme="minorHAnsi"/>
          <w:sz w:val="22"/>
          <w:szCs w:val="22"/>
        </w:rPr>
        <w:t xml:space="preserve">: i) Identify </w:t>
      </w:r>
      <w:r w:rsidR="00776291" w:rsidRPr="008A09C9">
        <w:rPr>
          <w:rFonts w:asciiTheme="minorHAnsi" w:hAnsiTheme="minorHAnsi" w:cstheme="minorHAnsi"/>
          <w:sz w:val="22"/>
          <w:szCs w:val="22"/>
        </w:rPr>
        <w:t xml:space="preserve">relevant project stakeholders and </w:t>
      </w:r>
      <w:r w:rsidR="00B7298F" w:rsidRPr="008A09C9">
        <w:rPr>
          <w:rFonts w:asciiTheme="minorHAnsi" w:hAnsiTheme="minorHAnsi" w:cstheme="minorHAnsi"/>
          <w:sz w:val="22"/>
          <w:szCs w:val="22"/>
        </w:rPr>
        <w:t>assess</w:t>
      </w:r>
      <w:r w:rsidR="00776291" w:rsidRPr="008A09C9">
        <w:rPr>
          <w:rFonts w:asciiTheme="minorHAnsi" w:hAnsiTheme="minorHAnsi" w:cstheme="minorHAnsi"/>
          <w:sz w:val="22"/>
          <w:szCs w:val="22"/>
        </w:rPr>
        <w:t xml:space="preserve"> their interests, benefits, risks, impacts and opportunities in relation the project, </w:t>
      </w:r>
      <w:r w:rsidR="00B7298F" w:rsidRPr="008A09C9">
        <w:rPr>
          <w:rFonts w:asciiTheme="minorHAnsi" w:hAnsiTheme="minorHAnsi" w:cstheme="minorHAnsi"/>
          <w:sz w:val="22"/>
          <w:szCs w:val="22"/>
        </w:rPr>
        <w:t>ii) Develop and implement a Stakeholder Engagement Plan (SEP)</w:t>
      </w:r>
      <w:r w:rsidR="006734E4" w:rsidRPr="008A09C9">
        <w:rPr>
          <w:rFonts w:asciiTheme="minorHAnsi" w:hAnsiTheme="minorHAnsi" w:cstheme="minorHAnsi"/>
          <w:sz w:val="22"/>
          <w:szCs w:val="22"/>
        </w:rPr>
        <w:t xml:space="preserve"> commensurate to the nature and scale of the project and its potential risks and impacts. The SEP </w:t>
      </w:r>
      <w:r w:rsidR="00C170B5" w:rsidRPr="008A09C9">
        <w:rPr>
          <w:rFonts w:asciiTheme="minorHAnsi" w:hAnsiTheme="minorHAnsi" w:cstheme="minorHAnsi"/>
          <w:sz w:val="22"/>
          <w:szCs w:val="22"/>
        </w:rPr>
        <w:t>shall include</w:t>
      </w:r>
      <w:r w:rsidR="00961979" w:rsidRPr="008A09C9">
        <w:rPr>
          <w:rFonts w:asciiTheme="minorHAnsi" w:hAnsiTheme="minorHAnsi" w:cstheme="minorHAnsi"/>
          <w:sz w:val="22"/>
          <w:szCs w:val="22"/>
        </w:rPr>
        <w:t xml:space="preserve"> disclosure of information on project objectives</w:t>
      </w:r>
      <w:r w:rsidR="00960916" w:rsidRPr="008A09C9">
        <w:rPr>
          <w:rFonts w:asciiTheme="minorHAnsi" w:hAnsiTheme="minorHAnsi" w:cstheme="minorHAnsi"/>
          <w:sz w:val="22"/>
          <w:szCs w:val="22"/>
        </w:rPr>
        <w:t>, activities</w:t>
      </w:r>
      <w:r w:rsidR="00961979" w:rsidRPr="008A09C9">
        <w:rPr>
          <w:rFonts w:asciiTheme="minorHAnsi" w:hAnsiTheme="minorHAnsi" w:cstheme="minorHAnsi"/>
          <w:sz w:val="22"/>
          <w:szCs w:val="22"/>
        </w:rPr>
        <w:t xml:space="preserve"> and </w:t>
      </w:r>
      <w:r w:rsidR="007563C5" w:rsidRPr="008A09C9">
        <w:rPr>
          <w:rFonts w:asciiTheme="minorHAnsi" w:hAnsiTheme="minorHAnsi" w:cstheme="minorHAnsi"/>
          <w:sz w:val="22"/>
          <w:szCs w:val="22"/>
        </w:rPr>
        <w:t>E&amp;S</w:t>
      </w:r>
      <w:r w:rsidR="00961979" w:rsidRPr="008A09C9">
        <w:rPr>
          <w:rFonts w:asciiTheme="minorHAnsi" w:hAnsiTheme="minorHAnsi" w:cstheme="minorHAnsi"/>
          <w:sz w:val="22"/>
          <w:szCs w:val="22"/>
        </w:rPr>
        <w:t xml:space="preserve"> risks and impacts</w:t>
      </w:r>
      <w:r w:rsidR="00960916" w:rsidRPr="008A09C9">
        <w:rPr>
          <w:rFonts w:asciiTheme="minorHAnsi" w:hAnsiTheme="minorHAnsi" w:cstheme="minorHAnsi"/>
          <w:sz w:val="22"/>
          <w:szCs w:val="22"/>
        </w:rPr>
        <w:t>,</w:t>
      </w:r>
      <w:r w:rsidR="00961979" w:rsidRPr="008A09C9">
        <w:rPr>
          <w:rFonts w:asciiTheme="minorHAnsi" w:hAnsiTheme="minorHAnsi" w:cstheme="minorHAnsi"/>
          <w:sz w:val="22"/>
          <w:szCs w:val="22"/>
        </w:rPr>
        <w:t xml:space="preserve"> </w:t>
      </w:r>
      <w:r w:rsidR="0010385F" w:rsidRPr="008A09C9">
        <w:rPr>
          <w:rFonts w:asciiTheme="minorHAnsi" w:hAnsiTheme="minorHAnsi" w:cstheme="minorHAnsi"/>
          <w:sz w:val="22"/>
          <w:szCs w:val="22"/>
        </w:rPr>
        <w:t xml:space="preserve">through accessible and culturally appropriate means, </w:t>
      </w:r>
      <w:r w:rsidR="00A27F79" w:rsidRPr="008A09C9">
        <w:rPr>
          <w:rFonts w:asciiTheme="minorHAnsi" w:hAnsiTheme="minorHAnsi" w:cstheme="minorHAnsi"/>
          <w:sz w:val="22"/>
          <w:szCs w:val="22"/>
        </w:rPr>
        <w:t>as well as</w:t>
      </w:r>
      <w:r w:rsidR="00960916" w:rsidRPr="008A09C9">
        <w:rPr>
          <w:rFonts w:asciiTheme="minorHAnsi" w:hAnsiTheme="minorHAnsi" w:cstheme="minorHAnsi"/>
          <w:sz w:val="22"/>
          <w:szCs w:val="22"/>
        </w:rPr>
        <w:t xml:space="preserve"> a meaningful</w:t>
      </w:r>
      <w:r w:rsidR="00A27F79" w:rsidRPr="008A09C9">
        <w:rPr>
          <w:rFonts w:asciiTheme="minorHAnsi" w:hAnsiTheme="minorHAnsi" w:cstheme="minorHAnsi"/>
          <w:sz w:val="22"/>
          <w:szCs w:val="22"/>
        </w:rPr>
        <w:t xml:space="preserve"> stakeholder consultation </w:t>
      </w:r>
      <w:r w:rsidR="00960916" w:rsidRPr="008A09C9">
        <w:rPr>
          <w:rFonts w:asciiTheme="minorHAnsi" w:hAnsiTheme="minorHAnsi" w:cstheme="minorHAnsi"/>
          <w:sz w:val="22"/>
          <w:szCs w:val="22"/>
        </w:rPr>
        <w:t>to gather views and feedback from project stakeholders,</w:t>
      </w:r>
      <w:r w:rsidR="0010385F" w:rsidRPr="008A09C9">
        <w:rPr>
          <w:rFonts w:asciiTheme="minorHAnsi" w:hAnsiTheme="minorHAnsi" w:cstheme="minorHAnsi"/>
          <w:sz w:val="22"/>
          <w:szCs w:val="22"/>
        </w:rPr>
        <w:t xml:space="preserve"> </w:t>
      </w:r>
      <w:r w:rsidR="00B41055">
        <w:rPr>
          <w:rFonts w:asciiTheme="minorHAnsi" w:hAnsiTheme="minorHAnsi" w:cstheme="minorHAnsi"/>
          <w:sz w:val="22"/>
          <w:szCs w:val="22"/>
        </w:rPr>
        <w:t xml:space="preserve">and </w:t>
      </w:r>
      <w:r w:rsidR="0010385F" w:rsidRPr="008A09C9">
        <w:rPr>
          <w:rFonts w:asciiTheme="minorHAnsi" w:hAnsiTheme="minorHAnsi" w:cstheme="minorHAnsi"/>
          <w:sz w:val="22"/>
          <w:szCs w:val="22"/>
        </w:rPr>
        <w:t xml:space="preserve">iii) </w:t>
      </w:r>
      <w:r w:rsidR="00960916" w:rsidRPr="008A09C9">
        <w:rPr>
          <w:rFonts w:asciiTheme="minorHAnsi" w:hAnsiTheme="minorHAnsi" w:cstheme="minorHAnsi"/>
          <w:sz w:val="22"/>
          <w:szCs w:val="22"/>
        </w:rPr>
        <w:t xml:space="preserve">Document </w:t>
      </w:r>
      <w:r w:rsidR="00A0369D" w:rsidRPr="008A09C9">
        <w:rPr>
          <w:rFonts w:asciiTheme="minorHAnsi" w:hAnsiTheme="minorHAnsi" w:cstheme="minorHAnsi"/>
          <w:sz w:val="22"/>
          <w:szCs w:val="22"/>
        </w:rPr>
        <w:t xml:space="preserve">a record of </w:t>
      </w:r>
      <w:r w:rsidR="002C411C" w:rsidRPr="008A09C9">
        <w:rPr>
          <w:rFonts w:asciiTheme="minorHAnsi" w:hAnsiTheme="minorHAnsi" w:cstheme="minorHAnsi"/>
          <w:sz w:val="22"/>
          <w:szCs w:val="22"/>
        </w:rPr>
        <w:t>stakeholder engagement, including a description of the stakeholders consulted, a summary of the feedback received, and a brief explanation of how the feedback was taken into account or the reasons why it was not.</w:t>
      </w:r>
      <w:r w:rsidR="00C139E9" w:rsidRPr="008A09C9">
        <w:rPr>
          <w:rFonts w:asciiTheme="minorHAnsi" w:hAnsiTheme="minorHAnsi" w:cstheme="minorHAnsi"/>
          <w:sz w:val="22"/>
          <w:szCs w:val="22"/>
        </w:rPr>
        <w:t xml:space="preserve"> The SEP ensures that stakeholders views and needs are considered throughout the project, from its design to its implementation and monitoring. </w:t>
      </w:r>
    </w:p>
    <w:p w14:paraId="34946D78" w14:textId="3D3874F4" w:rsidR="00013221" w:rsidRPr="008A09C9" w:rsidRDefault="00013221" w:rsidP="00E26073">
      <w:pPr>
        <w:pStyle w:val="Default"/>
        <w:jc w:val="both"/>
        <w:rPr>
          <w:rFonts w:asciiTheme="minorHAnsi" w:hAnsiTheme="minorHAnsi" w:cstheme="minorHAnsi"/>
          <w:sz w:val="22"/>
          <w:szCs w:val="22"/>
        </w:rPr>
      </w:pPr>
    </w:p>
    <w:p w14:paraId="414CEB4D" w14:textId="1313AEB6" w:rsidR="00180CEF" w:rsidRPr="008A09C9" w:rsidRDefault="00013221" w:rsidP="00E26073">
      <w:pPr>
        <w:pStyle w:val="Default"/>
        <w:jc w:val="both"/>
        <w:rPr>
          <w:rFonts w:asciiTheme="minorHAnsi" w:hAnsiTheme="minorHAnsi" w:cstheme="minorHAnsi"/>
          <w:sz w:val="22"/>
          <w:szCs w:val="22"/>
        </w:rPr>
      </w:pPr>
      <w:r w:rsidRPr="008A09C9">
        <w:rPr>
          <w:rFonts w:asciiTheme="minorHAnsi" w:hAnsiTheme="minorHAnsi" w:cstheme="minorHAnsi"/>
          <w:sz w:val="22"/>
          <w:szCs w:val="22"/>
        </w:rPr>
        <w:t xml:space="preserve">Moreover, ESPS10 </w:t>
      </w:r>
      <w:r w:rsidR="000A2F7A" w:rsidRPr="008A09C9">
        <w:rPr>
          <w:rFonts w:asciiTheme="minorHAnsi" w:hAnsiTheme="minorHAnsi" w:cstheme="minorHAnsi"/>
          <w:sz w:val="22"/>
          <w:szCs w:val="22"/>
        </w:rPr>
        <w:t xml:space="preserve">requires </w:t>
      </w:r>
      <w:r w:rsidR="00B41055">
        <w:rPr>
          <w:rFonts w:asciiTheme="minorHAnsi" w:hAnsiTheme="minorHAnsi" w:cstheme="minorHAnsi"/>
          <w:sz w:val="22"/>
          <w:szCs w:val="22"/>
        </w:rPr>
        <w:t xml:space="preserve">IDB </w:t>
      </w:r>
      <w:r w:rsidR="000A2F7A" w:rsidRPr="008A09C9">
        <w:rPr>
          <w:rFonts w:asciiTheme="minorHAnsi" w:hAnsiTheme="minorHAnsi" w:cstheme="minorHAnsi"/>
          <w:sz w:val="22"/>
          <w:szCs w:val="22"/>
        </w:rPr>
        <w:t xml:space="preserve">Borrowers to </w:t>
      </w:r>
      <w:r w:rsidR="00180CEF" w:rsidRPr="008A09C9">
        <w:rPr>
          <w:rFonts w:asciiTheme="minorHAnsi" w:hAnsiTheme="minorHAnsi" w:cstheme="minorHAnsi"/>
          <w:sz w:val="22"/>
          <w:szCs w:val="22"/>
        </w:rPr>
        <w:t>implement a grievance redress mechanism (GRM) to receive</w:t>
      </w:r>
      <w:r w:rsidR="007B6FA8" w:rsidRPr="008A09C9">
        <w:rPr>
          <w:rFonts w:asciiTheme="minorHAnsi" w:hAnsiTheme="minorHAnsi" w:cstheme="minorHAnsi"/>
          <w:sz w:val="22"/>
          <w:szCs w:val="22"/>
        </w:rPr>
        <w:t>, process and address stakeholder questions</w:t>
      </w:r>
      <w:r w:rsidR="005F7AE0" w:rsidRPr="008A09C9">
        <w:rPr>
          <w:rFonts w:asciiTheme="minorHAnsi" w:hAnsiTheme="minorHAnsi" w:cstheme="minorHAnsi"/>
          <w:sz w:val="22"/>
          <w:szCs w:val="22"/>
        </w:rPr>
        <w:t xml:space="preserve"> and grievances </w:t>
      </w:r>
      <w:r w:rsidR="00180CEF" w:rsidRPr="008A09C9">
        <w:rPr>
          <w:rFonts w:asciiTheme="minorHAnsi" w:hAnsiTheme="minorHAnsi" w:cstheme="minorHAnsi"/>
          <w:sz w:val="22"/>
          <w:szCs w:val="22"/>
        </w:rPr>
        <w:t xml:space="preserve">that may arise in connection with the </w:t>
      </w:r>
      <w:r w:rsidR="005F7AE0" w:rsidRPr="008A09C9">
        <w:rPr>
          <w:rFonts w:asciiTheme="minorHAnsi" w:hAnsiTheme="minorHAnsi" w:cstheme="minorHAnsi"/>
          <w:sz w:val="22"/>
          <w:szCs w:val="22"/>
        </w:rPr>
        <w:t xml:space="preserve">project. </w:t>
      </w:r>
      <w:r w:rsidR="00180CEF" w:rsidRPr="008A09C9">
        <w:rPr>
          <w:rFonts w:asciiTheme="minorHAnsi" w:hAnsiTheme="minorHAnsi" w:cstheme="minorHAnsi"/>
          <w:sz w:val="22"/>
          <w:szCs w:val="22"/>
        </w:rPr>
        <w:t xml:space="preserve">The grievance mechanism </w:t>
      </w:r>
      <w:r w:rsidR="00C139E9" w:rsidRPr="008A09C9">
        <w:rPr>
          <w:rFonts w:asciiTheme="minorHAnsi" w:hAnsiTheme="minorHAnsi" w:cstheme="minorHAnsi"/>
          <w:sz w:val="22"/>
          <w:szCs w:val="22"/>
        </w:rPr>
        <w:t>is</w:t>
      </w:r>
      <w:r w:rsidR="00180CEF" w:rsidRPr="008A09C9">
        <w:rPr>
          <w:rFonts w:asciiTheme="minorHAnsi" w:hAnsiTheme="minorHAnsi" w:cstheme="minorHAnsi"/>
          <w:sz w:val="22"/>
          <w:szCs w:val="22"/>
        </w:rPr>
        <w:t xml:space="preserve"> </w:t>
      </w:r>
      <w:r w:rsidR="0035348C" w:rsidRPr="008A09C9">
        <w:rPr>
          <w:rFonts w:asciiTheme="minorHAnsi" w:hAnsiTheme="minorHAnsi" w:cstheme="minorHAnsi"/>
          <w:sz w:val="22"/>
          <w:szCs w:val="22"/>
        </w:rPr>
        <w:t xml:space="preserve">informed to project stakeholders during stakeholder engagement activities, </w:t>
      </w:r>
      <w:r w:rsidR="00ED6D1A" w:rsidRPr="008A09C9">
        <w:rPr>
          <w:rFonts w:asciiTheme="minorHAnsi" w:hAnsiTheme="minorHAnsi" w:cstheme="minorHAnsi"/>
          <w:sz w:val="22"/>
          <w:szCs w:val="22"/>
        </w:rPr>
        <w:t xml:space="preserve">and </w:t>
      </w:r>
      <w:r w:rsidR="00C139E9" w:rsidRPr="008A09C9">
        <w:rPr>
          <w:rFonts w:asciiTheme="minorHAnsi" w:hAnsiTheme="minorHAnsi" w:cstheme="minorHAnsi"/>
          <w:sz w:val="22"/>
          <w:szCs w:val="22"/>
        </w:rPr>
        <w:t xml:space="preserve">shall </w:t>
      </w:r>
      <w:r w:rsidR="00D32CB5" w:rsidRPr="008A09C9">
        <w:rPr>
          <w:rFonts w:asciiTheme="minorHAnsi" w:hAnsiTheme="minorHAnsi" w:cstheme="minorHAnsi"/>
          <w:sz w:val="22"/>
          <w:szCs w:val="22"/>
        </w:rPr>
        <w:t xml:space="preserve">provide </w:t>
      </w:r>
      <w:r w:rsidR="00ED6D1A" w:rsidRPr="008A09C9">
        <w:rPr>
          <w:rFonts w:asciiTheme="minorHAnsi" w:hAnsiTheme="minorHAnsi" w:cstheme="minorHAnsi"/>
          <w:sz w:val="22"/>
          <w:szCs w:val="22"/>
        </w:rPr>
        <w:t xml:space="preserve">a </w:t>
      </w:r>
      <w:r w:rsidR="00D32CB5" w:rsidRPr="008A09C9">
        <w:rPr>
          <w:rFonts w:asciiTheme="minorHAnsi" w:hAnsiTheme="minorHAnsi" w:cstheme="minorHAnsi"/>
          <w:sz w:val="22"/>
          <w:szCs w:val="22"/>
        </w:rPr>
        <w:t>prompt</w:t>
      </w:r>
      <w:r w:rsidR="00ED6D1A" w:rsidRPr="008A09C9">
        <w:rPr>
          <w:rFonts w:asciiTheme="minorHAnsi" w:hAnsiTheme="minorHAnsi" w:cstheme="minorHAnsi"/>
          <w:sz w:val="22"/>
          <w:szCs w:val="22"/>
        </w:rPr>
        <w:t>,</w:t>
      </w:r>
      <w:r w:rsidR="00D32CB5" w:rsidRPr="008A09C9">
        <w:rPr>
          <w:rFonts w:asciiTheme="minorHAnsi" w:hAnsiTheme="minorHAnsi" w:cstheme="minorHAnsi"/>
          <w:sz w:val="22"/>
          <w:szCs w:val="22"/>
        </w:rPr>
        <w:t xml:space="preserve"> effective</w:t>
      </w:r>
      <w:r w:rsidR="00ED6D1A" w:rsidRPr="008A09C9">
        <w:rPr>
          <w:rFonts w:asciiTheme="minorHAnsi" w:hAnsiTheme="minorHAnsi" w:cstheme="minorHAnsi"/>
          <w:sz w:val="22"/>
          <w:szCs w:val="22"/>
        </w:rPr>
        <w:t xml:space="preserve"> and transparent</w:t>
      </w:r>
      <w:r w:rsidR="00D32CB5" w:rsidRPr="008A09C9">
        <w:rPr>
          <w:rFonts w:asciiTheme="minorHAnsi" w:hAnsiTheme="minorHAnsi" w:cstheme="minorHAnsi"/>
          <w:sz w:val="22"/>
          <w:szCs w:val="22"/>
        </w:rPr>
        <w:t xml:space="preserve"> channel </w:t>
      </w:r>
      <w:r w:rsidR="004478D5" w:rsidRPr="008A09C9">
        <w:rPr>
          <w:rFonts w:asciiTheme="minorHAnsi" w:hAnsiTheme="minorHAnsi" w:cstheme="minorHAnsi"/>
          <w:sz w:val="22"/>
          <w:szCs w:val="22"/>
        </w:rPr>
        <w:t>to address stakeholder concerns at no cost and without retribution</w:t>
      </w:r>
      <w:r w:rsidR="00D86D3D" w:rsidRPr="008A09C9">
        <w:rPr>
          <w:rFonts w:asciiTheme="minorHAnsi" w:hAnsiTheme="minorHAnsi" w:cstheme="minorHAnsi"/>
          <w:sz w:val="22"/>
          <w:szCs w:val="22"/>
        </w:rPr>
        <w:t xml:space="preserve">. </w:t>
      </w:r>
      <w:r w:rsidR="004D09E3" w:rsidRPr="008A09C9">
        <w:rPr>
          <w:rFonts w:asciiTheme="minorHAnsi" w:hAnsiTheme="minorHAnsi" w:cstheme="minorHAnsi"/>
          <w:sz w:val="22"/>
          <w:szCs w:val="22"/>
        </w:rPr>
        <w:t xml:space="preserve">The GRM </w:t>
      </w:r>
      <w:r w:rsidR="00184CEB" w:rsidRPr="008A09C9">
        <w:rPr>
          <w:rFonts w:asciiTheme="minorHAnsi" w:hAnsiTheme="minorHAnsi" w:cstheme="minorHAnsi"/>
          <w:sz w:val="22"/>
          <w:szCs w:val="22"/>
        </w:rPr>
        <w:t xml:space="preserve">is a tool to ensure the voices and needs of project-affected communities are heard </w:t>
      </w:r>
      <w:r w:rsidR="004244CF" w:rsidRPr="008A09C9">
        <w:rPr>
          <w:rFonts w:asciiTheme="minorHAnsi" w:hAnsiTheme="minorHAnsi" w:cstheme="minorHAnsi"/>
          <w:sz w:val="22"/>
          <w:szCs w:val="22"/>
        </w:rPr>
        <w:t xml:space="preserve">and a tool to provide effective redress. </w:t>
      </w:r>
    </w:p>
    <w:p w14:paraId="16BFA193" w14:textId="77777777" w:rsidR="00D218F7" w:rsidRPr="008A09C9" w:rsidRDefault="00D218F7" w:rsidP="00E26073">
      <w:pPr>
        <w:pStyle w:val="Default"/>
        <w:jc w:val="both"/>
        <w:rPr>
          <w:rFonts w:asciiTheme="minorHAnsi" w:hAnsiTheme="minorHAnsi" w:cstheme="minorHAnsi"/>
          <w:b/>
          <w:bCs/>
          <w:sz w:val="22"/>
          <w:szCs w:val="22"/>
        </w:rPr>
      </w:pPr>
    </w:p>
    <w:p w14:paraId="4D957130" w14:textId="1D885F4C" w:rsidR="009445C9" w:rsidRPr="008A09C9" w:rsidRDefault="00E26073" w:rsidP="00585D54">
      <w:pPr>
        <w:pStyle w:val="Default"/>
        <w:numPr>
          <w:ilvl w:val="0"/>
          <w:numId w:val="10"/>
        </w:numPr>
        <w:jc w:val="both"/>
        <w:rPr>
          <w:rFonts w:asciiTheme="minorHAnsi" w:hAnsiTheme="minorHAnsi" w:cstheme="minorHAnsi"/>
          <w:b/>
          <w:bCs/>
          <w:sz w:val="22"/>
          <w:szCs w:val="22"/>
        </w:rPr>
      </w:pPr>
      <w:r w:rsidRPr="2BFDD211">
        <w:rPr>
          <w:rFonts w:asciiTheme="minorHAnsi" w:hAnsiTheme="minorHAnsi" w:cstheme="minorBidi"/>
          <w:b/>
          <w:bCs/>
          <w:sz w:val="22"/>
          <w:szCs w:val="22"/>
        </w:rPr>
        <w:t xml:space="preserve">What efforts does the IADB undertake to ensure that its operations and activities do not have negative human rights impacts, and what measures has the IDB taken to address any negative impacts that have occurred? </w:t>
      </w:r>
    </w:p>
    <w:p w14:paraId="63FB2763" w14:textId="77777777" w:rsidR="00285E88" w:rsidRPr="008A09C9" w:rsidRDefault="00285E88" w:rsidP="00285E88">
      <w:pPr>
        <w:spacing w:after="0" w:line="240" w:lineRule="auto"/>
      </w:pPr>
    </w:p>
    <w:p w14:paraId="2A2B9DB7" w14:textId="760D4398" w:rsidR="00285E88" w:rsidRDefault="00285E88" w:rsidP="00F83660">
      <w:pPr>
        <w:spacing w:after="0" w:line="240" w:lineRule="auto"/>
        <w:jc w:val="both"/>
      </w:pPr>
      <w:r w:rsidRPr="008A09C9">
        <w:t xml:space="preserve">IDB </w:t>
      </w:r>
      <w:r w:rsidR="00736FCB" w:rsidRPr="008A09C9">
        <w:t xml:space="preserve">has implemented </w:t>
      </w:r>
      <w:r w:rsidR="0087091D" w:rsidRPr="008A09C9">
        <w:t xml:space="preserve">several mechanisms and processes in order to prevent, manage and </w:t>
      </w:r>
      <w:r w:rsidR="00A03946" w:rsidRPr="008A09C9">
        <w:t xml:space="preserve">remediate </w:t>
      </w:r>
      <w:r w:rsidR="0087091D" w:rsidRPr="008A09C9">
        <w:t>negative human rights impacts</w:t>
      </w:r>
      <w:r w:rsidR="002A1CF6" w:rsidRPr="008A09C9">
        <w:t xml:space="preserve"> in the operations it finances</w:t>
      </w:r>
      <w:r w:rsidR="0087091D" w:rsidRPr="008A09C9">
        <w:t xml:space="preserve">. </w:t>
      </w:r>
      <w:r w:rsidR="00134401" w:rsidRPr="008A09C9">
        <w:t xml:space="preserve">Respect for human rights is </w:t>
      </w:r>
      <w:r w:rsidR="00BE6FA3" w:rsidRPr="008A09C9">
        <w:t>an IDB</w:t>
      </w:r>
      <w:r w:rsidR="00134401" w:rsidRPr="008A09C9">
        <w:t xml:space="preserve"> core commitmen</w:t>
      </w:r>
      <w:r w:rsidR="009D76D2" w:rsidRPr="008A09C9">
        <w:t>t</w:t>
      </w:r>
      <w:r w:rsidR="00783153" w:rsidRPr="008A09C9">
        <w:t xml:space="preserve"> </w:t>
      </w:r>
      <w:r w:rsidR="00F24D45" w:rsidRPr="008A09C9">
        <w:t xml:space="preserve">and a </w:t>
      </w:r>
      <w:r w:rsidR="00783153" w:rsidRPr="008A09C9">
        <w:t xml:space="preserve">requirement for </w:t>
      </w:r>
      <w:r w:rsidR="00F24D45" w:rsidRPr="008A09C9">
        <w:t>IDB</w:t>
      </w:r>
      <w:r w:rsidR="00783153" w:rsidRPr="008A09C9">
        <w:t xml:space="preserve"> borrowers under its </w:t>
      </w:r>
      <w:hyperlink r:id="rId25" w:history="1">
        <w:r w:rsidR="00BE6FA3" w:rsidRPr="008A09C9">
          <w:rPr>
            <w:rStyle w:val="Hyperlink"/>
          </w:rPr>
          <w:t>E</w:t>
        </w:r>
        <w:r w:rsidR="00B41055">
          <w:rPr>
            <w:rStyle w:val="Hyperlink"/>
          </w:rPr>
          <w:t>SPF policy</w:t>
        </w:r>
        <w:r w:rsidR="00FB2F79" w:rsidRPr="008A09C9">
          <w:rPr>
            <w:rStyle w:val="Hyperlink"/>
          </w:rPr>
          <w:t>.</w:t>
        </w:r>
      </w:hyperlink>
      <w:r w:rsidR="00F83660" w:rsidRPr="008A09C9">
        <w:t xml:space="preserve"> The ESPF understands respect for human rights as </w:t>
      </w:r>
      <w:r w:rsidR="00B92E9A" w:rsidRPr="008A09C9">
        <w:t>avoiding</w:t>
      </w:r>
      <w:r w:rsidR="00F83660" w:rsidRPr="008A09C9">
        <w:t xml:space="preserve"> infringement on the human rights of </w:t>
      </w:r>
      <w:r w:rsidR="00393E4F">
        <w:t>people</w:t>
      </w:r>
      <w:r w:rsidR="00F83660" w:rsidRPr="008A09C9">
        <w:t xml:space="preserve"> and addressing adverse human rights impacts that </w:t>
      </w:r>
      <w:r w:rsidR="00393E4F">
        <w:t>a</w:t>
      </w:r>
      <w:r w:rsidR="00F83660" w:rsidRPr="008A09C9">
        <w:t xml:space="preserve"> project may cause or to which it may contribute </w:t>
      </w:r>
      <w:r w:rsidR="00B92E9A" w:rsidRPr="008A09C9">
        <w:t>to.</w:t>
      </w:r>
      <w:r w:rsidR="00393E4F">
        <w:t xml:space="preserve"> Under the ESPF, human rights respect</w:t>
      </w:r>
      <w:r w:rsidR="007F2240" w:rsidRPr="008A09C9">
        <w:t xml:space="preserve"> includes </w:t>
      </w:r>
      <w:r w:rsidR="000D713D" w:rsidRPr="008A09C9">
        <w:t xml:space="preserve">the protection of workers’ rights, </w:t>
      </w:r>
      <w:r w:rsidR="007F2240" w:rsidRPr="008A09C9">
        <w:t>fostering gender equality,</w:t>
      </w:r>
      <w:r w:rsidR="00FD206B" w:rsidRPr="008A09C9">
        <w:t xml:space="preserve"> promoting</w:t>
      </w:r>
      <w:r w:rsidR="007F2240" w:rsidRPr="008A09C9">
        <w:t xml:space="preserve"> </w:t>
      </w:r>
      <w:r w:rsidR="006E6771" w:rsidRPr="008A09C9">
        <w:t xml:space="preserve">non-discrimination and inclusion of vulnerable groups, and respect for </w:t>
      </w:r>
      <w:r w:rsidR="00153250" w:rsidRPr="008A09C9">
        <w:t xml:space="preserve">the rights of Indigenous, African-descendant and traditional peoples. </w:t>
      </w:r>
    </w:p>
    <w:p w14:paraId="2E25CF1C" w14:textId="58C32A12" w:rsidR="0052287B" w:rsidRDefault="0052287B" w:rsidP="00F83660">
      <w:pPr>
        <w:spacing w:after="0" w:line="240" w:lineRule="auto"/>
        <w:jc w:val="both"/>
      </w:pPr>
    </w:p>
    <w:p w14:paraId="42F49211" w14:textId="59CCCE81" w:rsidR="0052287B" w:rsidRPr="006A357B" w:rsidRDefault="0052287B" w:rsidP="0052287B">
      <w:pPr>
        <w:pStyle w:val="Default"/>
        <w:jc w:val="both"/>
        <w:rPr>
          <w:rFonts w:asciiTheme="minorHAnsi" w:hAnsiTheme="minorHAnsi" w:cstheme="minorHAnsi"/>
          <w:sz w:val="22"/>
          <w:szCs w:val="22"/>
        </w:rPr>
      </w:pPr>
      <w:r w:rsidRPr="006A357B">
        <w:rPr>
          <w:rFonts w:asciiTheme="minorHAnsi" w:hAnsiTheme="minorHAnsi" w:cstheme="minorHAnsi"/>
          <w:sz w:val="22"/>
          <w:szCs w:val="22"/>
        </w:rPr>
        <w:t>In this context, the ESPF sets new standards in several areas and elevates respect for human rights to the core of environmental and social (E&amp;S) risk management. The IDB is committed to respecting human rights and requires its Borrowers to respect human rights, avoid infringement on the human rights of others and address risks and impacts on human rights in IDB projects (ESPF Policy Statement paragraph 1.3).</w:t>
      </w:r>
    </w:p>
    <w:p w14:paraId="3B946DC4" w14:textId="77777777" w:rsidR="0052287B" w:rsidRPr="006A357B" w:rsidRDefault="0052287B" w:rsidP="0052287B">
      <w:pPr>
        <w:pStyle w:val="Default"/>
        <w:jc w:val="both"/>
        <w:rPr>
          <w:rFonts w:asciiTheme="minorHAnsi" w:hAnsiTheme="minorHAnsi" w:cstheme="minorHAnsi"/>
          <w:sz w:val="22"/>
          <w:szCs w:val="22"/>
        </w:rPr>
      </w:pPr>
    </w:p>
    <w:p w14:paraId="5231DA4A" w14:textId="4843DF01" w:rsidR="0052287B" w:rsidRPr="008A09C9" w:rsidRDefault="0052287B" w:rsidP="0052287B">
      <w:pPr>
        <w:spacing w:after="0" w:line="240" w:lineRule="auto"/>
        <w:jc w:val="both"/>
      </w:pPr>
      <w:r w:rsidRPr="006A357B">
        <w:rPr>
          <w:rFonts w:cstheme="minorHAnsi"/>
          <w:color w:val="000000"/>
        </w:rPr>
        <w:t>Each of the 10 Environmental and Social Performance Standard (ESPS) has elements related to human rights and any Environmental and Social (E&amp;S) due diligence realized can be considered as a form of human rights due diligence. Some standards emphasize specific rights language (see for example ESPS 2 Workers rights or ESPS 7 Indigenous rights) or require preventive and protective measures (see for example ESPS 4 Security Personnel) while other standards cover human rights intrinsically (see ESPS 9 Gender Equality and ESPS 10 Stakeholder Engagement). Many key human rights issues such as migration, health and economic inequalities are streamlined throughout the ESPF. Additionally, the IDB has a zero-tolerance policy towards reprisals and takes any credible allegations seriously. ESPS 1 requires Borrowers to consider risk and impacts related to human rights as part of the E&amp;S assessment process and requires specific human rights due diligence (HRDD) where significant human rights risks exist (ESPS 1 para. 6 and Footnote 52)</w:t>
      </w:r>
      <w:r w:rsidRPr="006A357B">
        <w:rPr>
          <w:rFonts w:cstheme="minorHAnsi"/>
        </w:rPr>
        <w:t>.</w:t>
      </w:r>
    </w:p>
    <w:p w14:paraId="1A1B9A52" w14:textId="2FFBEF57" w:rsidR="00B927F2" w:rsidRPr="008A09C9" w:rsidRDefault="00B927F2" w:rsidP="0087091D">
      <w:pPr>
        <w:spacing w:after="0" w:line="240" w:lineRule="auto"/>
        <w:jc w:val="both"/>
      </w:pPr>
    </w:p>
    <w:p w14:paraId="6AF09BD3" w14:textId="211AFDF6" w:rsidR="008E332C" w:rsidRPr="008A09C9" w:rsidRDefault="008E332C" w:rsidP="0087091D">
      <w:pPr>
        <w:spacing w:after="0" w:line="240" w:lineRule="auto"/>
        <w:jc w:val="both"/>
      </w:pPr>
      <w:r w:rsidRPr="00B9039D">
        <w:t>IDB’s</w:t>
      </w:r>
      <w:r w:rsidRPr="008A09C9">
        <w:t xml:space="preserve"> </w:t>
      </w:r>
      <w:r w:rsidR="00DC7CC8" w:rsidRPr="008A09C9">
        <w:t>Environmental and Social Performance Standard 1 (ESPS1)</w:t>
      </w:r>
      <w:r w:rsidRPr="008A09C9">
        <w:t xml:space="preserve"> requires Borrowers to assess and manage their environmental and social (E&amp;S) risks and impacts</w:t>
      </w:r>
      <w:r w:rsidR="00B87F1E" w:rsidRPr="008A09C9">
        <w:t>. Such assessments</w:t>
      </w:r>
      <w:r w:rsidR="004E067C" w:rsidRPr="008A09C9">
        <w:t xml:space="preserve"> </w:t>
      </w:r>
      <w:r w:rsidR="00A172CA" w:rsidRPr="008A09C9">
        <w:t>include</w:t>
      </w:r>
      <w:r w:rsidR="004E067C" w:rsidRPr="008A09C9">
        <w:t xml:space="preserve"> the consideration of</w:t>
      </w:r>
      <w:r w:rsidR="00A172CA" w:rsidRPr="008A09C9">
        <w:t xml:space="preserve"> human rights </w:t>
      </w:r>
      <w:r w:rsidR="004E067C" w:rsidRPr="008A09C9">
        <w:t>risks and impact</w:t>
      </w:r>
      <w:r w:rsidR="00633505" w:rsidRPr="008A09C9">
        <w:t>s</w:t>
      </w:r>
      <w:r w:rsidR="000B1A6C" w:rsidRPr="008A09C9">
        <w:t xml:space="preserve">, according to </w:t>
      </w:r>
      <w:r w:rsidR="0029664B" w:rsidRPr="008A09C9">
        <w:t xml:space="preserve">a process of human rights due diligence in </w:t>
      </w:r>
      <w:r w:rsidR="0029664B" w:rsidRPr="008A09C9">
        <w:lastRenderedPageBreak/>
        <w:t xml:space="preserve">line with the United Nations Guiding Principles </w:t>
      </w:r>
      <w:r w:rsidR="002B6E28" w:rsidRPr="008A09C9">
        <w:t>on</w:t>
      </w:r>
      <w:r w:rsidR="0029664B" w:rsidRPr="008A09C9">
        <w:t xml:space="preserve"> Business and Human Rights</w:t>
      </w:r>
      <w:r w:rsidR="002B6E28" w:rsidRPr="008A09C9">
        <w:t xml:space="preserve">. </w:t>
      </w:r>
      <w:r w:rsidR="000D29B2" w:rsidRPr="008A09C9">
        <w:t>Moreover, the Grievance Redress Mechanism (GRM) required to Borrowers under ESPS10 on Stakeholder Engagement and Information Disclosure</w:t>
      </w:r>
      <w:r w:rsidR="00C64B09" w:rsidRPr="008A09C9">
        <w:t>,</w:t>
      </w:r>
      <w:r w:rsidR="000D29B2" w:rsidRPr="008A09C9">
        <w:t xml:space="preserve"> provides for a</w:t>
      </w:r>
      <w:r w:rsidR="00C64B09" w:rsidRPr="008A09C9">
        <w:t xml:space="preserve"> channel for project-affected individuals or communities to raise concerns </w:t>
      </w:r>
      <w:r w:rsidR="00B37B2F" w:rsidRPr="008A09C9">
        <w:t xml:space="preserve">about negative project impacts and seek appropriate redress. </w:t>
      </w:r>
    </w:p>
    <w:p w14:paraId="297E1601" w14:textId="651EFBE1" w:rsidR="00B37B2F" w:rsidRPr="008A09C9" w:rsidRDefault="00B37B2F" w:rsidP="0087091D">
      <w:pPr>
        <w:spacing w:after="0" w:line="240" w:lineRule="auto"/>
        <w:jc w:val="both"/>
      </w:pPr>
    </w:p>
    <w:p w14:paraId="70B1C692" w14:textId="4D37FA11" w:rsidR="00B37B2F" w:rsidRDefault="00B37B2F" w:rsidP="0087091D">
      <w:pPr>
        <w:spacing w:after="0" w:line="240" w:lineRule="auto"/>
        <w:jc w:val="both"/>
      </w:pPr>
      <w:r w:rsidRPr="008A09C9">
        <w:t xml:space="preserve">In addition, </w:t>
      </w:r>
      <w:hyperlink r:id="rId26" w:history="1">
        <w:r w:rsidRPr="008A09C9">
          <w:rPr>
            <w:rStyle w:val="Hyperlink"/>
          </w:rPr>
          <w:t xml:space="preserve">IDB’s </w:t>
        </w:r>
        <w:r w:rsidR="00E01107" w:rsidRPr="008A09C9">
          <w:rPr>
            <w:rStyle w:val="Hyperlink"/>
          </w:rPr>
          <w:t>Independent Consultation and Investigation Mechanism (ICIM)</w:t>
        </w:r>
      </w:hyperlink>
      <w:r w:rsidR="00EB16E9" w:rsidRPr="008A09C9">
        <w:t xml:space="preserve"> is a</w:t>
      </w:r>
      <w:r w:rsidR="00FA1619" w:rsidRPr="008A09C9">
        <w:t xml:space="preserve"> </w:t>
      </w:r>
      <w:r w:rsidR="00A04B15" w:rsidRPr="008A09C9">
        <w:t>complementary</w:t>
      </w:r>
      <w:r w:rsidR="00EB16E9" w:rsidRPr="008A09C9">
        <w:t xml:space="preserve"> resource available to individuals and communities who </w:t>
      </w:r>
      <w:r w:rsidR="00894136" w:rsidRPr="008A09C9">
        <w:t>may</w:t>
      </w:r>
      <w:r w:rsidR="00AA0276" w:rsidRPr="008A09C9">
        <w:t xml:space="preserve"> </w:t>
      </w:r>
      <w:r w:rsidR="00894136" w:rsidRPr="008A09C9">
        <w:t xml:space="preserve">have been negatively affected by IDB-financed projects. </w:t>
      </w:r>
      <w:r w:rsidR="00FA1619" w:rsidRPr="008A09C9">
        <w:t>The ICIM</w:t>
      </w:r>
      <w:r w:rsidR="007B25A5" w:rsidRPr="008A09C9">
        <w:t xml:space="preserve"> receives </w:t>
      </w:r>
      <w:r w:rsidR="003B63B6" w:rsidRPr="008A09C9">
        <w:t xml:space="preserve">complaints regarding human rights, social or environmental harm </w:t>
      </w:r>
      <w:r w:rsidR="0081786A" w:rsidRPr="008A09C9">
        <w:t>in relation to IDB projects</w:t>
      </w:r>
      <w:r w:rsidR="00695BAE" w:rsidRPr="008A09C9">
        <w:t xml:space="preserve"> and provides two courses of action, where the complaints meet the eligibility requirements. The first </w:t>
      </w:r>
      <w:r w:rsidR="0074775E" w:rsidRPr="008A09C9">
        <w:t>course of action involves the facilitation</w:t>
      </w:r>
      <w:r w:rsidR="0081786A" w:rsidRPr="008A09C9">
        <w:t xml:space="preserve"> </w:t>
      </w:r>
      <w:r w:rsidR="0074775E" w:rsidRPr="008A09C9">
        <w:t xml:space="preserve">of a </w:t>
      </w:r>
      <w:r w:rsidR="00DD2EA5" w:rsidRPr="008A09C9">
        <w:t>dispute resolution process between the affected communities and the project borrower to seek joint solutions</w:t>
      </w:r>
      <w:r w:rsidR="0074775E" w:rsidRPr="008A09C9">
        <w:t>, while the second course of action available is</w:t>
      </w:r>
      <w:r w:rsidR="00896C69" w:rsidRPr="008A09C9">
        <w:t xml:space="preserve"> </w:t>
      </w:r>
      <w:r w:rsidR="00462E45" w:rsidRPr="008A09C9">
        <w:t xml:space="preserve">a </w:t>
      </w:r>
      <w:r w:rsidR="00896C69" w:rsidRPr="008A09C9">
        <w:t xml:space="preserve">compliance investigation on </w:t>
      </w:r>
      <w:r w:rsidR="00462E45" w:rsidRPr="008A09C9">
        <w:t>the</w:t>
      </w:r>
      <w:r w:rsidR="00896C69" w:rsidRPr="008A09C9">
        <w:t xml:space="preserve"> IDB’s performance in fulfilling its environmental and social commitments</w:t>
      </w:r>
      <w:r w:rsidR="00462E45" w:rsidRPr="008A09C9">
        <w:t xml:space="preserve">, in order to identify </w:t>
      </w:r>
      <w:r w:rsidR="00587D19" w:rsidRPr="008A09C9">
        <w:t xml:space="preserve">areas where E&amp;S performance can be improved. </w:t>
      </w:r>
      <w:r w:rsidR="002954EF" w:rsidRPr="008A09C9">
        <w:t xml:space="preserve">ICIM’s </w:t>
      </w:r>
      <w:r w:rsidR="00E47C9A" w:rsidRPr="008A09C9">
        <w:t>processes</w:t>
      </w:r>
      <w:r w:rsidR="002954EF" w:rsidRPr="008A09C9">
        <w:t xml:space="preserve"> have provided affected communities with remediation </w:t>
      </w:r>
      <w:r w:rsidR="00E47C9A" w:rsidRPr="008A09C9">
        <w:t xml:space="preserve">measures, as well as lessons to the IDB </w:t>
      </w:r>
      <w:r w:rsidR="00AD57D3" w:rsidRPr="008A09C9">
        <w:t xml:space="preserve">on how to improve its social and environmental performance.  </w:t>
      </w:r>
    </w:p>
    <w:p w14:paraId="533EEB98" w14:textId="77777777" w:rsidR="00BE34E4" w:rsidRDefault="00BE34E4" w:rsidP="00BE34E4">
      <w:pPr>
        <w:pStyle w:val="Default"/>
      </w:pPr>
    </w:p>
    <w:p w14:paraId="2FE1089A" w14:textId="77777777" w:rsidR="00BE34E4" w:rsidRDefault="00BE34E4" w:rsidP="00BE34E4">
      <w:pPr>
        <w:pStyle w:val="Default"/>
      </w:pPr>
      <w:r>
        <w:t xml:space="preserve"> </w:t>
      </w:r>
    </w:p>
    <w:p w14:paraId="6713C260" w14:textId="7CEEC67E" w:rsidR="00BE34E4" w:rsidRPr="00396F48" w:rsidRDefault="00BE34E4" w:rsidP="00585D54">
      <w:pPr>
        <w:pStyle w:val="Default"/>
        <w:numPr>
          <w:ilvl w:val="0"/>
          <w:numId w:val="10"/>
        </w:numPr>
        <w:jc w:val="both"/>
        <w:rPr>
          <w:rFonts w:asciiTheme="minorHAnsi" w:hAnsiTheme="minorHAnsi" w:cstheme="minorHAnsi"/>
          <w:b/>
          <w:bCs/>
          <w:sz w:val="22"/>
          <w:szCs w:val="22"/>
        </w:rPr>
      </w:pPr>
      <w:r w:rsidRPr="2BFDD211">
        <w:rPr>
          <w:rFonts w:asciiTheme="minorHAnsi" w:hAnsiTheme="minorHAnsi" w:cstheme="minorBidi"/>
          <w:b/>
          <w:bCs/>
          <w:sz w:val="22"/>
          <w:szCs w:val="22"/>
        </w:rPr>
        <w:t xml:space="preserve">Efforts by the IADB to promote and protect human rights through its partnerships and relationships with other financial institutions, governments, and private sector actors. </w:t>
      </w:r>
    </w:p>
    <w:p w14:paraId="6F41C8B5" w14:textId="49BDA830" w:rsidR="00396F48" w:rsidRDefault="00396F48" w:rsidP="00396F48">
      <w:pPr>
        <w:pStyle w:val="Default"/>
        <w:ind w:left="720"/>
        <w:jc w:val="both"/>
        <w:rPr>
          <w:rFonts w:asciiTheme="minorHAnsi" w:hAnsiTheme="minorHAnsi" w:cstheme="minorBidi"/>
          <w:b/>
          <w:bCs/>
          <w:sz w:val="22"/>
          <w:szCs w:val="22"/>
        </w:rPr>
      </w:pPr>
    </w:p>
    <w:p w14:paraId="0BEA0A97" w14:textId="77777777" w:rsidR="00396F48" w:rsidRPr="00FF3F12" w:rsidRDefault="00396F48" w:rsidP="00396F48">
      <w:pPr>
        <w:pStyle w:val="Default"/>
        <w:ind w:left="720"/>
        <w:jc w:val="both"/>
        <w:rPr>
          <w:rFonts w:asciiTheme="minorHAnsi" w:hAnsiTheme="minorHAnsi" w:cstheme="minorHAnsi"/>
          <w:b/>
          <w:bCs/>
          <w:sz w:val="22"/>
          <w:szCs w:val="22"/>
        </w:rPr>
      </w:pPr>
    </w:p>
    <w:p w14:paraId="07EE5945" w14:textId="1BCF5602" w:rsidR="00426AA2" w:rsidRDefault="00A704DD" w:rsidP="00B9039D">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There are many efforts carried out by the IDB to protect human rights through strategic partnerships.  Among those efforts are </w:t>
      </w:r>
      <w:r w:rsidR="00176948">
        <w:rPr>
          <w:rFonts w:asciiTheme="minorHAnsi" w:hAnsiTheme="minorHAnsi" w:cstheme="minorBidi"/>
          <w:color w:val="auto"/>
          <w:sz w:val="22"/>
          <w:szCs w:val="22"/>
        </w:rPr>
        <w:t xml:space="preserve">permanent participation and collaboration with other International Financial Institutions (IFIs) that implies </w:t>
      </w:r>
      <w:r>
        <w:rPr>
          <w:rFonts w:asciiTheme="minorHAnsi" w:hAnsiTheme="minorHAnsi" w:cstheme="minorBidi"/>
          <w:color w:val="auto"/>
          <w:sz w:val="22"/>
          <w:szCs w:val="22"/>
        </w:rPr>
        <w:t>collaborative Working Groups</w:t>
      </w:r>
      <w:r w:rsidR="00176948">
        <w:rPr>
          <w:rFonts w:asciiTheme="minorHAnsi" w:hAnsiTheme="minorHAnsi" w:cstheme="minorBidi"/>
          <w:color w:val="auto"/>
          <w:sz w:val="22"/>
          <w:szCs w:val="22"/>
        </w:rPr>
        <w:t xml:space="preserve"> for sharing and interchange of experiences on good practices</w:t>
      </w:r>
      <w:r>
        <w:rPr>
          <w:rFonts w:asciiTheme="minorHAnsi" w:hAnsiTheme="minorHAnsi" w:cstheme="minorBidi"/>
          <w:color w:val="auto"/>
          <w:sz w:val="22"/>
          <w:szCs w:val="22"/>
        </w:rPr>
        <w:t xml:space="preserve">.  For example, the SEA/SH </w:t>
      </w:r>
      <w:r w:rsidR="00396F48" w:rsidRPr="00396F48">
        <w:rPr>
          <w:rFonts w:asciiTheme="minorHAnsi" w:hAnsiTheme="minorHAnsi" w:cstheme="minorBidi"/>
          <w:color w:val="auto"/>
          <w:sz w:val="22"/>
          <w:szCs w:val="22"/>
        </w:rPr>
        <w:t xml:space="preserve">Working Group </w:t>
      </w:r>
      <w:r>
        <w:rPr>
          <w:rFonts w:asciiTheme="minorHAnsi" w:hAnsiTheme="minorHAnsi" w:cstheme="minorBidi"/>
          <w:color w:val="auto"/>
          <w:sz w:val="22"/>
          <w:szCs w:val="22"/>
        </w:rPr>
        <w:t xml:space="preserve">that consists of </w:t>
      </w:r>
      <w:r w:rsidRPr="00396F48">
        <w:rPr>
          <w:rFonts w:asciiTheme="minorHAnsi" w:hAnsiTheme="minorHAnsi" w:cstheme="minorBidi"/>
          <w:color w:val="auto"/>
          <w:sz w:val="22"/>
          <w:szCs w:val="22"/>
        </w:rPr>
        <w:t xml:space="preserve">12 MFIs </w:t>
      </w:r>
      <w:r w:rsidR="00396F48" w:rsidRPr="00396F48">
        <w:rPr>
          <w:rFonts w:asciiTheme="minorHAnsi" w:hAnsiTheme="minorHAnsi" w:cstheme="minorBidi"/>
          <w:color w:val="auto"/>
          <w:sz w:val="22"/>
          <w:szCs w:val="22"/>
        </w:rPr>
        <w:t>work on mitigating risks of and addressing Sexual Exploitation and Abuse and Sexual Harassment (SEA/SH) in development operations</w:t>
      </w:r>
      <w:r w:rsidR="00396F48">
        <w:rPr>
          <w:rFonts w:asciiTheme="minorHAnsi" w:hAnsiTheme="minorHAnsi" w:cstheme="minorBidi"/>
          <w:color w:val="auto"/>
          <w:sz w:val="22"/>
          <w:szCs w:val="22"/>
        </w:rPr>
        <w:t xml:space="preserve">.  </w:t>
      </w:r>
      <w:r w:rsidR="00396F48" w:rsidRPr="00396F48">
        <w:rPr>
          <w:rFonts w:asciiTheme="minorHAnsi" w:hAnsiTheme="minorHAnsi" w:cstheme="minorBidi"/>
          <w:color w:val="auto"/>
          <w:sz w:val="22"/>
          <w:szCs w:val="22"/>
        </w:rPr>
        <w:t>Members of the MFI working group include policy leaders,  technical and thematic specialists on gender-based violence (GBV)  and SEA/SH, gender, and environment and social development from: Asian Development Bank (ADB), African Development Bank (AfDB), Asian Infrastructure Investment Bank (AIIB), European Bank for Reconstruction and Development (EBRD), European Investment Bank (EIB), Inter-American Development Bank(IADB), IDB Invest, International Finance Corporation (IFC), International Fund for Agricultural Development (IFAD), Islamic Development Bank IDB), Multilateral Investment Guarantee Agency (MIGA), and the World Bank (WB).   </w:t>
      </w:r>
      <w:r>
        <w:rPr>
          <w:rFonts w:asciiTheme="minorHAnsi" w:hAnsiTheme="minorHAnsi" w:cstheme="minorBidi"/>
          <w:color w:val="auto"/>
          <w:sz w:val="22"/>
          <w:szCs w:val="22"/>
        </w:rPr>
        <w:t xml:space="preserve">This group has most recently created a knowledge sharing platform </w:t>
      </w:r>
      <w:r w:rsidR="00085DB5">
        <w:rPr>
          <w:rFonts w:asciiTheme="minorHAnsi" w:hAnsiTheme="minorHAnsi" w:cstheme="minorBidi"/>
          <w:color w:val="auto"/>
          <w:sz w:val="22"/>
          <w:szCs w:val="22"/>
        </w:rPr>
        <w:t xml:space="preserve">that will be </w:t>
      </w:r>
      <w:r>
        <w:rPr>
          <w:rFonts w:asciiTheme="minorHAnsi" w:hAnsiTheme="minorHAnsi" w:cstheme="minorBidi"/>
          <w:color w:val="auto"/>
          <w:sz w:val="22"/>
          <w:szCs w:val="22"/>
        </w:rPr>
        <w:t>available to all practitioners</w:t>
      </w:r>
      <w:r w:rsidR="00085DB5">
        <w:rPr>
          <w:rFonts w:asciiTheme="minorHAnsi" w:hAnsiTheme="minorHAnsi" w:cstheme="minorBidi"/>
          <w:color w:val="auto"/>
          <w:sz w:val="22"/>
          <w:szCs w:val="22"/>
        </w:rPr>
        <w:t xml:space="preserve"> during the first semester of 2023</w:t>
      </w:r>
      <w:r>
        <w:rPr>
          <w:rFonts w:asciiTheme="minorHAnsi" w:hAnsiTheme="minorHAnsi" w:cstheme="minorBidi"/>
          <w:color w:val="auto"/>
          <w:sz w:val="22"/>
          <w:szCs w:val="22"/>
        </w:rPr>
        <w:t xml:space="preserve">. </w:t>
      </w:r>
      <w:r w:rsidR="00EE2840">
        <w:rPr>
          <w:rFonts w:asciiTheme="minorHAnsi" w:hAnsiTheme="minorHAnsi" w:cstheme="minorBidi"/>
          <w:color w:val="auto"/>
          <w:sz w:val="22"/>
          <w:szCs w:val="22"/>
        </w:rPr>
        <w:t xml:space="preserve">Other </w:t>
      </w:r>
      <w:r w:rsidR="005E3578">
        <w:rPr>
          <w:rFonts w:asciiTheme="minorHAnsi" w:hAnsiTheme="minorHAnsi" w:cstheme="minorBidi"/>
          <w:color w:val="auto"/>
          <w:sz w:val="22"/>
          <w:szCs w:val="22"/>
        </w:rPr>
        <w:t xml:space="preserve">MDBs </w:t>
      </w:r>
      <w:r w:rsidR="00EE2840">
        <w:rPr>
          <w:rFonts w:asciiTheme="minorHAnsi" w:hAnsiTheme="minorHAnsi" w:cstheme="minorBidi"/>
          <w:color w:val="auto"/>
          <w:sz w:val="22"/>
          <w:szCs w:val="22"/>
        </w:rPr>
        <w:t xml:space="preserve">Working Groups include </w:t>
      </w:r>
      <w:r w:rsidR="00EE2840" w:rsidRPr="00EE2840">
        <w:rPr>
          <w:rFonts w:asciiTheme="minorHAnsi" w:hAnsiTheme="minorHAnsi" w:cstheme="minorBidi"/>
          <w:color w:val="auto"/>
          <w:sz w:val="22"/>
          <w:szCs w:val="22"/>
        </w:rPr>
        <w:t>Fragility, Conflict and Violence (FCV)</w:t>
      </w:r>
      <w:r w:rsidR="0034591D">
        <w:rPr>
          <w:rFonts w:asciiTheme="minorHAnsi" w:hAnsiTheme="minorHAnsi" w:cstheme="minorBidi"/>
          <w:color w:val="auto"/>
          <w:sz w:val="22"/>
          <w:szCs w:val="22"/>
        </w:rPr>
        <w:t>.</w:t>
      </w:r>
      <w:r w:rsidR="00176948">
        <w:rPr>
          <w:rFonts w:asciiTheme="minorHAnsi" w:hAnsiTheme="minorHAnsi" w:cstheme="minorBidi"/>
          <w:color w:val="auto"/>
          <w:sz w:val="22"/>
          <w:szCs w:val="22"/>
        </w:rPr>
        <w:t xml:space="preserve"> Other relevant collaborations with ILO Office in Washington to interchange experiences on labor and indigenous </w:t>
      </w:r>
      <w:r w:rsidR="00B9039D">
        <w:rPr>
          <w:rFonts w:asciiTheme="minorHAnsi" w:hAnsiTheme="minorHAnsi" w:cstheme="minorBidi"/>
          <w:color w:val="auto"/>
          <w:sz w:val="22"/>
          <w:szCs w:val="22"/>
        </w:rPr>
        <w:t>peoples’</w:t>
      </w:r>
      <w:r w:rsidR="00176948">
        <w:rPr>
          <w:rFonts w:asciiTheme="minorHAnsi" w:hAnsiTheme="minorHAnsi" w:cstheme="minorBidi"/>
          <w:color w:val="auto"/>
          <w:sz w:val="22"/>
          <w:szCs w:val="22"/>
        </w:rPr>
        <w:t xml:space="preserve"> rights issues are relevant examples of cross collaboration.</w:t>
      </w:r>
    </w:p>
    <w:p w14:paraId="366AE021" w14:textId="77777777" w:rsidR="0034591D" w:rsidRPr="00EE2840" w:rsidRDefault="0034591D" w:rsidP="00EE2840">
      <w:pPr>
        <w:pStyle w:val="Default"/>
        <w:ind w:left="720"/>
        <w:jc w:val="both"/>
        <w:rPr>
          <w:rFonts w:asciiTheme="minorHAnsi" w:hAnsiTheme="minorHAnsi" w:cstheme="minorBidi"/>
          <w:color w:val="auto"/>
          <w:sz w:val="22"/>
          <w:szCs w:val="22"/>
        </w:rPr>
      </w:pPr>
    </w:p>
    <w:p w14:paraId="5DE36516" w14:textId="77777777" w:rsidR="00426AA2" w:rsidRPr="00585D54" w:rsidRDefault="00426AA2" w:rsidP="00585D54">
      <w:pPr>
        <w:pStyle w:val="Default"/>
        <w:ind w:left="720"/>
        <w:jc w:val="both"/>
        <w:rPr>
          <w:rFonts w:asciiTheme="minorHAnsi" w:hAnsiTheme="minorHAnsi" w:cstheme="minorHAnsi"/>
          <w:b/>
          <w:bCs/>
          <w:sz w:val="22"/>
          <w:szCs w:val="22"/>
        </w:rPr>
      </w:pPr>
      <w:r w:rsidRPr="00585D54">
        <w:rPr>
          <w:rFonts w:asciiTheme="minorHAnsi" w:hAnsiTheme="minorHAnsi" w:cstheme="minorHAnsi"/>
          <w:b/>
          <w:bCs/>
          <w:sz w:val="22"/>
          <w:szCs w:val="22"/>
        </w:rPr>
        <w:t xml:space="preserve"> </w:t>
      </w:r>
    </w:p>
    <w:p w14:paraId="77A9DF98" w14:textId="2C9F64E5" w:rsidR="00426AA2" w:rsidRPr="00585D54" w:rsidRDefault="00426AA2" w:rsidP="00585D54">
      <w:pPr>
        <w:pStyle w:val="Default"/>
        <w:numPr>
          <w:ilvl w:val="0"/>
          <w:numId w:val="10"/>
        </w:numPr>
        <w:jc w:val="both"/>
        <w:rPr>
          <w:rFonts w:asciiTheme="minorHAnsi" w:hAnsiTheme="minorHAnsi" w:cstheme="minorHAnsi"/>
          <w:b/>
          <w:bCs/>
          <w:sz w:val="22"/>
          <w:szCs w:val="22"/>
        </w:rPr>
      </w:pPr>
      <w:r w:rsidRPr="2BFDD211">
        <w:rPr>
          <w:rFonts w:asciiTheme="minorHAnsi" w:hAnsiTheme="minorHAnsi" w:cstheme="minorBidi"/>
          <w:b/>
          <w:bCs/>
          <w:sz w:val="22"/>
          <w:szCs w:val="22"/>
        </w:rPr>
        <w:t xml:space="preserve">Do States leverage human rights obligations, including the right to development in their engagement and negotiations with the IADB? </w:t>
      </w:r>
    </w:p>
    <w:p w14:paraId="37208BB3" w14:textId="4C8E3319" w:rsidR="00960BF9" w:rsidRPr="00960BF9" w:rsidRDefault="00960BF9" w:rsidP="00960BF9">
      <w:pPr>
        <w:pStyle w:val="NormalWeb"/>
        <w:spacing w:after="0"/>
        <w:rPr>
          <w:rFonts w:asciiTheme="minorHAnsi" w:eastAsiaTheme="minorEastAsia" w:hAnsi="Calibri" w:cstheme="minorBidi"/>
          <w:color w:val="000000" w:themeColor="text1"/>
          <w:kern w:val="24"/>
          <w:sz w:val="22"/>
          <w:szCs w:val="22"/>
        </w:rPr>
      </w:pPr>
      <w:r w:rsidRPr="00960BF9">
        <w:rPr>
          <w:rFonts w:asciiTheme="minorHAnsi" w:eastAsiaTheme="minorEastAsia" w:hAnsi="Calibri" w:cstheme="minorBidi"/>
          <w:color w:val="000000" w:themeColor="text1"/>
          <w:kern w:val="24"/>
          <w:sz w:val="22"/>
          <w:szCs w:val="22"/>
        </w:rPr>
        <w:t xml:space="preserve">Although many </w:t>
      </w:r>
      <w:r w:rsidR="00B41055">
        <w:rPr>
          <w:rFonts w:asciiTheme="minorHAnsi" w:eastAsiaTheme="minorEastAsia" w:hAnsi="Calibri" w:cstheme="minorBidi"/>
          <w:color w:val="000000" w:themeColor="text1"/>
          <w:kern w:val="24"/>
          <w:sz w:val="22"/>
          <w:szCs w:val="22"/>
        </w:rPr>
        <w:t xml:space="preserve">countries </w:t>
      </w:r>
      <w:r w:rsidRPr="00960BF9">
        <w:rPr>
          <w:rFonts w:asciiTheme="minorHAnsi" w:eastAsiaTheme="minorEastAsia" w:hAnsi="Calibri" w:cstheme="minorBidi"/>
          <w:color w:val="000000" w:themeColor="text1"/>
          <w:kern w:val="24"/>
          <w:sz w:val="22"/>
          <w:szCs w:val="22"/>
        </w:rPr>
        <w:t xml:space="preserve">in Latin America and the Caribbean have ratified strong regional human rights standards, the level of enforcement varies in each country. </w:t>
      </w:r>
      <w:r w:rsidR="00EF5F6A">
        <w:rPr>
          <w:rFonts w:asciiTheme="minorHAnsi" w:eastAsiaTheme="minorEastAsia" w:hAnsi="Calibri" w:cstheme="minorBidi"/>
          <w:color w:val="000000" w:themeColor="text1"/>
          <w:kern w:val="24"/>
          <w:sz w:val="22"/>
          <w:szCs w:val="22"/>
        </w:rPr>
        <w:t>The IDB supports</w:t>
      </w:r>
      <w:r w:rsidRPr="00960BF9">
        <w:rPr>
          <w:rFonts w:asciiTheme="minorHAnsi" w:eastAsiaTheme="minorEastAsia" w:hAnsi="Calibri" w:cstheme="minorBidi"/>
          <w:color w:val="000000" w:themeColor="text1"/>
          <w:kern w:val="24"/>
          <w:sz w:val="22"/>
          <w:szCs w:val="22"/>
        </w:rPr>
        <w:t xml:space="preserve"> </w:t>
      </w:r>
      <w:r w:rsidR="00B41055">
        <w:rPr>
          <w:rFonts w:asciiTheme="minorHAnsi" w:eastAsiaTheme="minorEastAsia" w:hAnsi="Calibri" w:cstheme="minorBidi"/>
          <w:color w:val="000000" w:themeColor="text1"/>
          <w:kern w:val="24"/>
          <w:sz w:val="22"/>
          <w:szCs w:val="22"/>
        </w:rPr>
        <w:t xml:space="preserve">countries </w:t>
      </w:r>
      <w:r w:rsidRPr="00960BF9">
        <w:rPr>
          <w:rFonts w:asciiTheme="minorHAnsi" w:eastAsiaTheme="minorEastAsia" w:hAnsi="Calibri" w:cstheme="minorBidi"/>
          <w:color w:val="000000" w:themeColor="text1"/>
          <w:kern w:val="24"/>
          <w:sz w:val="22"/>
          <w:szCs w:val="22"/>
        </w:rPr>
        <w:t xml:space="preserve">to adopt and implement investment strategies with a focus on human rights and development. </w:t>
      </w:r>
      <w:r w:rsidR="00B41055">
        <w:rPr>
          <w:rFonts w:asciiTheme="minorHAnsi" w:eastAsiaTheme="minorEastAsia" w:hAnsi="Calibri" w:cstheme="minorBidi"/>
          <w:color w:val="000000" w:themeColor="text1"/>
          <w:kern w:val="24"/>
          <w:sz w:val="22"/>
          <w:szCs w:val="22"/>
        </w:rPr>
        <w:t xml:space="preserve"> </w:t>
      </w:r>
    </w:p>
    <w:p w14:paraId="2EDE5A63" w14:textId="0E02B0A8" w:rsidR="00960BF9" w:rsidRPr="00960BF9" w:rsidRDefault="00960BF9" w:rsidP="00960BF9">
      <w:pPr>
        <w:pStyle w:val="NormalWeb"/>
        <w:spacing w:before="0" w:beforeAutospacing="0" w:after="0" w:afterAutospacing="0"/>
        <w:rPr>
          <w:rFonts w:asciiTheme="minorHAnsi" w:eastAsiaTheme="minorEastAsia" w:hAnsi="Calibri" w:cstheme="minorBidi"/>
          <w:color w:val="000000" w:themeColor="text1"/>
          <w:kern w:val="24"/>
          <w:sz w:val="22"/>
          <w:szCs w:val="22"/>
        </w:rPr>
      </w:pPr>
      <w:r w:rsidRPr="00960BF9">
        <w:rPr>
          <w:rFonts w:asciiTheme="minorHAnsi" w:eastAsiaTheme="minorEastAsia" w:hAnsi="Calibri" w:cstheme="minorBidi"/>
          <w:color w:val="000000" w:themeColor="text1"/>
          <w:kern w:val="24"/>
          <w:sz w:val="22"/>
          <w:szCs w:val="22"/>
        </w:rPr>
        <w:t>Some processes of strategic definition and programming with the countries, such as the Country Strategy, developed by the IDB with each of the 25 countries, results from a process of combining</w:t>
      </w:r>
      <w:r>
        <w:rPr>
          <w:rFonts w:asciiTheme="minorHAnsi" w:eastAsiaTheme="minorEastAsia" w:hAnsi="Calibri" w:cstheme="minorBidi"/>
          <w:color w:val="000000" w:themeColor="text1"/>
          <w:kern w:val="24"/>
          <w:sz w:val="22"/>
          <w:szCs w:val="22"/>
        </w:rPr>
        <w:t xml:space="preserve"> the</w:t>
      </w:r>
      <w:r w:rsidRPr="00960BF9">
        <w:rPr>
          <w:rFonts w:asciiTheme="minorHAnsi" w:eastAsiaTheme="minorEastAsia" w:hAnsi="Calibri" w:cstheme="minorBidi"/>
          <w:color w:val="000000" w:themeColor="text1"/>
          <w:kern w:val="24"/>
          <w:sz w:val="22"/>
          <w:szCs w:val="22"/>
        </w:rPr>
        <w:t xml:space="preserve"> National Development Plans</w:t>
      </w:r>
      <w:r w:rsidR="00B41055">
        <w:rPr>
          <w:rFonts w:asciiTheme="minorHAnsi" w:eastAsiaTheme="minorEastAsia" w:hAnsi="Calibri" w:cstheme="minorBidi"/>
          <w:color w:val="000000" w:themeColor="text1"/>
          <w:kern w:val="24"/>
          <w:sz w:val="22"/>
          <w:szCs w:val="22"/>
        </w:rPr>
        <w:t xml:space="preserve"> (NDPs)</w:t>
      </w:r>
      <w:r w:rsidRPr="00960BF9">
        <w:rPr>
          <w:rFonts w:asciiTheme="minorHAnsi" w:eastAsiaTheme="minorEastAsia" w:hAnsi="Calibri" w:cstheme="minorBidi"/>
          <w:color w:val="000000" w:themeColor="text1"/>
          <w:kern w:val="24"/>
          <w:sz w:val="22"/>
          <w:szCs w:val="22"/>
        </w:rPr>
        <w:t xml:space="preserve">, their development priorities (sometimes aligned with the SDGs) and the </w:t>
      </w:r>
      <w:r w:rsidR="00B41055">
        <w:rPr>
          <w:rFonts w:asciiTheme="minorHAnsi" w:eastAsiaTheme="minorEastAsia" w:hAnsi="Calibri" w:cstheme="minorBidi"/>
          <w:color w:val="000000" w:themeColor="text1"/>
          <w:kern w:val="24"/>
          <w:sz w:val="22"/>
          <w:szCs w:val="22"/>
        </w:rPr>
        <w:t>IDB</w:t>
      </w:r>
      <w:r w:rsidRPr="00960BF9">
        <w:rPr>
          <w:rFonts w:asciiTheme="minorHAnsi" w:eastAsiaTheme="minorEastAsia" w:hAnsi="Calibri" w:cstheme="minorBidi"/>
          <w:color w:val="000000" w:themeColor="text1"/>
          <w:kern w:val="24"/>
          <w:sz w:val="22"/>
          <w:szCs w:val="22"/>
        </w:rPr>
        <w:t>'s strategies</w:t>
      </w:r>
      <w:r>
        <w:rPr>
          <w:rFonts w:asciiTheme="minorHAnsi" w:eastAsiaTheme="minorEastAsia" w:hAnsi="Calibri" w:cstheme="minorBidi"/>
          <w:color w:val="000000" w:themeColor="text1"/>
          <w:kern w:val="24"/>
          <w:sz w:val="22"/>
          <w:szCs w:val="22"/>
        </w:rPr>
        <w:t>,</w:t>
      </w:r>
      <w:r w:rsidRPr="00960BF9">
        <w:rPr>
          <w:rFonts w:asciiTheme="minorHAnsi" w:eastAsiaTheme="minorEastAsia" w:hAnsi="Calibri" w:cstheme="minorBidi"/>
          <w:color w:val="000000" w:themeColor="text1"/>
          <w:kern w:val="24"/>
          <w:sz w:val="22"/>
          <w:szCs w:val="22"/>
        </w:rPr>
        <w:t xml:space="preserve"> that have among their fundamental pillars the promotion of inclusion and diversity.</w:t>
      </w:r>
    </w:p>
    <w:p w14:paraId="2949A3E2" w14:textId="77777777" w:rsidR="00960BF9" w:rsidRDefault="00960BF9" w:rsidP="00085DB5">
      <w:pPr>
        <w:pStyle w:val="NormalWeb"/>
        <w:spacing w:before="0" w:beforeAutospacing="0" w:after="0" w:afterAutospacing="0"/>
        <w:rPr>
          <w:rFonts w:asciiTheme="minorHAnsi" w:eastAsiaTheme="minorEastAsia" w:hAnsi="Calibri" w:cstheme="minorBidi"/>
          <w:color w:val="000000" w:themeColor="text1"/>
          <w:kern w:val="24"/>
        </w:rPr>
      </w:pPr>
    </w:p>
    <w:p w14:paraId="598EA302" w14:textId="77777777" w:rsidR="00085DB5" w:rsidRPr="00B9039D" w:rsidRDefault="00085DB5" w:rsidP="00085DB5">
      <w:pPr>
        <w:pStyle w:val="NormalWeb"/>
        <w:spacing w:before="0" w:beforeAutospacing="0" w:after="0" w:afterAutospacing="0"/>
        <w:rPr>
          <w:rFonts w:asciiTheme="minorHAnsi" w:eastAsiaTheme="minorEastAsia" w:hAnsi="Calibri" w:cstheme="minorBidi"/>
          <w:color w:val="000000" w:themeColor="text1"/>
          <w:kern w:val="24"/>
        </w:rPr>
      </w:pPr>
    </w:p>
    <w:p w14:paraId="19498699" w14:textId="7BED1A26" w:rsidR="00085DB5" w:rsidRDefault="00085DB5" w:rsidP="00B9039D">
      <w:pPr>
        <w:pStyle w:val="Default"/>
        <w:jc w:val="both"/>
        <w:rPr>
          <w:rFonts w:asciiTheme="minorHAnsi" w:eastAsiaTheme="minorEastAsia" w:hAnsi="Calibri" w:cstheme="minorBidi"/>
          <w:color w:val="000000" w:themeColor="text1"/>
          <w:kern w:val="24"/>
        </w:rPr>
      </w:pPr>
      <w:r w:rsidRPr="00B9039D">
        <w:rPr>
          <w:rFonts w:asciiTheme="minorHAnsi" w:eastAsiaTheme="minorEastAsia" w:hAnsi="Calibri" w:cstheme="minorBidi"/>
          <w:color w:val="000000" w:themeColor="text1"/>
          <w:kern w:val="24"/>
        </w:rPr>
        <w:lastRenderedPageBreak/>
        <w:t xml:space="preserve">The IDB is committed to supporting its </w:t>
      </w:r>
      <w:r w:rsidR="00B404E8">
        <w:rPr>
          <w:rFonts w:asciiTheme="minorHAnsi" w:eastAsiaTheme="minorEastAsia" w:hAnsi="Calibri" w:cstheme="minorBidi"/>
          <w:color w:val="000000" w:themeColor="text1"/>
          <w:kern w:val="24"/>
        </w:rPr>
        <w:t>B</w:t>
      </w:r>
      <w:r w:rsidRPr="00B9039D">
        <w:rPr>
          <w:rFonts w:asciiTheme="minorHAnsi" w:eastAsiaTheme="minorEastAsia" w:hAnsi="Calibri" w:cstheme="minorBidi"/>
          <w:color w:val="000000" w:themeColor="text1"/>
          <w:kern w:val="24"/>
        </w:rPr>
        <w:t xml:space="preserve">orrowers in the development and execution of IDB-financed projects that are environmentally and socially sustainable, as well as to strengthening the capacity of borrowers' environmental and social frameworks to assess and manage risks and impacts of projects. To this end, the ESPF establishes specific Environmental and Social Performance Standards —designed to avoid, minimize, reduce, or mitigate adverse environmental and social risks and impacts of IDB-financed projects— that describe the requirements that the borrower must comply in the preparation and execution of projects financed by the IDB. The </w:t>
      </w:r>
      <w:r w:rsidR="00B404E8">
        <w:rPr>
          <w:rFonts w:asciiTheme="minorHAnsi" w:eastAsiaTheme="minorEastAsia" w:hAnsi="Calibri" w:cstheme="minorBidi"/>
          <w:color w:val="000000" w:themeColor="text1"/>
          <w:kern w:val="24"/>
        </w:rPr>
        <w:t xml:space="preserve">IDB </w:t>
      </w:r>
      <w:r w:rsidRPr="00B9039D">
        <w:rPr>
          <w:rFonts w:asciiTheme="minorHAnsi" w:eastAsiaTheme="minorEastAsia" w:hAnsi="Calibri" w:cstheme="minorBidi"/>
          <w:color w:val="000000" w:themeColor="text1"/>
          <w:kern w:val="24"/>
        </w:rPr>
        <w:t>provides assistance to borrowers to facilitate the application of the standards.</w:t>
      </w:r>
      <w:r w:rsidR="00F61AF4" w:rsidRPr="00B9039D">
        <w:rPr>
          <w:rFonts w:asciiTheme="minorHAnsi" w:eastAsiaTheme="minorEastAsia" w:hAnsi="Calibri" w:cstheme="minorBidi"/>
          <w:color w:val="000000" w:themeColor="text1"/>
          <w:kern w:val="24"/>
        </w:rPr>
        <w:t xml:space="preserve"> </w:t>
      </w:r>
      <w:r w:rsidR="00682362" w:rsidRPr="00B9039D">
        <w:rPr>
          <w:rFonts w:asciiTheme="minorHAnsi" w:eastAsiaTheme="minorEastAsia" w:hAnsi="Calibri" w:cstheme="minorBidi"/>
          <w:color w:val="000000" w:themeColor="text1"/>
          <w:kern w:val="24"/>
        </w:rPr>
        <w:t xml:space="preserve">IDB also </w:t>
      </w:r>
      <w:r w:rsidR="00F61AF4" w:rsidRPr="00B9039D">
        <w:rPr>
          <w:rFonts w:asciiTheme="minorHAnsi" w:eastAsiaTheme="minorEastAsia" w:hAnsi="Calibri" w:cstheme="minorBidi"/>
          <w:color w:val="000000" w:themeColor="text1"/>
          <w:kern w:val="24"/>
        </w:rPr>
        <w:t>leverage</w:t>
      </w:r>
      <w:r w:rsidR="00682362" w:rsidRPr="00B9039D">
        <w:rPr>
          <w:rFonts w:asciiTheme="minorHAnsi" w:eastAsiaTheme="minorEastAsia" w:hAnsi="Calibri" w:cstheme="minorBidi"/>
          <w:color w:val="000000" w:themeColor="text1"/>
          <w:kern w:val="24"/>
        </w:rPr>
        <w:t>s</w:t>
      </w:r>
      <w:r w:rsidR="00F61AF4" w:rsidRPr="00B9039D">
        <w:rPr>
          <w:rFonts w:asciiTheme="minorHAnsi" w:eastAsiaTheme="minorEastAsia" w:hAnsi="Calibri" w:cstheme="minorBidi"/>
          <w:color w:val="000000" w:themeColor="text1"/>
          <w:kern w:val="24"/>
        </w:rPr>
        <w:t xml:space="preserve"> investments in high quality projects that support a comprehensive migration and development agenda</w:t>
      </w:r>
      <w:r w:rsidR="00682362" w:rsidRPr="00B9039D">
        <w:rPr>
          <w:rFonts w:asciiTheme="minorHAnsi" w:eastAsiaTheme="minorEastAsia" w:hAnsi="Calibri" w:cstheme="minorBidi"/>
          <w:color w:val="000000" w:themeColor="text1"/>
          <w:kern w:val="24"/>
        </w:rPr>
        <w:t>.</w:t>
      </w:r>
    </w:p>
    <w:p w14:paraId="513D1646" w14:textId="2F8C502D" w:rsidR="00426AA2" w:rsidRPr="00585D54" w:rsidRDefault="00426AA2" w:rsidP="00764118">
      <w:pPr>
        <w:pStyle w:val="Default"/>
        <w:jc w:val="both"/>
        <w:rPr>
          <w:rFonts w:asciiTheme="minorHAnsi" w:hAnsiTheme="minorHAnsi" w:cstheme="minorHAnsi"/>
          <w:b/>
          <w:bCs/>
          <w:sz w:val="22"/>
          <w:szCs w:val="22"/>
        </w:rPr>
      </w:pPr>
    </w:p>
    <w:p w14:paraId="448E9291" w14:textId="1DE62523" w:rsidR="00426AA2" w:rsidRPr="00585D54" w:rsidRDefault="00426AA2" w:rsidP="00A704DD">
      <w:pPr>
        <w:pStyle w:val="Default"/>
        <w:jc w:val="both"/>
        <w:rPr>
          <w:rFonts w:asciiTheme="minorHAnsi" w:hAnsiTheme="minorHAnsi" w:cstheme="minorHAnsi"/>
          <w:b/>
          <w:bCs/>
          <w:sz w:val="22"/>
          <w:szCs w:val="22"/>
        </w:rPr>
      </w:pPr>
    </w:p>
    <w:p w14:paraId="2C999F0A" w14:textId="79B9D763" w:rsidR="00426AA2" w:rsidRPr="00FD70FE" w:rsidRDefault="00426AA2" w:rsidP="00585D54">
      <w:pPr>
        <w:pStyle w:val="Default"/>
        <w:numPr>
          <w:ilvl w:val="0"/>
          <w:numId w:val="10"/>
        </w:numPr>
        <w:jc w:val="both"/>
        <w:rPr>
          <w:rFonts w:asciiTheme="minorHAnsi" w:hAnsiTheme="minorHAnsi" w:cstheme="minorHAnsi"/>
          <w:b/>
          <w:bCs/>
          <w:sz w:val="22"/>
          <w:szCs w:val="22"/>
        </w:rPr>
      </w:pPr>
      <w:r w:rsidRPr="2BFDD211">
        <w:rPr>
          <w:rFonts w:asciiTheme="minorHAnsi" w:hAnsiTheme="minorHAnsi" w:cstheme="minorBidi"/>
          <w:b/>
          <w:bCs/>
          <w:sz w:val="22"/>
          <w:szCs w:val="22"/>
        </w:rPr>
        <w:t xml:space="preserve">Please provide examples of how financial assistance and funding by the IADB to States have either supported or hindered the realization of the right to development. </w:t>
      </w:r>
    </w:p>
    <w:p w14:paraId="6988F5F6" w14:textId="6E0F004E" w:rsidR="00FD70FE" w:rsidRDefault="00FD70FE" w:rsidP="00FD70FE">
      <w:pPr>
        <w:pStyle w:val="Default"/>
        <w:ind w:left="720"/>
        <w:jc w:val="both"/>
        <w:rPr>
          <w:rFonts w:asciiTheme="minorHAnsi" w:hAnsiTheme="minorHAnsi" w:cstheme="minorBidi"/>
          <w:b/>
          <w:bCs/>
          <w:sz w:val="22"/>
          <w:szCs w:val="22"/>
        </w:rPr>
      </w:pPr>
    </w:p>
    <w:p w14:paraId="500E469E" w14:textId="727AFFED" w:rsidR="00FD70FE" w:rsidRDefault="00FD70FE" w:rsidP="00B9039D">
      <w:pPr>
        <w:pStyle w:val="Default"/>
        <w:jc w:val="both"/>
        <w:rPr>
          <w:rFonts w:asciiTheme="minorHAnsi" w:hAnsiTheme="minorHAnsi" w:cstheme="minorHAnsi"/>
          <w:sz w:val="22"/>
          <w:szCs w:val="22"/>
        </w:rPr>
      </w:pPr>
      <w:r w:rsidRPr="00960BF9">
        <w:rPr>
          <w:rFonts w:asciiTheme="minorHAnsi" w:hAnsiTheme="minorHAnsi" w:cstheme="minorHAnsi"/>
          <w:sz w:val="22"/>
          <w:szCs w:val="22"/>
        </w:rPr>
        <w:t>The IDB prioritizes social inclusion and equality; productivity and innovation; and regional economic integration in its development work across Latin America and the Caribbean. In doing so, it addresses the cross-cutting issues of gender equality and diversity; climate change and environmental sustainability; and institutional capacity and the rule of law.</w:t>
      </w:r>
    </w:p>
    <w:p w14:paraId="73B9159D" w14:textId="413E8AF3" w:rsidR="00062584" w:rsidRDefault="00062584" w:rsidP="00FD70FE">
      <w:pPr>
        <w:pStyle w:val="Default"/>
        <w:ind w:left="720"/>
        <w:jc w:val="both"/>
        <w:rPr>
          <w:rFonts w:asciiTheme="minorHAnsi" w:hAnsiTheme="minorHAnsi" w:cstheme="minorHAnsi"/>
          <w:sz w:val="22"/>
          <w:szCs w:val="22"/>
        </w:rPr>
      </w:pPr>
    </w:p>
    <w:p w14:paraId="7A5AFA0E" w14:textId="7C2349F6" w:rsidR="00B64F4B" w:rsidRPr="00960BF9" w:rsidRDefault="00062584" w:rsidP="002F3F92">
      <w:pPr>
        <w:pStyle w:val="Default"/>
        <w:jc w:val="both"/>
        <w:rPr>
          <w:rFonts w:asciiTheme="minorHAnsi" w:hAnsiTheme="minorHAnsi" w:cstheme="minorBidi"/>
          <w:b/>
          <w:bCs/>
          <w:sz w:val="22"/>
          <w:szCs w:val="22"/>
        </w:rPr>
      </w:pPr>
      <w:r>
        <w:rPr>
          <w:rFonts w:asciiTheme="minorHAnsi" w:hAnsiTheme="minorHAnsi" w:cstheme="minorHAnsi"/>
          <w:sz w:val="22"/>
          <w:szCs w:val="22"/>
        </w:rPr>
        <w:t>In these areas, some of the IDB contributions in LAC, according to IDB’s Corporate Results Framework</w:t>
      </w:r>
      <w:r>
        <w:rPr>
          <w:rStyle w:val="FootnoteReference"/>
          <w:rFonts w:asciiTheme="minorHAnsi" w:hAnsiTheme="minorHAnsi" w:cstheme="minorHAnsi"/>
          <w:sz w:val="22"/>
          <w:szCs w:val="22"/>
        </w:rPr>
        <w:footnoteReference w:id="2"/>
      </w:r>
      <w:r>
        <w:rPr>
          <w:rFonts w:asciiTheme="minorHAnsi" w:hAnsiTheme="minorHAnsi" w:cstheme="minorHAnsi"/>
          <w:sz w:val="22"/>
          <w:szCs w:val="22"/>
        </w:rPr>
        <w:t xml:space="preserve"> are as follows: in support of social inclusion and equality, there have been </w:t>
      </w:r>
      <w:r w:rsidRPr="00062584">
        <w:rPr>
          <w:rFonts w:asciiTheme="minorHAnsi" w:hAnsiTheme="minorHAnsi" w:cstheme="minorHAnsi"/>
          <w:sz w:val="22"/>
          <w:szCs w:val="22"/>
        </w:rPr>
        <w:t>12,364,965</w:t>
      </w:r>
      <w:r>
        <w:rPr>
          <w:rFonts w:asciiTheme="minorHAnsi" w:hAnsiTheme="minorHAnsi" w:cstheme="minorHAnsi"/>
          <w:sz w:val="22"/>
          <w:szCs w:val="22"/>
        </w:rPr>
        <w:t xml:space="preserve"> b</w:t>
      </w:r>
      <w:r w:rsidRPr="00062584">
        <w:rPr>
          <w:rFonts w:asciiTheme="minorHAnsi" w:hAnsiTheme="minorHAnsi" w:cstheme="minorHAnsi"/>
          <w:sz w:val="22"/>
          <w:szCs w:val="22"/>
        </w:rPr>
        <w:t>eneficiaries of</w:t>
      </w:r>
      <w:r>
        <w:rPr>
          <w:rFonts w:asciiTheme="minorHAnsi" w:hAnsiTheme="minorHAnsi" w:cstheme="minorHAnsi"/>
          <w:sz w:val="22"/>
          <w:szCs w:val="22"/>
        </w:rPr>
        <w:t xml:space="preserve"> IDB</w:t>
      </w:r>
      <w:r w:rsidRPr="00062584">
        <w:rPr>
          <w:rFonts w:asciiTheme="minorHAnsi" w:hAnsiTheme="minorHAnsi" w:cstheme="minorHAnsi"/>
          <w:sz w:val="22"/>
          <w:szCs w:val="22"/>
        </w:rPr>
        <w:t xml:space="preserve"> targeted anti-poverty programs </w:t>
      </w:r>
      <w:r>
        <w:rPr>
          <w:rFonts w:asciiTheme="minorHAnsi" w:hAnsiTheme="minorHAnsi" w:cstheme="minorHAnsi"/>
          <w:sz w:val="22"/>
          <w:szCs w:val="22"/>
        </w:rPr>
        <w:t xml:space="preserve">and </w:t>
      </w:r>
      <w:r w:rsidRPr="00062584">
        <w:rPr>
          <w:rFonts w:asciiTheme="minorHAnsi" w:hAnsiTheme="minorHAnsi" w:cstheme="minorHAnsi"/>
          <w:sz w:val="22"/>
          <w:szCs w:val="22"/>
        </w:rPr>
        <w:t>4,349,555</w:t>
      </w:r>
      <w:r>
        <w:rPr>
          <w:rFonts w:asciiTheme="minorHAnsi" w:hAnsiTheme="minorHAnsi" w:cstheme="minorHAnsi"/>
          <w:sz w:val="22"/>
          <w:szCs w:val="22"/>
        </w:rPr>
        <w:t xml:space="preserve"> s</w:t>
      </w:r>
      <w:r w:rsidRPr="00062584">
        <w:rPr>
          <w:rFonts w:asciiTheme="minorHAnsi" w:hAnsiTheme="minorHAnsi" w:cstheme="minorHAnsi"/>
          <w:sz w:val="22"/>
          <w:szCs w:val="22"/>
        </w:rPr>
        <w:t>tudents benefited by education projects (#)</w:t>
      </w:r>
      <w:r>
        <w:rPr>
          <w:rFonts w:asciiTheme="minorHAnsi" w:hAnsiTheme="minorHAnsi" w:cstheme="minorHAnsi"/>
          <w:sz w:val="22"/>
          <w:szCs w:val="22"/>
        </w:rPr>
        <w:t xml:space="preserve">; in support of productivity and innovation, </w:t>
      </w:r>
      <w:r w:rsidRPr="00062584">
        <w:rPr>
          <w:rFonts w:asciiTheme="minorHAnsi" w:hAnsiTheme="minorHAnsi" w:cstheme="minorHAnsi"/>
          <w:sz w:val="22"/>
          <w:szCs w:val="22"/>
        </w:rPr>
        <w:t>2,017,907</w:t>
      </w:r>
      <w:r>
        <w:rPr>
          <w:rFonts w:asciiTheme="minorHAnsi" w:hAnsiTheme="minorHAnsi" w:cstheme="minorHAnsi"/>
          <w:sz w:val="22"/>
          <w:szCs w:val="22"/>
        </w:rPr>
        <w:t xml:space="preserve"> micro, small and medium enterprises have been financed; in support of economic integration, 4,457 km of roads have been built or upgraded; regarding gender equality and diversity, </w:t>
      </w:r>
      <w:r w:rsidRPr="00BE2E24">
        <w:rPr>
          <w:rFonts w:asciiTheme="minorHAnsi" w:hAnsiTheme="minorHAnsi" w:cstheme="minorHAnsi"/>
          <w:sz w:val="22"/>
          <w:szCs w:val="22"/>
        </w:rPr>
        <w:t>355,946 women have benefited from economic empowerment initiatives; regarding climate change and environmental sustainability, 22,602,919 hectares of habitats have been sustainably managed using ecosystem-based approaches; and</w:t>
      </w:r>
      <w:r w:rsidR="00BE2E24" w:rsidRPr="00BE2E24">
        <w:rPr>
          <w:rFonts w:asciiTheme="minorHAnsi" w:hAnsiTheme="minorHAnsi" w:cstheme="minorHAnsi"/>
          <w:sz w:val="22"/>
          <w:szCs w:val="22"/>
        </w:rPr>
        <w:t xml:space="preserve"> regarding institutional capacity and the rule of law,</w:t>
      </w:r>
      <w:r w:rsidRPr="00BE2E24">
        <w:rPr>
          <w:rFonts w:asciiTheme="minorHAnsi" w:hAnsiTheme="minorHAnsi" w:cstheme="minorHAnsi"/>
          <w:sz w:val="22"/>
          <w:szCs w:val="22"/>
        </w:rPr>
        <w:t xml:space="preserve"> 20,311public officials have been trained </w:t>
      </w:r>
      <w:r w:rsidR="00BE2E24" w:rsidRPr="00BE2E24">
        <w:rPr>
          <w:rFonts w:asciiTheme="minorHAnsi" w:hAnsiTheme="minorHAnsi" w:cstheme="minorHAnsi"/>
          <w:sz w:val="22"/>
          <w:szCs w:val="22"/>
        </w:rPr>
        <w:t>on citizen security and justice.</w:t>
      </w:r>
      <w:r w:rsidR="00BE2E24">
        <w:rPr>
          <w:rFonts w:ascii="gotham-extra-narrow-medium" w:hAnsi="gotham-extra-narrow-medium"/>
          <w:color w:val="666666"/>
          <w:spacing w:val="8"/>
          <w:sz w:val="21"/>
          <w:szCs w:val="21"/>
        </w:rPr>
        <w:t xml:space="preserve"> </w:t>
      </w:r>
    </w:p>
    <w:p w14:paraId="65533928" w14:textId="77777777" w:rsidR="00B9039D" w:rsidRDefault="00B9039D" w:rsidP="0087091D">
      <w:pPr>
        <w:spacing w:after="0" w:line="240" w:lineRule="auto"/>
        <w:jc w:val="both"/>
        <w:rPr>
          <w:rFonts w:cstheme="minorHAnsi"/>
        </w:rPr>
      </w:pPr>
    </w:p>
    <w:p w14:paraId="4C28FDB1" w14:textId="74A5493B" w:rsidR="000D713D" w:rsidRDefault="00F14470" w:rsidP="0087091D">
      <w:pPr>
        <w:spacing w:after="0" w:line="240" w:lineRule="auto"/>
        <w:jc w:val="both"/>
      </w:pPr>
      <w:r w:rsidRPr="00960BF9">
        <w:rPr>
          <w:rFonts w:cstheme="minorHAnsi"/>
        </w:rPr>
        <w:t xml:space="preserve">IDB’s projects are </w:t>
      </w:r>
      <w:r w:rsidR="004A029F" w:rsidRPr="00960BF9">
        <w:rPr>
          <w:rFonts w:cstheme="minorHAnsi"/>
        </w:rPr>
        <w:t>aimed towards improving the lives of the most vulnerable p</w:t>
      </w:r>
      <w:r w:rsidR="00CC3912" w:rsidRPr="00960BF9">
        <w:rPr>
          <w:rFonts w:cstheme="minorHAnsi"/>
        </w:rPr>
        <w:t xml:space="preserve">opulations in Latin America by focusing </w:t>
      </w:r>
      <w:r w:rsidR="00A272E5" w:rsidRPr="00960BF9">
        <w:rPr>
          <w:rFonts w:cstheme="minorHAnsi"/>
        </w:rPr>
        <w:t>on</w:t>
      </w:r>
      <w:r w:rsidR="00CC3912" w:rsidRPr="00960BF9">
        <w:rPr>
          <w:rFonts w:cstheme="minorHAnsi"/>
        </w:rPr>
        <w:t xml:space="preserve"> the needs of the population</w:t>
      </w:r>
      <w:r w:rsidR="002D4BE4" w:rsidRPr="00960BF9">
        <w:rPr>
          <w:rFonts w:cstheme="minorHAnsi"/>
        </w:rPr>
        <w:t xml:space="preserve">, as well as focusing on the most vulnerable sectors such as </w:t>
      </w:r>
      <w:r w:rsidR="00124C4F" w:rsidRPr="00960BF9">
        <w:rPr>
          <w:rFonts w:cstheme="minorHAnsi"/>
        </w:rPr>
        <w:t>water and sani</w:t>
      </w:r>
      <w:r w:rsidR="00FD70FE" w:rsidRPr="00960BF9">
        <w:rPr>
          <w:rFonts w:cstheme="minorHAnsi"/>
        </w:rPr>
        <w:t>tation.</w:t>
      </w:r>
      <w:r w:rsidR="002F3F92" w:rsidRPr="00960BF9">
        <w:rPr>
          <w:rFonts w:cstheme="minorHAnsi"/>
        </w:rPr>
        <w:t xml:space="preserve">  </w:t>
      </w:r>
      <w:r w:rsidR="004128AA" w:rsidRPr="00960BF9">
        <w:rPr>
          <w:rFonts w:cstheme="minorHAnsi"/>
        </w:rPr>
        <w:t>Through projects across L</w:t>
      </w:r>
      <w:r w:rsidR="00B404E8">
        <w:rPr>
          <w:rFonts w:cstheme="minorHAnsi"/>
        </w:rPr>
        <w:t xml:space="preserve">AC </w:t>
      </w:r>
      <w:r w:rsidR="004128AA" w:rsidRPr="00960BF9">
        <w:rPr>
          <w:rFonts w:cstheme="minorHAnsi"/>
        </w:rPr>
        <w:t>focused on waste management, it has</w:t>
      </w:r>
      <w:r w:rsidR="00615582" w:rsidRPr="00960BF9">
        <w:rPr>
          <w:rFonts w:cstheme="minorHAnsi"/>
        </w:rPr>
        <w:t xml:space="preserve"> not only transform</w:t>
      </w:r>
      <w:r w:rsidR="00C36F44" w:rsidRPr="00960BF9">
        <w:rPr>
          <w:rFonts w:cstheme="minorHAnsi"/>
        </w:rPr>
        <w:t>ed</w:t>
      </w:r>
      <w:r w:rsidR="00615582" w:rsidRPr="00960BF9">
        <w:rPr>
          <w:rFonts w:cstheme="minorHAnsi"/>
        </w:rPr>
        <w:t xml:space="preserve"> waste dumps in </w:t>
      </w:r>
      <w:r w:rsidR="00CC746F" w:rsidRPr="00960BF9">
        <w:rPr>
          <w:rFonts w:cstheme="minorHAnsi"/>
        </w:rPr>
        <w:t>sanitary landfills</w:t>
      </w:r>
      <w:r w:rsidR="007708B5" w:rsidRPr="00960BF9">
        <w:rPr>
          <w:rFonts w:cstheme="minorHAnsi"/>
        </w:rPr>
        <w:t xml:space="preserve"> (Brazil, Colombia, Dominican Republic)</w:t>
      </w:r>
      <w:r w:rsidR="00CC746F" w:rsidRPr="00960BF9">
        <w:rPr>
          <w:rFonts w:cstheme="minorHAnsi"/>
        </w:rPr>
        <w:t xml:space="preserve">, </w:t>
      </w:r>
      <w:r w:rsidR="00C36F44" w:rsidRPr="00960BF9">
        <w:rPr>
          <w:rFonts w:cstheme="minorHAnsi"/>
        </w:rPr>
        <w:t>and</w:t>
      </w:r>
      <w:r w:rsidR="00A30850" w:rsidRPr="00960BF9">
        <w:rPr>
          <w:rFonts w:cstheme="minorHAnsi"/>
        </w:rPr>
        <w:t xml:space="preserve"> greatly</w:t>
      </w:r>
      <w:r w:rsidR="00C36F44" w:rsidRPr="00960BF9">
        <w:rPr>
          <w:rFonts w:cstheme="minorHAnsi"/>
        </w:rPr>
        <w:t xml:space="preserve"> improved the workers’ labor conditions</w:t>
      </w:r>
      <w:r w:rsidR="007708B5" w:rsidRPr="00960BF9">
        <w:rPr>
          <w:rFonts w:cstheme="minorHAnsi"/>
        </w:rPr>
        <w:t xml:space="preserve">, but also </w:t>
      </w:r>
      <w:r w:rsidR="00CC746F" w:rsidRPr="00960BF9">
        <w:rPr>
          <w:rFonts w:cstheme="minorHAnsi"/>
        </w:rPr>
        <w:t xml:space="preserve">addressed and prevented </w:t>
      </w:r>
      <w:r w:rsidR="00531B8D" w:rsidRPr="00960BF9">
        <w:rPr>
          <w:rFonts w:cstheme="minorHAnsi"/>
        </w:rPr>
        <w:t>child labor</w:t>
      </w:r>
      <w:r w:rsidR="007708B5" w:rsidRPr="00960BF9">
        <w:rPr>
          <w:rFonts w:cstheme="minorHAnsi"/>
        </w:rPr>
        <w:t xml:space="preserve"> and sexual and gender-based violence</w:t>
      </w:r>
    </w:p>
    <w:sectPr w:rsidR="000D713D" w:rsidSect="00932091">
      <w:pgSz w:w="11906" w:h="17338"/>
      <w:pgMar w:top="1175" w:right="1114" w:bottom="1440" w:left="147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34C5" w14:textId="77777777" w:rsidR="004B074C" w:rsidRDefault="004B074C" w:rsidP="008156D9">
      <w:pPr>
        <w:spacing w:after="0" w:line="240" w:lineRule="auto"/>
      </w:pPr>
      <w:r>
        <w:separator/>
      </w:r>
    </w:p>
  </w:endnote>
  <w:endnote w:type="continuationSeparator" w:id="0">
    <w:p w14:paraId="73DD70CC" w14:textId="77777777" w:rsidR="004B074C" w:rsidRDefault="004B074C" w:rsidP="0081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extra-narrow-medium">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37C3" w14:textId="77777777" w:rsidR="004B074C" w:rsidRDefault="004B074C" w:rsidP="008156D9">
      <w:pPr>
        <w:spacing w:after="0" w:line="240" w:lineRule="auto"/>
      </w:pPr>
      <w:r>
        <w:separator/>
      </w:r>
    </w:p>
  </w:footnote>
  <w:footnote w:type="continuationSeparator" w:id="0">
    <w:p w14:paraId="1FC72DDD" w14:textId="77777777" w:rsidR="004B074C" w:rsidRDefault="004B074C" w:rsidP="008156D9">
      <w:pPr>
        <w:spacing w:after="0" w:line="240" w:lineRule="auto"/>
      </w:pPr>
      <w:r>
        <w:continuationSeparator/>
      </w:r>
    </w:p>
  </w:footnote>
  <w:footnote w:id="1">
    <w:p w14:paraId="42A58924" w14:textId="03F75F90" w:rsidR="00831815" w:rsidRDefault="008E7268" w:rsidP="00E7763A">
      <w:pPr>
        <w:pStyle w:val="FootnoteText"/>
        <w:jc w:val="both"/>
      </w:pPr>
      <w:r>
        <w:rPr>
          <w:rStyle w:val="FootnoteReference"/>
        </w:rPr>
        <w:footnoteRef/>
      </w:r>
      <w:r>
        <w:t xml:space="preserve"> </w:t>
      </w:r>
      <w:r w:rsidR="0020534B">
        <w:t>The IDB is currently u</w:t>
      </w:r>
      <w:r w:rsidR="00C64883">
        <w:t xml:space="preserve">pdating its Access to Information Policy to </w:t>
      </w:r>
      <w:r w:rsidR="0049422C">
        <w:t xml:space="preserve">maximize access to information, thus </w:t>
      </w:r>
      <w:r w:rsidR="00C64883">
        <w:t>enhanc</w:t>
      </w:r>
      <w:r w:rsidR="0049422C">
        <w:t xml:space="preserve">ing </w:t>
      </w:r>
      <w:r w:rsidR="00C64883">
        <w:t xml:space="preserve">transparency and accountability. </w:t>
      </w:r>
      <w:r w:rsidR="00927890">
        <w:t>Interested parties are invited to participate in a consultation process</w:t>
      </w:r>
      <w:r w:rsidR="00831815">
        <w:t xml:space="preserve">, where they can provide their </w:t>
      </w:r>
      <w:r w:rsidR="00831815" w:rsidRPr="00831815">
        <w:t xml:space="preserve">feedback </w:t>
      </w:r>
      <w:r w:rsidR="00831815">
        <w:t>to this Policy</w:t>
      </w:r>
      <w:r w:rsidR="00831815" w:rsidRPr="00831815">
        <w:t>.</w:t>
      </w:r>
      <w:r w:rsidR="00831815">
        <w:t xml:space="preserve"> </w:t>
      </w:r>
      <w:r w:rsidR="00E7763A">
        <w:t xml:space="preserve">More information available at: </w:t>
      </w:r>
      <w:hyperlink r:id="rId1" w:history="1">
        <w:r w:rsidR="00E7763A" w:rsidRPr="00E71D02">
          <w:rPr>
            <w:rStyle w:val="Hyperlink"/>
          </w:rPr>
          <w:t>https://www.iadb.org/en/access-information/access-information-policy-update</w:t>
        </w:r>
      </w:hyperlink>
    </w:p>
    <w:p w14:paraId="65DC6A58" w14:textId="77777777" w:rsidR="00E7763A" w:rsidRDefault="00E7763A">
      <w:pPr>
        <w:pStyle w:val="FootnoteText"/>
      </w:pPr>
    </w:p>
    <w:p w14:paraId="1733EB73" w14:textId="377EA7E2" w:rsidR="008E7268" w:rsidRDefault="00927890">
      <w:pPr>
        <w:pStyle w:val="FootnoteText"/>
      </w:pPr>
      <w:r>
        <w:t xml:space="preserve"> </w:t>
      </w:r>
    </w:p>
  </w:footnote>
  <w:footnote w:id="2">
    <w:p w14:paraId="54E60C07" w14:textId="1C427D34" w:rsidR="00062584" w:rsidRDefault="00062584">
      <w:pPr>
        <w:pStyle w:val="FootnoteText"/>
      </w:pPr>
      <w:r>
        <w:rPr>
          <w:rStyle w:val="FootnoteReference"/>
        </w:rPr>
        <w:footnoteRef/>
      </w:r>
      <w:r>
        <w:t xml:space="preserve"> IDB Corporate Results Framework, available at: </w:t>
      </w:r>
      <w:r w:rsidRPr="00062584">
        <w:t>https://crf.iadb.org/en/2020-2023/level-2?country=all&amp;institution=all&amp;year=progress-to-date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56B"/>
    <w:multiLevelType w:val="hybridMultilevel"/>
    <w:tmpl w:val="72664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2061"/>
    <w:multiLevelType w:val="hybridMultilevel"/>
    <w:tmpl w:val="9ED2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3DC9"/>
    <w:multiLevelType w:val="multilevel"/>
    <w:tmpl w:val="F6A4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20A49"/>
    <w:multiLevelType w:val="hybridMultilevel"/>
    <w:tmpl w:val="8E2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1464"/>
    <w:multiLevelType w:val="hybridMultilevel"/>
    <w:tmpl w:val="E686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31360"/>
    <w:multiLevelType w:val="multilevel"/>
    <w:tmpl w:val="15AC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14958"/>
    <w:multiLevelType w:val="multilevel"/>
    <w:tmpl w:val="F758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9A573D"/>
    <w:multiLevelType w:val="multilevel"/>
    <w:tmpl w:val="FDA0A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706304"/>
    <w:multiLevelType w:val="multilevel"/>
    <w:tmpl w:val="945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E07DA2"/>
    <w:multiLevelType w:val="hybridMultilevel"/>
    <w:tmpl w:val="0A02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857FF"/>
    <w:multiLevelType w:val="hybridMultilevel"/>
    <w:tmpl w:val="7D0CCDA6"/>
    <w:lvl w:ilvl="0" w:tplc="021E8F0E">
      <w:start w:val="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F604D"/>
    <w:multiLevelType w:val="hybridMultilevel"/>
    <w:tmpl w:val="750AA5A0"/>
    <w:lvl w:ilvl="0" w:tplc="1F90597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2460B5"/>
    <w:multiLevelType w:val="hybridMultilevel"/>
    <w:tmpl w:val="39DC0B9A"/>
    <w:lvl w:ilvl="0" w:tplc="59B860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3075E"/>
    <w:multiLevelType w:val="multilevel"/>
    <w:tmpl w:val="8E1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154068">
    <w:abstractNumId w:val="10"/>
  </w:num>
  <w:num w:numId="2" w16cid:durableId="1235505260">
    <w:abstractNumId w:val="4"/>
  </w:num>
  <w:num w:numId="3" w16cid:durableId="551581526">
    <w:abstractNumId w:val="1"/>
  </w:num>
  <w:num w:numId="4" w16cid:durableId="2114203138">
    <w:abstractNumId w:val="11"/>
  </w:num>
  <w:num w:numId="5" w16cid:durableId="971909974">
    <w:abstractNumId w:val="5"/>
    <w:lvlOverride w:ilvl="0">
      <w:startOverride w:val="1"/>
    </w:lvlOverride>
  </w:num>
  <w:num w:numId="6" w16cid:durableId="1517041149">
    <w:abstractNumId w:val="7"/>
    <w:lvlOverride w:ilvl="0">
      <w:startOverride w:val="1"/>
    </w:lvlOverride>
  </w:num>
  <w:num w:numId="7" w16cid:durableId="1472794415">
    <w:abstractNumId w:val="8"/>
  </w:num>
  <w:num w:numId="8" w16cid:durableId="172915446">
    <w:abstractNumId w:val="13"/>
  </w:num>
  <w:num w:numId="9" w16cid:durableId="861477467">
    <w:abstractNumId w:val="2"/>
  </w:num>
  <w:num w:numId="10" w16cid:durableId="854081083">
    <w:abstractNumId w:val="0"/>
  </w:num>
  <w:num w:numId="11" w16cid:durableId="1769688963">
    <w:abstractNumId w:val="6"/>
  </w:num>
  <w:num w:numId="12" w16cid:durableId="1105610880">
    <w:abstractNumId w:val="3"/>
  </w:num>
  <w:num w:numId="13" w16cid:durableId="1833908694">
    <w:abstractNumId w:val="9"/>
  </w:num>
  <w:num w:numId="14" w16cid:durableId="2071998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73"/>
    <w:rsid w:val="00010043"/>
    <w:rsid w:val="00013221"/>
    <w:rsid w:val="00037572"/>
    <w:rsid w:val="00060E84"/>
    <w:rsid w:val="00062584"/>
    <w:rsid w:val="000746CA"/>
    <w:rsid w:val="00080E70"/>
    <w:rsid w:val="00085DB5"/>
    <w:rsid w:val="00090293"/>
    <w:rsid w:val="000A2F7A"/>
    <w:rsid w:val="000B1A6C"/>
    <w:rsid w:val="000B2B7F"/>
    <w:rsid w:val="000B74E8"/>
    <w:rsid w:val="000D29B2"/>
    <w:rsid w:val="000D713D"/>
    <w:rsid w:val="0010385F"/>
    <w:rsid w:val="00116838"/>
    <w:rsid w:val="00124C4F"/>
    <w:rsid w:val="00134401"/>
    <w:rsid w:val="001419CB"/>
    <w:rsid w:val="00153250"/>
    <w:rsid w:val="00165E99"/>
    <w:rsid w:val="00176948"/>
    <w:rsid w:val="00180CEF"/>
    <w:rsid w:val="00181B09"/>
    <w:rsid w:val="00184CEB"/>
    <w:rsid w:val="001B30E6"/>
    <w:rsid w:val="001E058B"/>
    <w:rsid w:val="0020534B"/>
    <w:rsid w:val="00235EAA"/>
    <w:rsid w:val="00285E88"/>
    <w:rsid w:val="002954EF"/>
    <w:rsid w:val="0029664B"/>
    <w:rsid w:val="002A1CF6"/>
    <w:rsid w:val="002B6E28"/>
    <w:rsid w:val="002C411C"/>
    <w:rsid w:val="002D4BE4"/>
    <w:rsid w:val="002D7E85"/>
    <w:rsid w:val="002E1863"/>
    <w:rsid w:val="002E36BC"/>
    <w:rsid w:val="002F1A75"/>
    <w:rsid w:val="002F3F92"/>
    <w:rsid w:val="00303A40"/>
    <w:rsid w:val="00341275"/>
    <w:rsid w:val="0034591D"/>
    <w:rsid w:val="0035348C"/>
    <w:rsid w:val="00370779"/>
    <w:rsid w:val="00381352"/>
    <w:rsid w:val="00393E4F"/>
    <w:rsid w:val="00394698"/>
    <w:rsid w:val="00396F48"/>
    <w:rsid w:val="003A7130"/>
    <w:rsid w:val="003B63B6"/>
    <w:rsid w:val="003F4902"/>
    <w:rsid w:val="00405C78"/>
    <w:rsid w:val="004128AA"/>
    <w:rsid w:val="004244CF"/>
    <w:rsid w:val="00425627"/>
    <w:rsid w:val="00426AA2"/>
    <w:rsid w:val="004478D5"/>
    <w:rsid w:val="004533FE"/>
    <w:rsid w:val="00462E45"/>
    <w:rsid w:val="0049422C"/>
    <w:rsid w:val="00494CBE"/>
    <w:rsid w:val="00496B41"/>
    <w:rsid w:val="004A029F"/>
    <w:rsid w:val="004B074C"/>
    <w:rsid w:val="004C2798"/>
    <w:rsid w:val="004D09E3"/>
    <w:rsid w:val="004D0C0E"/>
    <w:rsid w:val="004E067C"/>
    <w:rsid w:val="004E5F81"/>
    <w:rsid w:val="005060E8"/>
    <w:rsid w:val="0052287B"/>
    <w:rsid w:val="005274FD"/>
    <w:rsid w:val="005278B0"/>
    <w:rsid w:val="00531B8D"/>
    <w:rsid w:val="00532AD2"/>
    <w:rsid w:val="00553491"/>
    <w:rsid w:val="005653C5"/>
    <w:rsid w:val="00581569"/>
    <w:rsid w:val="00584FAC"/>
    <w:rsid w:val="00585D54"/>
    <w:rsid w:val="00587D19"/>
    <w:rsid w:val="005D5A06"/>
    <w:rsid w:val="005E3578"/>
    <w:rsid w:val="005F7AE0"/>
    <w:rsid w:val="0060069A"/>
    <w:rsid w:val="00615582"/>
    <w:rsid w:val="00623FFC"/>
    <w:rsid w:val="006311A8"/>
    <w:rsid w:val="00633505"/>
    <w:rsid w:val="00661EE5"/>
    <w:rsid w:val="006734E4"/>
    <w:rsid w:val="00675283"/>
    <w:rsid w:val="00682362"/>
    <w:rsid w:val="00695BAE"/>
    <w:rsid w:val="006A1C62"/>
    <w:rsid w:val="006B2607"/>
    <w:rsid w:val="006B7AD2"/>
    <w:rsid w:val="006E6771"/>
    <w:rsid w:val="006F33D7"/>
    <w:rsid w:val="0070334D"/>
    <w:rsid w:val="0071115E"/>
    <w:rsid w:val="00716BD2"/>
    <w:rsid w:val="00721015"/>
    <w:rsid w:val="00736D7F"/>
    <w:rsid w:val="00736FCB"/>
    <w:rsid w:val="0074057A"/>
    <w:rsid w:val="00746BC0"/>
    <w:rsid w:val="0074775E"/>
    <w:rsid w:val="0075603A"/>
    <w:rsid w:val="007563C5"/>
    <w:rsid w:val="00764118"/>
    <w:rsid w:val="007708B5"/>
    <w:rsid w:val="00776291"/>
    <w:rsid w:val="00783153"/>
    <w:rsid w:val="007B25A5"/>
    <w:rsid w:val="007B657D"/>
    <w:rsid w:val="007B6FA8"/>
    <w:rsid w:val="007E2E3B"/>
    <w:rsid w:val="007F1380"/>
    <w:rsid w:val="007F2240"/>
    <w:rsid w:val="008156D9"/>
    <w:rsid w:val="0081786A"/>
    <w:rsid w:val="00822D5A"/>
    <w:rsid w:val="00831815"/>
    <w:rsid w:val="00835E31"/>
    <w:rsid w:val="00843246"/>
    <w:rsid w:val="008448B9"/>
    <w:rsid w:val="0087091D"/>
    <w:rsid w:val="008778B4"/>
    <w:rsid w:val="008919F0"/>
    <w:rsid w:val="00892A8A"/>
    <w:rsid w:val="00894136"/>
    <w:rsid w:val="008948D4"/>
    <w:rsid w:val="00896C69"/>
    <w:rsid w:val="008A09C9"/>
    <w:rsid w:val="008A7B42"/>
    <w:rsid w:val="008B07A8"/>
    <w:rsid w:val="008E1FDF"/>
    <w:rsid w:val="008E332C"/>
    <w:rsid w:val="008E7268"/>
    <w:rsid w:val="008F1829"/>
    <w:rsid w:val="008F7C10"/>
    <w:rsid w:val="00924E4B"/>
    <w:rsid w:val="00927890"/>
    <w:rsid w:val="00932F8A"/>
    <w:rsid w:val="009445C9"/>
    <w:rsid w:val="00954D60"/>
    <w:rsid w:val="00960916"/>
    <w:rsid w:val="00960BF9"/>
    <w:rsid w:val="00961979"/>
    <w:rsid w:val="00973C80"/>
    <w:rsid w:val="009909BB"/>
    <w:rsid w:val="0099617A"/>
    <w:rsid w:val="009D76D2"/>
    <w:rsid w:val="009F7B54"/>
    <w:rsid w:val="00A0369D"/>
    <w:rsid w:val="00A03946"/>
    <w:rsid w:val="00A04B15"/>
    <w:rsid w:val="00A13338"/>
    <w:rsid w:val="00A162DA"/>
    <w:rsid w:val="00A172CA"/>
    <w:rsid w:val="00A272E5"/>
    <w:rsid w:val="00A27F79"/>
    <w:rsid w:val="00A30850"/>
    <w:rsid w:val="00A4517C"/>
    <w:rsid w:val="00A704DD"/>
    <w:rsid w:val="00A7226D"/>
    <w:rsid w:val="00AA0276"/>
    <w:rsid w:val="00AB7BE2"/>
    <w:rsid w:val="00AD57D3"/>
    <w:rsid w:val="00AE25B0"/>
    <w:rsid w:val="00B05A15"/>
    <w:rsid w:val="00B32406"/>
    <w:rsid w:val="00B37B2F"/>
    <w:rsid w:val="00B404E8"/>
    <w:rsid w:val="00B406C6"/>
    <w:rsid w:val="00B41055"/>
    <w:rsid w:val="00B4246F"/>
    <w:rsid w:val="00B612A4"/>
    <w:rsid w:val="00B63736"/>
    <w:rsid w:val="00B64F4B"/>
    <w:rsid w:val="00B7298F"/>
    <w:rsid w:val="00B87F1E"/>
    <w:rsid w:val="00B9039D"/>
    <w:rsid w:val="00B927F2"/>
    <w:rsid w:val="00B92E9A"/>
    <w:rsid w:val="00B931A5"/>
    <w:rsid w:val="00B97841"/>
    <w:rsid w:val="00BA0A0C"/>
    <w:rsid w:val="00BA697D"/>
    <w:rsid w:val="00BB0946"/>
    <w:rsid w:val="00BE2E24"/>
    <w:rsid w:val="00BE34E4"/>
    <w:rsid w:val="00BE6FA3"/>
    <w:rsid w:val="00BF74B2"/>
    <w:rsid w:val="00C139E9"/>
    <w:rsid w:val="00C170B5"/>
    <w:rsid w:val="00C3328A"/>
    <w:rsid w:val="00C36F44"/>
    <w:rsid w:val="00C64883"/>
    <w:rsid w:val="00C64B09"/>
    <w:rsid w:val="00C650A4"/>
    <w:rsid w:val="00C846F2"/>
    <w:rsid w:val="00CA149A"/>
    <w:rsid w:val="00CB4A1C"/>
    <w:rsid w:val="00CC3912"/>
    <w:rsid w:val="00CC746F"/>
    <w:rsid w:val="00CD38CD"/>
    <w:rsid w:val="00CD3B4E"/>
    <w:rsid w:val="00CE1767"/>
    <w:rsid w:val="00D218F7"/>
    <w:rsid w:val="00D31C13"/>
    <w:rsid w:val="00D31E31"/>
    <w:rsid w:val="00D32CB5"/>
    <w:rsid w:val="00D42D81"/>
    <w:rsid w:val="00D55680"/>
    <w:rsid w:val="00D73090"/>
    <w:rsid w:val="00D81F6A"/>
    <w:rsid w:val="00D82D7B"/>
    <w:rsid w:val="00D86D3D"/>
    <w:rsid w:val="00DC7A79"/>
    <w:rsid w:val="00DC7CC8"/>
    <w:rsid w:val="00DD1591"/>
    <w:rsid w:val="00DD2EA5"/>
    <w:rsid w:val="00DE450F"/>
    <w:rsid w:val="00E01107"/>
    <w:rsid w:val="00E111CC"/>
    <w:rsid w:val="00E25194"/>
    <w:rsid w:val="00E26073"/>
    <w:rsid w:val="00E307BB"/>
    <w:rsid w:val="00E31B9D"/>
    <w:rsid w:val="00E34AE4"/>
    <w:rsid w:val="00E36E7D"/>
    <w:rsid w:val="00E47C9A"/>
    <w:rsid w:val="00E62764"/>
    <w:rsid w:val="00E667B6"/>
    <w:rsid w:val="00E75F71"/>
    <w:rsid w:val="00E7763A"/>
    <w:rsid w:val="00E81F77"/>
    <w:rsid w:val="00E8513C"/>
    <w:rsid w:val="00E92D82"/>
    <w:rsid w:val="00E96977"/>
    <w:rsid w:val="00EA0CAE"/>
    <w:rsid w:val="00EB16E9"/>
    <w:rsid w:val="00ED6D1A"/>
    <w:rsid w:val="00EE2840"/>
    <w:rsid w:val="00EF5F6A"/>
    <w:rsid w:val="00F14470"/>
    <w:rsid w:val="00F14692"/>
    <w:rsid w:val="00F24D45"/>
    <w:rsid w:val="00F45BCD"/>
    <w:rsid w:val="00F61AF4"/>
    <w:rsid w:val="00F71CA7"/>
    <w:rsid w:val="00F83660"/>
    <w:rsid w:val="00FA1619"/>
    <w:rsid w:val="00FA23EB"/>
    <w:rsid w:val="00FB0EB4"/>
    <w:rsid w:val="00FB2F79"/>
    <w:rsid w:val="00FD206B"/>
    <w:rsid w:val="00FD70FE"/>
    <w:rsid w:val="00FF07AF"/>
    <w:rsid w:val="00FF3F12"/>
    <w:rsid w:val="0F2AD013"/>
    <w:rsid w:val="10D38CB9"/>
    <w:rsid w:val="1166316B"/>
    <w:rsid w:val="1656F8D0"/>
    <w:rsid w:val="2BFDD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0D09"/>
  <w15:chartTrackingRefBased/>
  <w15:docId w15:val="{F668D236-F0AF-47E8-BE76-701B446F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607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60E84"/>
    <w:pPr>
      <w:ind w:left="720"/>
      <w:contextualSpacing/>
    </w:pPr>
  </w:style>
  <w:style w:type="paragraph" w:styleId="FootnoteText">
    <w:name w:val="footnote text"/>
    <w:basedOn w:val="Normal"/>
    <w:link w:val="FootnoteTextChar"/>
    <w:uiPriority w:val="99"/>
    <w:semiHidden/>
    <w:unhideWhenUsed/>
    <w:rsid w:val="008156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6D9"/>
    <w:rPr>
      <w:sz w:val="20"/>
      <w:szCs w:val="20"/>
    </w:rPr>
  </w:style>
  <w:style w:type="character" w:styleId="FootnoteReference">
    <w:name w:val="footnote reference"/>
    <w:basedOn w:val="DefaultParagraphFont"/>
    <w:uiPriority w:val="99"/>
    <w:semiHidden/>
    <w:unhideWhenUsed/>
    <w:rsid w:val="008156D9"/>
    <w:rPr>
      <w:vertAlign w:val="superscript"/>
    </w:rPr>
  </w:style>
  <w:style w:type="paragraph" w:styleId="NormalWeb">
    <w:name w:val="Normal (Web)"/>
    <w:basedOn w:val="Normal"/>
    <w:uiPriority w:val="99"/>
    <w:semiHidden/>
    <w:unhideWhenUsed/>
    <w:rsid w:val="00FA16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3338"/>
    <w:rPr>
      <w:b/>
      <w:bCs/>
    </w:rPr>
  </w:style>
  <w:style w:type="character" w:styleId="Hyperlink">
    <w:name w:val="Hyperlink"/>
    <w:basedOn w:val="DefaultParagraphFont"/>
    <w:uiPriority w:val="99"/>
    <w:unhideWhenUsed/>
    <w:rsid w:val="0075603A"/>
    <w:rPr>
      <w:color w:val="0563C1" w:themeColor="hyperlink"/>
      <w:u w:val="single"/>
    </w:rPr>
  </w:style>
  <w:style w:type="character" w:customStyle="1" w:styleId="UnresolvedMention1">
    <w:name w:val="Unresolved Mention1"/>
    <w:basedOn w:val="DefaultParagraphFont"/>
    <w:uiPriority w:val="99"/>
    <w:semiHidden/>
    <w:unhideWhenUsed/>
    <w:rsid w:val="0075603A"/>
    <w:rPr>
      <w:color w:val="605E5C"/>
      <w:shd w:val="clear" w:color="auto" w:fill="E1DFDD"/>
    </w:rPr>
  </w:style>
  <w:style w:type="character" w:styleId="CommentReference">
    <w:name w:val="annotation reference"/>
    <w:basedOn w:val="DefaultParagraphFont"/>
    <w:uiPriority w:val="99"/>
    <w:semiHidden/>
    <w:unhideWhenUsed/>
    <w:rsid w:val="00396F48"/>
    <w:rPr>
      <w:sz w:val="16"/>
      <w:szCs w:val="16"/>
    </w:rPr>
  </w:style>
  <w:style w:type="paragraph" w:styleId="CommentText">
    <w:name w:val="annotation text"/>
    <w:basedOn w:val="Normal"/>
    <w:link w:val="CommentTextChar"/>
    <w:uiPriority w:val="99"/>
    <w:unhideWhenUsed/>
    <w:rsid w:val="00396F48"/>
    <w:pPr>
      <w:spacing w:line="240" w:lineRule="auto"/>
    </w:pPr>
    <w:rPr>
      <w:sz w:val="20"/>
      <w:szCs w:val="20"/>
    </w:rPr>
  </w:style>
  <w:style w:type="character" w:customStyle="1" w:styleId="CommentTextChar">
    <w:name w:val="Comment Text Char"/>
    <w:basedOn w:val="DefaultParagraphFont"/>
    <w:link w:val="CommentText"/>
    <w:uiPriority w:val="99"/>
    <w:rsid w:val="00396F48"/>
    <w:rPr>
      <w:sz w:val="20"/>
      <w:szCs w:val="20"/>
    </w:rPr>
  </w:style>
  <w:style w:type="paragraph" w:styleId="CommentSubject">
    <w:name w:val="annotation subject"/>
    <w:basedOn w:val="CommentText"/>
    <w:next w:val="CommentText"/>
    <w:link w:val="CommentSubjectChar"/>
    <w:uiPriority w:val="99"/>
    <w:semiHidden/>
    <w:unhideWhenUsed/>
    <w:rsid w:val="00396F48"/>
    <w:rPr>
      <w:b/>
      <w:bCs/>
    </w:rPr>
  </w:style>
  <w:style w:type="character" w:customStyle="1" w:styleId="CommentSubjectChar">
    <w:name w:val="Comment Subject Char"/>
    <w:basedOn w:val="CommentTextChar"/>
    <w:link w:val="CommentSubject"/>
    <w:uiPriority w:val="99"/>
    <w:semiHidden/>
    <w:rsid w:val="00396F48"/>
    <w:rPr>
      <w:b/>
      <w:bCs/>
      <w:sz w:val="20"/>
      <w:szCs w:val="20"/>
    </w:rPr>
  </w:style>
  <w:style w:type="paragraph" w:styleId="Revision">
    <w:name w:val="Revision"/>
    <w:hidden/>
    <w:uiPriority w:val="99"/>
    <w:semiHidden/>
    <w:rsid w:val="000B2B7F"/>
    <w:pPr>
      <w:spacing w:after="0" w:line="240" w:lineRule="auto"/>
    </w:pPr>
  </w:style>
  <w:style w:type="character" w:styleId="FollowedHyperlink">
    <w:name w:val="FollowedHyperlink"/>
    <w:basedOn w:val="DefaultParagraphFont"/>
    <w:uiPriority w:val="99"/>
    <w:semiHidden/>
    <w:unhideWhenUsed/>
    <w:rsid w:val="000B2B7F"/>
    <w:rPr>
      <w:color w:val="954F72" w:themeColor="followedHyperlink"/>
      <w:u w:val="single"/>
    </w:rPr>
  </w:style>
  <w:style w:type="paragraph" w:styleId="BalloonText">
    <w:name w:val="Balloon Text"/>
    <w:basedOn w:val="Normal"/>
    <w:link w:val="BalloonTextChar"/>
    <w:uiPriority w:val="99"/>
    <w:semiHidden/>
    <w:unhideWhenUsed/>
    <w:rsid w:val="00B90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2461">
      <w:bodyDiv w:val="1"/>
      <w:marLeft w:val="0"/>
      <w:marRight w:val="0"/>
      <w:marTop w:val="0"/>
      <w:marBottom w:val="0"/>
      <w:divBdr>
        <w:top w:val="none" w:sz="0" w:space="0" w:color="auto"/>
        <w:left w:val="none" w:sz="0" w:space="0" w:color="auto"/>
        <w:bottom w:val="none" w:sz="0" w:space="0" w:color="auto"/>
        <w:right w:val="none" w:sz="0" w:space="0" w:color="auto"/>
      </w:divBdr>
    </w:div>
    <w:div w:id="78258483">
      <w:bodyDiv w:val="1"/>
      <w:marLeft w:val="0"/>
      <w:marRight w:val="0"/>
      <w:marTop w:val="0"/>
      <w:marBottom w:val="0"/>
      <w:divBdr>
        <w:top w:val="none" w:sz="0" w:space="0" w:color="auto"/>
        <w:left w:val="none" w:sz="0" w:space="0" w:color="auto"/>
        <w:bottom w:val="none" w:sz="0" w:space="0" w:color="auto"/>
        <w:right w:val="none" w:sz="0" w:space="0" w:color="auto"/>
      </w:divBdr>
    </w:div>
    <w:div w:id="270625921">
      <w:bodyDiv w:val="1"/>
      <w:marLeft w:val="0"/>
      <w:marRight w:val="0"/>
      <w:marTop w:val="0"/>
      <w:marBottom w:val="0"/>
      <w:divBdr>
        <w:top w:val="none" w:sz="0" w:space="0" w:color="auto"/>
        <w:left w:val="none" w:sz="0" w:space="0" w:color="auto"/>
        <w:bottom w:val="none" w:sz="0" w:space="0" w:color="auto"/>
        <w:right w:val="none" w:sz="0" w:space="0" w:color="auto"/>
      </w:divBdr>
    </w:div>
    <w:div w:id="793136610">
      <w:bodyDiv w:val="1"/>
      <w:marLeft w:val="0"/>
      <w:marRight w:val="0"/>
      <w:marTop w:val="0"/>
      <w:marBottom w:val="0"/>
      <w:divBdr>
        <w:top w:val="none" w:sz="0" w:space="0" w:color="auto"/>
        <w:left w:val="none" w:sz="0" w:space="0" w:color="auto"/>
        <w:bottom w:val="none" w:sz="0" w:space="0" w:color="auto"/>
        <w:right w:val="none" w:sz="0" w:space="0" w:color="auto"/>
      </w:divBdr>
    </w:div>
    <w:div w:id="961886397">
      <w:bodyDiv w:val="1"/>
      <w:marLeft w:val="0"/>
      <w:marRight w:val="0"/>
      <w:marTop w:val="0"/>
      <w:marBottom w:val="0"/>
      <w:divBdr>
        <w:top w:val="none" w:sz="0" w:space="0" w:color="auto"/>
        <w:left w:val="none" w:sz="0" w:space="0" w:color="auto"/>
        <w:bottom w:val="none" w:sz="0" w:space="0" w:color="auto"/>
        <w:right w:val="none" w:sz="0" w:space="0" w:color="auto"/>
      </w:divBdr>
    </w:div>
    <w:div w:id="1303344320">
      <w:bodyDiv w:val="1"/>
      <w:marLeft w:val="0"/>
      <w:marRight w:val="0"/>
      <w:marTop w:val="0"/>
      <w:marBottom w:val="0"/>
      <w:divBdr>
        <w:top w:val="none" w:sz="0" w:space="0" w:color="auto"/>
        <w:left w:val="none" w:sz="0" w:space="0" w:color="auto"/>
        <w:bottom w:val="none" w:sz="0" w:space="0" w:color="auto"/>
        <w:right w:val="none" w:sz="0" w:space="0" w:color="auto"/>
      </w:divBdr>
      <w:divsChild>
        <w:div w:id="570651510">
          <w:marLeft w:val="0"/>
          <w:marRight w:val="0"/>
          <w:marTop w:val="0"/>
          <w:marBottom w:val="0"/>
          <w:divBdr>
            <w:top w:val="none" w:sz="0" w:space="0" w:color="auto"/>
            <w:left w:val="none" w:sz="0" w:space="0" w:color="auto"/>
            <w:bottom w:val="none" w:sz="0" w:space="0" w:color="auto"/>
            <w:right w:val="none" w:sz="0" w:space="0" w:color="auto"/>
          </w:divBdr>
        </w:div>
      </w:divsChild>
    </w:div>
    <w:div w:id="1591963872">
      <w:bodyDiv w:val="1"/>
      <w:marLeft w:val="0"/>
      <w:marRight w:val="0"/>
      <w:marTop w:val="0"/>
      <w:marBottom w:val="0"/>
      <w:divBdr>
        <w:top w:val="none" w:sz="0" w:space="0" w:color="auto"/>
        <w:left w:val="none" w:sz="0" w:space="0" w:color="auto"/>
        <w:bottom w:val="none" w:sz="0" w:space="0" w:color="auto"/>
        <w:right w:val="none" w:sz="0" w:space="0" w:color="auto"/>
      </w:divBdr>
      <w:divsChild>
        <w:div w:id="1894582788">
          <w:marLeft w:val="0"/>
          <w:marRight w:val="0"/>
          <w:marTop w:val="0"/>
          <w:marBottom w:val="0"/>
          <w:divBdr>
            <w:top w:val="none" w:sz="0" w:space="0" w:color="auto"/>
            <w:left w:val="none" w:sz="0" w:space="0" w:color="auto"/>
            <w:bottom w:val="single" w:sz="12" w:space="0" w:color="DDDDDD"/>
            <w:right w:val="none" w:sz="0" w:space="0" w:color="auto"/>
          </w:divBdr>
        </w:div>
        <w:div w:id="446507120">
          <w:marLeft w:val="0"/>
          <w:marRight w:val="0"/>
          <w:marTop w:val="0"/>
          <w:marBottom w:val="0"/>
          <w:divBdr>
            <w:top w:val="none" w:sz="0" w:space="0" w:color="auto"/>
            <w:left w:val="none" w:sz="0" w:space="0" w:color="auto"/>
            <w:bottom w:val="none" w:sz="0" w:space="0" w:color="auto"/>
            <w:right w:val="none" w:sz="0" w:space="0" w:color="auto"/>
          </w:divBdr>
          <w:divsChild>
            <w:div w:id="10894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2940">
      <w:bodyDiv w:val="1"/>
      <w:marLeft w:val="0"/>
      <w:marRight w:val="0"/>
      <w:marTop w:val="0"/>
      <w:marBottom w:val="0"/>
      <w:divBdr>
        <w:top w:val="none" w:sz="0" w:space="0" w:color="auto"/>
        <w:left w:val="none" w:sz="0" w:space="0" w:color="auto"/>
        <w:bottom w:val="none" w:sz="0" w:space="0" w:color="auto"/>
        <w:right w:val="none" w:sz="0" w:space="0" w:color="auto"/>
      </w:divBdr>
    </w:div>
    <w:div w:id="1713266024">
      <w:bodyDiv w:val="1"/>
      <w:marLeft w:val="0"/>
      <w:marRight w:val="0"/>
      <w:marTop w:val="0"/>
      <w:marBottom w:val="0"/>
      <w:divBdr>
        <w:top w:val="none" w:sz="0" w:space="0" w:color="auto"/>
        <w:left w:val="none" w:sz="0" w:space="0" w:color="auto"/>
        <w:bottom w:val="none" w:sz="0" w:space="0" w:color="auto"/>
        <w:right w:val="none" w:sz="0" w:space="0" w:color="auto"/>
      </w:divBdr>
    </w:div>
    <w:div w:id="1816529923">
      <w:bodyDiv w:val="1"/>
      <w:marLeft w:val="0"/>
      <w:marRight w:val="0"/>
      <w:marTop w:val="0"/>
      <w:marBottom w:val="0"/>
      <w:divBdr>
        <w:top w:val="none" w:sz="0" w:space="0" w:color="auto"/>
        <w:left w:val="none" w:sz="0" w:space="0" w:color="auto"/>
        <w:bottom w:val="none" w:sz="0" w:space="0" w:color="auto"/>
        <w:right w:val="none" w:sz="0" w:space="0" w:color="auto"/>
      </w:divBdr>
      <w:divsChild>
        <w:div w:id="280309745">
          <w:marLeft w:val="0"/>
          <w:marRight w:val="0"/>
          <w:marTop w:val="0"/>
          <w:marBottom w:val="0"/>
          <w:divBdr>
            <w:top w:val="none" w:sz="0" w:space="0" w:color="auto"/>
            <w:left w:val="none" w:sz="0" w:space="0" w:color="auto"/>
            <w:bottom w:val="none" w:sz="0" w:space="0" w:color="auto"/>
            <w:right w:val="none" w:sz="0" w:space="0" w:color="auto"/>
          </w:divBdr>
          <w:divsChild>
            <w:div w:id="1464423997">
              <w:marLeft w:val="0"/>
              <w:marRight w:val="0"/>
              <w:marTop w:val="0"/>
              <w:marBottom w:val="0"/>
              <w:divBdr>
                <w:top w:val="none" w:sz="0" w:space="0" w:color="auto"/>
                <w:left w:val="none" w:sz="0" w:space="0" w:color="auto"/>
                <w:bottom w:val="none" w:sz="0" w:space="0" w:color="auto"/>
                <w:right w:val="none" w:sz="0" w:space="0" w:color="auto"/>
              </w:divBdr>
              <w:divsChild>
                <w:div w:id="1710227478">
                  <w:marLeft w:val="0"/>
                  <w:marRight w:val="0"/>
                  <w:marTop w:val="0"/>
                  <w:marBottom w:val="0"/>
                  <w:divBdr>
                    <w:top w:val="single" w:sz="6" w:space="0" w:color="0286C6"/>
                    <w:left w:val="none" w:sz="0" w:space="0" w:color="auto"/>
                    <w:bottom w:val="none" w:sz="0" w:space="0" w:color="auto"/>
                    <w:right w:val="none" w:sz="0" w:space="0" w:color="auto"/>
                  </w:divBdr>
                </w:div>
              </w:divsChild>
            </w:div>
          </w:divsChild>
        </w:div>
        <w:div w:id="1095790135">
          <w:marLeft w:val="0"/>
          <w:marRight w:val="0"/>
          <w:marTop w:val="0"/>
          <w:marBottom w:val="0"/>
          <w:divBdr>
            <w:top w:val="none" w:sz="0" w:space="0" w:color="auto"/>
            <w:left w:val="none" w:sz="0" w:space="0" w:color="auto"/>
            <w:bottom w:val="none" w:sz="0" w:space="0" w:color="auto"/>
            <w:right w:val="none" w:sz="0" w:space="0" w:color="auto"/>
          </w:divBdr>
          <w:divsChild>
            <w:div w:id="776563084">
              <w:marLeft w:val="0"/>
              <w:marRight w:val="0"/>
              <w:marTop w:val="0"/>
              <w:marBottom w:val="0"/>
              <w:divBdr>
                <w:top w:val="none" w:sz="0" w:space="0" w:color="auto"/>
                <w:left w:val="none" w:sz="0" w:space="0" w:color="auto"/>
                <w:bottom w:val="none" w:sz="0" w:space="0" w:color="auto"/>
                <w:right w:val="none" w:sz="0" w:space="0" w:color="auto"/>
              </w:divBdr>
              <w:divsChild>
                <w:div w:id="1187525446">
                  <w:marLeft w:val="0"/>
                  <w:marRight w:val="0"/>
                  <w:marTop w:val="0"/>
                  <w:marBottom w:val="0"/>
                  <w:divBdr>
                    <w:top w:val="single" w:sz="6" w:space="0" w:color="0286C6"/>
                    <w:left w:val="none" w:sz="0" w:space="0" w:color="auto"/>
                    <w:bottom w:val="none" w:sz="0" w:space="0" w:color="auto"/>
                    <w:right w:val="none" w:sz="0" w:space="0" w:color="auto"/>
                  </w:divBdr>
                </w:div>
              </w:divsChild>
            </w:div>
          </w:divsChild>
        </w:div>
      </w:divsChild>
    </w:div>
    <w:div w:id="20833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bdocs.iadb.org/wsdocs/getdocument.aspx?docnum=EZSHARE-110529158-160" TargetMode="External"/><Relationship Id="rId13" Type="http://schemas.openxmlformats.org/officeDocument/2006/relationships/hyperlink" Target="https://www.iadb.org/document.cfm?id=EZSHARE-110529158-192" TargetMode="External"/><Relationship Id="rId18" Type="http://schemas.openxmlformats.org/officeDocument/2006/relationships/hyperlink" Target="https://publications.iadb.org/publications/spanish/viewer/Los-reguladores-y-la-implementacion-de-los-derechos-humanos-al-agua-y-al-saneamiento-en-America-Latina-y-el-Caribe.pdf" TargetMode="External"/><Relationship Id="rId26" Type="http://schemas.openxmlformats.org/officeDocument/2006/relationships/hyperlink" Target="https://www.iadb.org/en/mici/mici-independent-consultation-and-investigation-mechanism" TargetMode="External"/><Relationship Id="rId3" Type="http://schemas.openxmlformats.org/officeDocument/2006/relationships/styles" Target="styles.xml"/><Relationship Id="rId21" Type="http://schemas.openxmlformats.org/officeDocument/2006/relationships/hyperlink" Target="https://publications.iadb.org/publications/english/viewer/Managing-Human-Rights-Risks-in-IDB-Projects--Requirements-of-the-IDBs-Environmental-and-Social-Policy-Framework.pdf" TargetMode="External"/><Relationship Id="rId7" Type="http://schemas.openxmlformats.org/officeDocument/2006/relationships/endnotes" Target="endnotes.xml"/><Relationship Id="rId12" Type="http://schemas.openxmlformats.org/officeDocument/2006/relationships/hyperlink" Target="https://www.iadb.org/es/mici/mici-mecanismo-independiente-de-consulta-e-investigacion" TargetMode="External"/><Relationship Id="rId17" Type="http://schemas.openxmlformats.org/officeDocument/2006/relationships/hyperlink" Target="https://publications.iadb.org/publications/spanish/viewer/Manual-de-Base-sobre-los-Derechos-Humanos-al-Agua-y-al-Saneamiento-en-Latinoam%C3%A9rica-y-el-Caribe.pdf" TargetMode="External"/><Relationship Id="rId25" Type="http://schemas.openxmlformats.org/officeDocument/2006/relationships/hyperlink" Target="https://www.iadb.org/en/mpas" TargetMode="External"/><Relationship Id="rId2" Type="http://schemas.openxmlformats.org/officeDocument/2006/relationships/numbering" Target="numbering.xml"/><Relationship Id="rId16" Type="http://schemas.openxmlformats.org/officeDocument/2006/relationships/hyperlink" Target="https://publications.iadb.org/publications/english/viewer/Meaningful_Stakeholder_Engagement_A_Joint_Publication_of_the_MFI_Working_Group_on_Environmental_and_Social_Standards_en.pdf" TargetMode="External"/><Relationship Id="rId20" Type="http://schemas.openxmlformats.org/officeDocument/2006/relationships/hyperlink" Target="https://idbinvest.org/en/download/18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procurement.iadb.org/en/policies" TargetMode="External"/><Relationship Id="rId24" Type="http://schemas.openxmlformats.org/officeDocument/2006/relationships/hyperlink" Target="https://www.iadb.org/en/mpas" TargetMode="External"/><Relationship Id="rId5" Type="http://schemas.openxmlformats.org/officeDocument/2006/relationships/webSettings" Target="webSettings.xml"/><Relationship Id="rId15" Type="http://schemas.openxmlformats.org/officeDocument/2006/relationships/hyperlink" Target="https://publications.iadb.org/publications/english/viewer/Social_Impact_Assessment_Integrating_Social_Issues_in_Development_Projects.pdf" TargetMode="External"/><Relationship Id="rId23" Type="http://schemas.openxmlformats.org/officeDocument/2006/relationships/hyperlink" Target="https://www.iadb.org/en/about-us/about-us-3" TargetMode="External"/><Relationship Id="rId28" Type="http://schemas.openxmlformats.org/officeDocument/2006/relationships/theme" Target="theme/theme1.xml"/><Relationship Id="rId10" Type="http://schemas.openxmlformats.org/officeDocument/2006/relationships/hyperlink" Target="https://nam02.safelinks.protection.outlook.com/?url=https%3A%2F%2Fwww.iadb.org%2Fdocument.cfm%3Fid%3DEZSHARE-908968382-303&amp;data=05%7C01%7CCRISTIANPI%40IADB.ORG%7Cc2cd524f390743c4f2c208da89dbb2df%7C9dfb1a055f1d449a896062abcb479e7d%7C0%7C0%7C637973873944792025%7CUnknown%7CTWFpbGZsb3d8eyJWIjoiMC4wLjAwMDAiLCJQIjoiV2luMzIiLCJBTiI6Ik1haWwiLCJXVCI6Mn0%3D%7C3000%7C%7C%7C&amp;sdata=B%2FsKPW7w8%2BnFuLvEozsh8thND%2BHPgy3gU65KZqztBig%3D&amp;reserved=0" TargetMode="External"/><Relationship Id="rId19" Type="http://schemas.openxmlformats.org/officeDocument/2006/relationships/hyperlink" Target="https://idbinvest.org/sites/default/files/2019-05/ENG%20-%20Pol%C3%ADtica%20de%20Acceso%20a%20Informaci%C3%B3n_web.pdf" TargetMode="External"/><Relationship Id="rId4" Type="http://schemas.openxmlformats.org/officeDocument/2006/relationships/settings" Target="settings.xml"/><Relationship Id="rId9" Type="http://schemas.openxmlformats.org/officeDocument/2006/relationships/hyperlink" Target="https://publications.iadb.org/publications/english/viewer/Managing-Human-Rights-Risks-in-IDB-Projects--Requirements-of-the-IDBs-Environmental-and-Social-Policy-Framework.pdf" TargetMode="External"/><Relationship Id="rId14" Type="http://schemas.openxmlformats.org/officeDocument/2006/relationships/hyperlink" Target="https://publications.iadb.org/publications/english/viewer/Reprisal-Risk-Management.pdf" TargetMode="External"/><Relationship Id="rId22" Type="http://schemas.openxmlformats.org/officeDocument/2006/relationships/hyperlink" Target="https://www.iadb.org/en/mpa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adb.org/en/access-information/access-information-policy-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3325-2A88-4E01-8A6F-4CF436B7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3788</Words>
  <Characters>21597</Characters>
  <Application>Microsoft Office Word</Application>
  <DocSecurity>0</DocSecurity>
  <Lines>179</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Inter-American Development Bank Group</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Romero Villamizar</dc:creator>
  <cp:keywords/>
  <dc:description/>
  <cp:lastModifiedBy>Emin Aslanov</cp:lastModifiedBy>
  <cp:revision>2</cp:revision>
  <dcterms:created xsi:type="dcterms:W3CDTF">2023-05-09T07:41:00Z</dcterms:created>
  <dcterms:modified xsi:type="dcterms:W3CDTF">2023-05-09T07:41:00Z</dcterms:modified>
</cp:coreProperties>
</file>