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816C6" w14:textId="03D0E9DD" w:rsidR="00823316" w:rsidRDefault="00823316" w:rsidP="00823316">
      <w:pPr>
        <w:pStyle w:val="NormalWeb"/>
        <w:spacing w:before="0" w:beforeAutospacing="0" w:after="0" w:afterAutospacing="0"/>
        <w:ind w:left="810"/>
        <w:jc w:val="both"/>
        <w:rPr>
          <w:rFonts w:ascii="Times New Roman" w:hAnsi="Times New Roman" w:cs="Times New Roman"/>
          <w:sz w:val="28"/>
          <w:szCs w:val="28"/>
          <w:lang w:val="en-US"/>
        </w:rPr>
      </w:pPr>
      <w:r>
        <w:rPr>
          <w:rFonts w:ascii="Times New Roman" w:hAnsi="Times New Roman" w:cs="Times New Roman"/>
          <w:sz w:val="28"/>
          <w:szCs w:val="28"/>
          <w:lang w:val="en-US"/>
        </w:rPr>
        <w:t>Egypt</w:t>
      </w:r>
    </w:p>
    <w:p w14:paraId="00A87976" w14:textId="77777777" w:rsidR="00823316" w:rsidRDefault="00823316" w:rsidP="00823316">
      <w:pPr>
        <w:pStyle w:val="NormalWeb"/>
        <w:spacing w:before="0" w:beforeAutospacing="0" w:after="0" w:afterAutospacing="0"/>
        <w:ind w:left="810"/>
        <w:jc w:val="both"/>
        <w:rPr>
          <w:rFonts w:ascii="Times New Roman" w:hAnsi="Times New Roman" w:cs="Times New Roman"/>
          <w:sz w:val="28"/>
          <w:szCs w:val="28"/>
          <w:lang w:val="en-US"/>
        </w:rPr>
      </w:pPr>
    </w:p>
    <w:p w14:paraId="528E816F" w14:textId="77777777" w:rsidR="00823316" w:rsidRDefault="00823316" w:rsidP="00823316">
      <w:pPr>
        <w:pStyle w:val="NormalWeb"/>
        <w:spacing w:before="0" w:beforeAutospacing="0" w:after="0" w:afterAutospacing="0"/>
        <w:ind w:left="810"/>
        <w:jc w:val="both"/>
        <w:rPr>
          <w:rFonts w:ascii="Times New Roman" w:hAnsi="Times New Roman" w:cs="Times New Roman"/>
          <w:sz w:val="28"/>
          <w:szCs w:val="28"/>
          <w:lang w:val="en-US"/>
        </w:rPr>
      </w:pPr>
    </w:p>
    <w:p w14:paraId="2D9A014F" w14:textId="76DE8B2F" w:rsidR="00823316" w:rsidRDefault="00823316" w:rsidP="00823316">
      <w:pPr>
        <w:pStyle w:val="NormalWeb"/>
        <w:spacing w:before="0" w:beforeAutospacing="0" w:after="0" w:afterAutospacing="0"/>
        <w:ind w:left="810"/>
        <w:jc w:val="both"/>
        <w:rPr>
          <w:rFonts w:ascii="Times New Roman" w:hAnsi="Times New Roman" w:cs="Times New Roman"/>
          <w:sz w:val="24"/>
          <w:szCs w:val="24"/>
        </w:rPr>
      </w:pPr>
      <w:r>
        <w:rPr>
          <w:rFonts w:ascii="Times New Roman" w:hAnsi="Times New Roman" w:cs="Times New Roman"/>
          <w:sz w:val="28"/>
          <w:szCs w:val="28"/>
          <w:lang w:val="en-US"/>
        </w:rPr>
        <w:t>1-</w:t>
      </w:r>
      <w:r>
        <w:rPr>
          <w:rFonts w:ascii="Times New Roman" w:hAnsi="Times New Roman" w:cs="Times New Roman"/>
          <w:sz w:val="14"/>
          <w:szCs w:val="14"/>
          <w:lang w:val="en-US"/>
        </w:rPr>
        <w:t xml:space="preserve">    </w:t>
      </w:r>
      <w:r>
        <w:rPr>
          <w:rFonts w:ascii="Times New Roman" w:hAnsi="Times New Roman" w:cs="Times New Roman"/>
          <w:sz w:val="28"/>
          <w:szCs w:val="28"/>
        </w:rPr>
        <w:t>In article 3 (a)</w:t>
      </w:r>
      <w:r>
        <w:rPr>
          <w:rFonts w:ascii="Times New Roman" w:hAnsi="Times New Roman" w:cs="Times New Roman"/>
          <w:sz w:val="28"/>
          <w:szCs w:val="28"/>
          <w:lang w:val="en-US"/>
        </w:rPr>
        <w:t>: replace “Development centred on the individual and peoples” by “people-centered development”.</w:t>
      </w:r>
    </w:p>
    <w:p w14:paraId="0830F318" w14:textId="77777777" w:rsidR="00823316" w:rsidRDefault="00823316" w:rsidP="00823316">
      <w:pPr>
        <w:pStyle w:val="NormalWeb"/>
        <w:spacing w:before="0" w:beforeAutospacing="0" w:after="0" w:afterAutospacing="0"/>
        <w:ind w:left="810"/>
        <w:jc w:val="both"/>
        <w:rPr>
          <w:rFonts w:ascii="Times New Roman" w:hAnsi="Times New Roman" w:cs="Times New Roman"/>
          <w:sz w:val="24"/>
          <w:szCs w:val="24"/>
        </w:rPr>
      </w:pPr>
      <w:r>
        <w:rPr>
          <w:rFonts w:ascii="Times New Roman" w:hAnsi="Times New Roman" w:cs="Times New Roman"/>
          <w:sz w:val="28"/>
          <w:szCs w:val="28"/>
          <w:lang w:val="en-US"/>
        </w:rPr>
        <w:t>2-</w:t>
      </w:r>
      <w:r>
        <w:rPr>
          <w:rFonts w:ascii="Times New Roman" w:hAnsi="Times New Roman" w:cs="Times New Roman"/>
          <w:sz w:val="14"/>
          <w:szCs w:val="14"/>
          <w:lang w:val="en-US"/>
        </w:rPr>
        <w:t xml:space="preserve">    </w:t>
      </w:r>
      <w:r>
        <w:rPr>
          <w:rFonts w:ascii="Times New Roman" w:hAnsi="Times New Roman" w:cs="Times New Roman"/>
          <w:sz w:val="28"/>
          <w:szCs w:val="28"/>
        </w:rPr>
        <w:t>In article 3: to replace “Human rights-based development” by “development based on the applicable human rights law”.</w:t>
      </w:r>
    </w:p>
    <w:p w14:paraId="58EA8675" w14:textId="77777777" w:rsidR="00823316" w:rsidRDefault="00823316" w:rsidP="00823316">
      <w:pPr>
        <w:pStyle w:val="NormalWeb"/>
        <w:spacing w:before="0" w:beforeAutospacing="0" w:after="0" w:afterAutospacing="0"/>
        <w:ind w:left="810"/>
        <w:jc w:val="both"/>
        <w:rPr>
          <w:rFonts w:ascii="Times New Roman" w:hAnsi="Times New Roman" w:cs="Times New Roman"/>
          <w:sz w:val="24"/>
          <w:szCs w:val="24"/>
        </w:rPr>
      </w:pPr>
      <w:r>
        <w:rPr>
          <w:rFonts w:ascii="Times New Roman" w:hAnsi="Times New Roman" w:cs="Times New Roman"/>
          <w:sz w:val="28"/>
          <w:szCs w:val="28"/>
          <w:lang w:val="en-US"/>
        </w:rPr>
        <w:t>3-</w:t>
      </w:r>
      <w:r>
        <w:rPr>
          <w:rFonts w:ascii="Times New Roman" w:hAnsi="Times New Roman" w:cs="Times New Roman"/>
          <w:sz w:val="14"/>
          <w:szCs w:val="14"/>
          <w:lang w:val="en-US"/>
        </w:rPr>
        <w:t xml:space="preserve">    </w:t>
      </w:r>
      <w:r>
        <w:rPr>
          <w:rFonts w:ascii="Times New Roman" w:hAnsi="Times New Roman" w:cs="Times New Roman"/>
          <w:sz w:val="14"/>
          <w:szCs w:val="14"/>
        </w:rPr>
        <w:t> </w:t>
      </w:r>
      <w:r>
        <w:rPr>
          <w:rFonts w:ascii="Times New Roman" w:hAnsi="Times New Roman" w:cs="Times New Roman"/>
          <w:sz w:val="28"/>
          <w:szCs w:val="28"/>
        </w:rPr>
        <w:t>In article 3 (b): to replace “Universal principles common to all human rights” by “Principles common to universal human rights”.</w:t>
      </w:r>
    </w:p>
    <w:p w14:paraId="38350CD2" w14:textId="77777777" w:rsidR="00823316" w:rsidRDefault="00823316" w:rsidP="00823316">
      <w:pPr>
        <w:pStyle w:val="NormalWeb"/>
        <w:spacing w:before="0" w:beforeAutospacing="0" w:after="0" w:afterAutospacing="0"/>
        <w:ind w:left="810"/>
        <w:jc w:val="both"/>
        <w:rPr>
          <w:rFonts w:ascii="Times New Roman" w:hAnsi="Times New Roman" w:cs="Times New Roman"/>
          <w:sz w:val="24"/>
          <w:szCs w:val="24"/>
        </w:rPr>
      </w:pPr>
      <w:r>
        <w:rPr>
          <w:rFonts w:ascii="Times New Roman" w:hAnsi="Times New Roman" w:cs="Times New Roman"/>
          <w:sz w:val="28"/>
          <w:szCs w:val="28"/>
          <w:lang w:val="en-US"/>
        </w:rPr>
        <w:t>4-</w:t>
      </w:r>
      <w:r>
        <w:rPr>
          <w:rFonts w:ascii="Times New Roman" w:hAnsi="Times New Roman" w:cs="Times New Roman"/>
          <w:sz w:val="14"/>
          <w:szCs w:val="14"/>
          <w:lang w:val="en-US"/>
        </w:rPr>
        <w:t xml:space="preserve">    </w:t>
      </w:r>
      <w:r>
        <w:rPr>
          <w:rFonts w:ascii="Times New Roman" w:hAnsi="Times New Roman" w:cs="Times New Roman"/>
          <w:sz w:val="28"/>
          <w:szCs w:val="28"/>
        </w:rPr>
        <w:t>In article 8, paragraph 1: to replace all the categories stated in this paragraph by the forms of discrimination mentioned in the two covenants (ICESCR- ICCPR).</w:t>
      </w:r>
    </w:p>
    <w:p w14:paraId="6639B7B8" w14:textId="77777777" w:rsidR="00823316" w:rsidRDefault="00823316" w:rsidP="00823316">
      <w:pPr>
        <w:pStyle w:val="NormalWeb"/>
        <w:spacing w:before="0" w:beforeAutospacing="0" w:after="0" w:afterAutospacing="0"/>
        <w:ind w:left="810"/>
        <w:jc w:val="both"/>
        <w:rPr>
          <w:rFonts w:ascii="Times New Roman" w:hAnsi="Times New Roman" w:cs="Times New Roman"/>
          <w:sz w:val="24"/>
          <w:szCs w:val="24"/>
        </w:rPr>
      </w:pPr>
      <w:r>
        <w:rPr>
          <w:rFonts w:ascii="Times New Roman" w:hAnsi="Times New Roman" w:cs="Times New Roman"/>
          <w:sz w:val="28"/>
          <w:szCs w:val="28"/>
          <w:lang w:val="en-US"/>
        </w:rPr>
        <w:t>5-</w:t>
      </w:r>
      <w:r>
        <w:rPr>
          <w:rFonts w:ascii="Times New Roman" w:hAnsi="Times New Roman" w:cs="Times New Roman"/>
          <w:sz w:val="14"/>
          <w:szCs w:val="14"/>
          <w:lang w:val="en-US"/>
        </w:rPr>
        <w:t xml:space="preserve">    </w:t>
      </w:r>
      <w:r>
        <w:rPr>
          <w:rFonts w:ascii="Times New Roman" w:hAnsi="Times New Roman" w:cs="Times New Roman"/>
          <w:sz w:val="28"/>
          <w:szCs w:val="28"/>
        </w:rPr>
        <w:t>In article 15 paragraph 1: Egypt requests that all the categories stated in this paragraph be replaced by the forms of discrimination mentioned in the two covenants ICESCR- ICCPR, as follows: “States Parties recognize that certain</w:t>
      </w:r>
      <w:r>
        <w:rPr>
          <w:rFonts w:ascii="Times New Roman" w:hAnsi="Times New Roman" w:cs="Times New Roman"/>
          <w:strike/>
          <w:sz w:val="28"/>
          <w:szCs w:val="28"/>
        </w:rPr>
        <w:t> human persons, groups and peoples, owing to their marginalization or vulnerability because of race, colour, sex, language, religion, political or other opinion, nationality, statelessness, national, ethnic or social origin, property, disability, birth, age or other status, including as human rights defenders,</w:t>
      </w:r>
      <w:r>
        <w:rPr>
          <w:rFonts w:ascii="Times New Roman" w:hAnsi="Times New Roman" w:cs="Times New Roman"/>
          <w:sz w:val="28"/>
          <w:szCs w:val="28"/>
        </w:rPr>
        <w:t> </w:t>
      </w:r>
      <w:r>
        <w:rPr>
          <w:rFonts w:ascii="Times New Roman" w:hAnsi="Times New Roman" w:cs="Times New Roman"/>
          <w:sz w:val="28"/>
          <w:szCs w:val="28"/>
          <w:u w:val="single"/>
        </w:rPr>
        <w:t>individuals affected by discrimination based on race, colour, sex, language, religion, political or other opinion, national or social origin, property, birth or other status, </w:t>
      </w:r>
      <w:r>
        <w:rPr>
          <w:rFonts w:ascii="Times New Roman" w:hAnsi="Times New Roman" w:cs="Times New Roman"/>
          <w:sz w:val="28"/>
          <w:szCs w:val="28"/>
        </w:rPr>
        <w:t>may need specific and remedial measures to accelerate or achieve de facto equality in their enjoyment of the right to development.</w:t>
      </w:r>
    </w:p>
    <w:p w14:paraId="4F49E91B" w14:textId="77777777" w:rsidR="00823316" w:rsidRDefault="00823316" w:rsidP="00823316">
      <w:pPr>
        <w:pStyle w:val="NormalWeb"/>
        <w:spacing w:before="0" w:beforeAutospacing="0" w:after="0" w:afterAutospacing="0"/>
        <w:ind w:left="810"/>
        <w:jc w:val="both"/>
        <w:rPr>
          <w:rFonts w:ascii="Times New Roman" w:hAnsi="Times New Roman" w:cs="Times New Roman"/>
          <w:sz w:val="24"/>
          <w:szCs w:val="24"/>
        </w:rPr>
      </w:pPr>
      <w:r>
        <w:rPr>
          <w:rFonts w:ascii="Times New Roman" w:hAnsi="Times New Roman" w:cs="Times New Roman"/>
          <w:sz w:val="28"/>
          <w:szCs w:val="28"/>
          <w:lang w:val="en-US"/>
        </w:rPr>
        <w:t>6-</w:t>
      </w:r>
      <w:r>
        <w:rPr>
          <w:rFonts w:ascii="Times New Roman" w:hAnsi="Times New Roman" w:cs="Times New Roman"/>
          <w:sz w:val="14"/>
          <w:szCs w:val="14"/>
          <w:lang w:val="en-US"/>
        </w:rPr>
        <w:t xml:space="preserve">    </w:t>
      </w:r>
      <w:r>
        <w:rPr>
          <w:rFonts w:ascii="Times New Roman" w:hAnsi="Times New Roman" w:cs="Times New Roman"/>
          <w:sz w:val="28"/>
          <w:szCs w:val="28"/>
        </w:rPr>
        <w:t xml:space="preserve">In article 16 Paragraph 1: to </w:t>
      </w:r>
      <w:r>
        <w:rPr>
          <w:rFonts w:ascii="Times New Roman" w:hAnsi="Times New Roman" w:cs="Times New Roman"/>
          <w:sz w:val="28"/>
          <w:szCs w:val="28"/>
          <w:lang w:val="en-US"/>
        </w:rPr>
        <w:t>remove the word “substantive”.</w:t>
      </w:r>
    </w:p>
    <w:p w14:paraId="618093CA" w14:textId="77777777" w:rsidR="00823316" w:rsidRDefault="00823316" w:rsidP="00823316">
      <w:pPr>
        <w:pStyle w:val="NormalWeb"/>
        <w:spacing w:before="0" w:beforeAutospacing="0" w:after="0" w:afterAutospacing="0"/>
        <w:ind w:left="450"/>
        <w:jc w:val="both"/>
        <w:rPr>
          <w:rFonts w:ascii="Times New Roman" w:hAnsi="Times New Roman" w:cs="Times New Roman"/>
          <w:sz w:val="24"/>
          <w:szCs w:val="24"/>
        </w:rPr>
      </w:pPr>
      <w:r>
        <w:rPr>
          <w:rFonts w:ascii="Times New Roman" w:hAnsi="Times New Roman" w:cs="Times New Roman"/>
          <w:sz w:val="28"/>
          <w:szCs w:val="28"/>
          <w:lang w:val="en-US"/>
        </w:rPr>
        <w:t xml:space="preserve">7- Adding paragraph 16.3: “States Parties undertake to strengthen family-centered </w:t>
      </w:r>
      <w:proofErr w:type="spellStart"/>
      <w:r>
        <w:rPr>
          <w:rFonts w:ascii="Times New Roman" w:hAnsi="Times New Roman" w:cs="Times New Roman"/>
          <w:sz w:val="28"/>
          <w:szCs w:val="28"/>
          <w:lang w:val="en-US"/>
        </w:rPr>
        <w:t>programmes</w:t>
      </w:r>
      <w:proofErr w:type="spellEnd"/>
      <w:r>
        <w:rPr>
          <w:rFonts w:ascii="Times New Roman" w:hAnsi="Times New Roman" w:cs="Times New Roman"/>
          <w:sz w:val="28"/>
          <w:szCs w:val="28"/>
          <w:lang w:val="en-US"/>
        </w:rPr>
        <w:t xml:space="preserve">, policies and measures, and to increase cooperation family issues at all levels, to ensure equality between men and women, as part of an integrated and comprehensive approach to the realization of the right to development” </w:t>
      </w:r>
    </w:p>
    <w:p w14:paraId="1CB28434" w14:textId="77777777" w:rsidR="00823316" w:rsidRDefault="00823316" w:rsidP="00823316">
      <w:pPr>
        <w:pStyle w:val="NormalWeb"/>
        <w:spacing w:before="0" w:beforeAutospacing="0" w:after="0" w:afterAutospacing="0"/>
        <w:ind w:left="450"/>
        <w:jc w:val="both"/>
        <w:rPr>
          <w:rFonts w:ascii="Times New Roman" w:hAnsi="Times New Roman" w:cs="Times New Roman"/>
          <w:sz w:val="24"/>
          <w:szCs w:val="24"/>
        </w:rPr>
      </w:pPr>
      <w:r>
        <w:rPr>
          <w:rFonts w:ascii="Times New Roman" w:hAnsi="Times New Roman" w:cs="Times New Roman"/>
          <w:sz w:val="28"/>
          <w:szCs w:val="28"/>
        </w:rPr>
        <w:t>7-</w:t>
      </w:r>
      <w:r>
        <w:rPr>
          <w:rFonts w:ascii="Times New Roman" w:hAnsi="Times New Roman" w:cs="Times New Roman"/>
          <w:sz w:val="14"/>
          <w:szCs w:val="14"/>
        </w:rPr>
        <w:t>       </w:t>
      </w:r>
      <w:r>
        <w:rPr>
          <w:rFonts w:ascii="Times New Roman" w:hAnsi="Times New Roman" w:cs="Times New Roman"/>
          <w:sz w:val="28"/>
          <w:szCs w:val="28"/>
        </w:rPr>
        <w:t>In article 23 referring to “UNFCCC and Paris Agreement”.</w:t>
      </w:r>
    </w:p>
    <w:p w14:paraId="07866DE0" w14:textId="77777777" w:rsidR="00823316" w:rsidRDefault="00823316" w:rsidP="00823316">
      <w:pPr>
        <w:pStyle w:val="NormalWeb"/>
        <w:spacing w:before="0" w:beforeAutospacing="0" w:after="0" w:afterAutospacing="0"/>
        <w:ind w:left="450"/>
        <w:jc w:val="both"/>
        <w:rPr>
          <w:rFonts w:ascii="Times New Roman" w:hAnsi="Times New Roman" w:cs="Times New Roman"/>
          <w:sz w:val="24"/>
          <w:szCs w:val="24"/>
        </w:rPr>
      </w:pPr>
      <w:r>
        <w:rPr>
          <w:rFonts w:ascii="Times New Roman" w:hAnsi="Times New Roman" w:cs="Times New Roman"/>
          <w:sz w:val="28"/>
          <w:szCs w:val="28"/>
        </w:rPr>
        <w:t>8-</w:t>
      </w:r>
      <w:r>
        <w:rPr>
          <w:rFonts w:ascii="Times New Roman" w:hAnsi="Times New Roman" w:cs="Times New Roman"/>
          <w:sz w:val="14"/>
          <w:szCs w:val="14"/>
        </w:rPr>
        <w:t>       </w:t>
      </w:r>
      <w:r>
        <w:rPr>
          <w:rFonts w:ascii="Times New Roman" w:hAnsi="Times New Roman" w:cs="Times New Roman"/>
          <w:sz w:val="28"/>
          <w:szCs w:val="28"/>
        </w:rPr>
        <w:t>We are of the view that paragraphs 25, 26 and 27 still need further study, in this regard we preserve our right to comment on it at a later stage. And for the time being, we convey our reservation on the following articles:</w:t>
      </w:r>
    </w:p>
    <w:p w14:paraId="3BF20E27" w14:textId="77777777" w:rsidR="006D123F" w:rsidRDefault="006D123F"/>
    <w:sectPr w:rsidR="006D12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316"/>
    <w:rsid w:val="003D539C"/>
    <w:rsid w:val="006D123F"/>
    <w:rsid w:val="00823316"/>
    <w:rsid w:val="00835C68"/>
    <w:rsid w:val="00CA6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63F0"/>
  <w15:chartTrackingRefBased/>
  <w15:docId w15:val="{B4B31E21-3687-4AD7-BEB0-6F62BE10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3316"/>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02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Lapper</dc:creator>
  <cp:keywords/>
  <dc:description/>
  <cp:lastModifiedBy>Richard Lapper</cp:lastModifiedBy>
  <cp:revision>1</cp:revision>
  <dcterms:created xsi:type="dcterms:W3CDTF">2023-05-19T14:40:00Z</dcterms:created>
  <dcterms:modified xsi:type="dcterms:W3CDTF">2023-05-19T14:41:00Z</dcterms:modified>
</cp:coreProperties>
</file>