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FBEB" w14:textId="4C17AF5A" w:rsidR="00AE51A4" w:rsidRPr="00DA536D" w:rsidRDefault="00B82F9A" w:rsidP="003120F5">
      <w:pPr>
        <w:spacing w:after="0" w:line="240" w:lineRule="auto"/>
        <w:jc w:val="center"/>
        <w:rPr>
          <w:rFonts w:ascii="Calibri" w:hAnsi="Calibri"/>
          <w:b/>
          <w:sz w:val="20"/>
          <w:szCs w:val="20"/>
        </w:rPr>
      </w:pPr>
      <w:bookmarkStart w:id="0" w:name="_GoBack"/>
      <w:bookmarkEnd w:id="0"/>
      <w:r w:rsidRPr="00DA536D">
        <w:rPr>
          <w:rFonts w:ascii="Calibri" w:hAnsi="Calibri"/>
          <w:b/>
          <w:sz w:val="20"/>
          <w:szCs w:val="20"/>
        </w:rPr>
        <w:t>The 20</w:t>
      </w:r>
      <w:r w:rsidRPr="00DA536D">
        <w:rPr>
          <w:rFonts w:ascii="Calibri" w:hAnsi="Calibri"/>
          <w:b/>
          <w:sz w:val="20"/>
          <w:szCs w:val="20"/>
          <w:vertAlign w:val="superscript"/>
        </w:rPr>
        <w:t>th</w:t>
      </w:r>
      <w:r w:rsidRPr="00DA536D">
        <w:rPr>
          <w:rFonts w:ascii="Calibri" w:hAnsi="Calibri"/>
          <w:b/>
          <w:sz w:val="20"/>
          <w:szCs w:val="20"/>
        </w:rPr>
        <w:t xml:space="preserve"> session of the Working Group on the Right to Development</w:t>
      </w:r>
    </w:p>
    <w:p w14:paraId="43AEFDEA" w14:textId="77777777" w:rsidR="005B11AC" w:rsidRPr="00DA536D" w:rsidRDefault="005B11AC" w:rsidP="003120F5">
      <w:pPr>
        <w:spacing w:after="0" w:line="240" w:lineRule="auto"/>
        <w:jc w:val="center"/>
        <w:rPr>
          <w:rFonts w:ascii="Calibri" w:hAnsi="Calibri"/>
          <w:b/>
          <w:sz w:val="20"/>
          <w:szCs w:val="20"/>
        </w:rPr>
      </w:pPr>
    </w:p>
    <w:p w14:paraId="3F35307A" w14:textId="1D14DAD6" w:rsidR="00E75742" w:rsidRPr="00DA536D" w:rsidRDefault="00E75742" w:rsidP="003120F5">
      <w:pPr>
        <w:jc w:val="center"/>
        <w:rPr>
          <w:rFonts w:ascii="Calibri" w:hAnsi="Calibri"/>
          <w:b/>
          <w:noProof/>
          <w:sz w:val="20"/>
          <w:szCs w:val="20"/>
          <w:lang w:eastAsia="en-GB"/>
        </w:rPr>
      </w:pPr>
      <w:r w:rsidRPr="00DA536D">
        <w:rPr>
          <w:rFonts w:ascii="Calibri" w:hAnsi="Calibri"/>
          <w:b/>
          <w:noProof/>
          <w:sz w:val="20"/>
          <w:szCs w:val="20"/>
          <w:lang w:eastAsia="en-GB"/>
        </w:rPr>
        <w:t>Interactive dialogue with experts on the implementation and realization of the right to development, including the implications of the 2030 Agenda for Sustainable Development</w:t>
      </w:r>
    </w:p>
    <w:p w14:paraId="13DF0829" w14:textId="1A51B9AF" w:rsidR="00DB3973" w:rsidRPr="00DA536D" w:rsidRDefault="00DB3973" w:rsidP="003120F5">
      <w:pPr>
        <w:jc w:val="center"/>
        <w:rPr>
          <w:rFonts w:ascii="Calibri" w:hAnsi="Calibri"/>
          <w:b/>
          <w:sz w:val="20"/>
          <w:szCs w:val="20"/>
        </w:rPr>
      </w:pPr>
      <w:r w:rsidRPr="00DA536D">
        <w:rPr>
          <w:rFonts w:ascii="Calibri" w:hAnsi="Calibri"/>
          <w:b/>
          <w:noProof/>
          <w:sz w:val="20"/>
          <w:szCs w:val="20"/>
          <w:lang w:eastAsia="en-GB"/>
        </w:rPr>
        <w:t xml:space="preserve">Session </w:t>
      </w:r>
      <w:r w:rsidRPr="00DA536D">
        <w:rPr>
          <w:rFonts w:ascii="Calibri" w:hAnsi="Calibri"/>
          <w:b/>
          <w:sz w:val="20"/>
          <w:szCs w:val="20"/>
        </w:rPr>
        <w:t>“Empowering people and ensuring inclusiveness and equality”</w:t>
      </w:r>
    </w:p>
    <w:p w14:paraId="0EF562E6" w14:textId="380B0A6E" w:rsidR="005B11AC" w:rsidRPr="00DA536D" w:rsidRDefault="005B11AC" w:rsidP="003120F5">
      <w:pPr>
        <w:spacing w:after="0" w:line="240" w:lineRule="auto"/>
        <w:jc w:val="center"/>
        <w:rPr>
          <w:rFonts w:ascii="Calibri" w:hAnsi="Calibri"/>
          <w:b/>
          <w:i/>
          <w:sz w:val="20"/>
          <w:szCs w:val="20"/>
        </w:rPr>
      </w:pPr>
      <w:r w:rsidRPr="00DA536D">
        <w:rPr>
          <w:rFonts w:ascii="Calibri" w:hAnsi="Calibri"/>
          <w:b/>
          <w:i/>
          <w:sz w:val="20"/>
          <w:szCs w:val="20"/>
        </w:rPr>
        <w:t>Global inequality, the Achilles’ heel of the right to development</w:t>
      </w:r>
    </w:p>
    <w:p w14:paraId="5E112F1F" w14:textId="77777777" w:rsidR="005B11AC" w:rsidRPr="00DA536D" w:rsidRDefault="005B11AC" w:rsidP="003120F5">
      <w:pPr>
        <w:jc w:val="center"/>
        <w:rPr>
          <w:rFonts w:ascii="Calibri" w:hAnsi="Calibri"/>
          <w:b/>
          <w:sz w:val="20"/>
          <w:szCs w:val="20"/>
        </w:rPr>
      </w:pPr>
      <w:r w:rsidRPr="00DA536D">
        <w:rPr>
          <w:rFonts w:ascii="Calibri" w:hAnsi="Calibri"/>
          <w:b/>
          <w:sz w:val="20"/>
          <w:szCs w:val="20"/>
        </w:rPr>
        <w:t>Dr Chiara Mariotti, Inequality Policy Manager, Oxfam GB</w:t>
      </w:r>
    </w:p>
    <w:p w14:paraId="7ECBFB7F" w14:textId="77777777" w:rsidR="005B11AC" w:rsidRPr="00DA536D" w:rsidRDefault="005B11AC" w:rsidP="00DA536D">
      <w:pPr>
        <w:jc w:val="both"/>
        <w:rPr>
          <w:rFonts w:ascii="Calibri" w:hAnsi="Calibri"/>
          <w:sz w:val="20"/>
          <w:szCs w:val="20"/>
        </w:rPr>
      </w:pPr>
    </w:p>
    <w:p w14:paraId="09ACF094" w14:textId="77777777" w:rsidR="006355CE" w:rsidRPr="006355CE" w:rsidRDefault="006355CE" w:rsidP="00DA536D">
      <w:pPr>
        <w:jc w:val="both"/>
        <w:rPr>
          <w:rFonts w:ascii="Calibri" w:hAnsi="Calibri"/>
          <w:b/>
          <w:sz w:val="20"/>
          <w:szCs w:val="20"/>
        </w:rPr>
      </w:pPr>
      <w:r w:rsidRPr="006355CE">
        <w:rPr>
          <w:rFonts w:ascii="Calibri" w:hAnsi="Calibri"/>
          <w:b/>
          <w:sz w:val="20"/>
          <w:szCs w:val="20"/>
        </w:rPr>
        <w:t xml:space="preserve">SUMMARY </w:t>
      </w:r>
    </w:p>
    <w:p w14:paraId="025B2193" w14:textId="334B7984" w:rsidR="006355CE" w:rsidRPr="00DA536D" w:rsidRDefault="006355CE" w:rsidP="00DA536D">
      <w:pPr>
        <w:jc w:val="both"/>
        <w:rPr>
          <w:rFonts w:ascii="Calibri" w:hAnsi="Calibri"/>
          <w:sz w:val="20"/>
          <w:szCs w:val="20"/>
        </w:rPr>
      </w:pPr>
      <w:r w:rsidRPr="006355CE">
        <w:rPr>
          <w:rFonts w:ascii="Calibri" w:hAnsi="Calibri"/>
          <w:i/>
          <w:sz w:val="20"/>
          <w:szCs w:val="20"/>
        </w:rPr>
        <w:t xml:space="preserve">Inequality, and in particular rising and extreme economic inequality is a threat to the implementation and achievement to the Right to Development. Yet, economic inequality does not have a clear conceptual anchoring in human rights and their legal and institutional framework. </w:t>
      </w:r>
      <w:bookmarkStart w:id="1" w:name="_Hlk7495417"/>
      <w:r w:rsidRPr="006355CE">
        <w:rPr>
          <w:rFonts w:ascii="Calibri" w:hAnsi="Calibri"/>
          <w:i/>
          <w:sz w:val="20"/>
          <w:szCs w:val="20"/>
        </w:rPr>
        <w:t xml:space="preserve">The inclusion of Goal 10 (reducing inequality between and within countries) in the Sustainable Development Agenda has been a remarkable achievement in this sense. However, there are several technical and conceptual limitations that prevent Goal 10 from triggering and enabling action on the drivers of inequality and the structures that reproduce and reinforce it, including implementing those global redistributive mechanisms that would be necessary to achieve it. Turning Goal 10 into an effective tool for tackling extreme inequality and contributing to the right to development is compelling and possible introducing changes in its indicators and, more substantially, reinforcing the international institutional framework in its support. Doing this would not only accelerate process in achieving Goal 10 and tackling extreme economic inequality more broadly, it would also contribute to the </w:t>
      </w:r>
      <w:r w:rsidRPr="006355CE">
        <w:rPr>
          <w:rFonts w:ascii="Calibri" w:hAnsi="Calibri" w:cs="Arial"/>
          <w:i/>
          <w:sz w:val="20"/>
          <w:szCs w:val="20"/>
        </w:rPr>
        <w:t xml:space="preserve">implementation and realization of the </w:t>
      </w:r>
      <w:r>
        <w:rPr>
          <w:rFonts w:ascii="Calibri" w:hAnsi="Calibri" w:cs="Arial"/>
          <w:i/>
          <w:sz w:val="20"/>
          <w:szCs w:val="20"/>
        </w:rPr>
        <w:t>Right to D</w:t>
      </w:r>
      <w:r w:rsidRPr="006355CE">
        <w:rPr>
          <w:rFonts w:ascii="Calibri" w:hAnsi="Calibri" w:cs="Arial"/>
          <w:i/>
          <w:sz w:val="20"/>
          <w:szCs w:val="20"/>
        </w:rPr>
        <w:t>evelopment</w:t>
      </w:r>
      <w:r>
        <w:rPr>
          <w:rFonts w:ascii="Calibri" w:hAnsi="Calibri" w:cs="Arial"/>
          <w:sz w:val="20"/>
          <w:szCs w:val="20"/>
        </w:rPr>
        <w:t>.</w:t>
      </w:r>
      <w:bookmarkEnd w:id="1"/>
    </w:p>
    <w:p w14:paraId="075B11DA" w14:textId="4A96057A" w:rsidR="00EA76E2" w:rsidRPr="00DA536D" w:rsidRDefault="00DA536D" w:rsidP="00DA536D">
      <w:pPr>
        <w:pStyle w:val="ListParagraph"/>
        <w:numPr>
          <w:ilvl w:val="0"/>
          <w:numId w:val="7"/>
        </w:numPr>
        <w:jc w:val="both"/>
        <w:rPr>
          <w:rFonts w:ascii="Calibri" w:hAnsi="Calibri"/>
          <w:b/>
          <w:sz w:val="20"/>
          <w:szCs w:val="20"/>
        </w:rPr>
      </w:pPr>
      <w:r w:rsidRPr="00DA536D">
        <w:rPr>
          <w:rFonts w:ascii="Calibri" w:hAnsi="Calibri"/>
          <w:b/>
          <w:sz w:val="20"/>
          <w:szCs w:val="20"/>
        </w:rPr>
        <w:t>Inequality, and in particular rising and extreme economic inequality</w:t>
      </w:r>
      <w:r w:rsidR="006355CE">
        <w:rPr>
          <w:rFonts w:ascii="Calibri" w:hAnsi="Calibri"/>
          <w:b/>
          <w:sz w:val="20"/>
          <w:szCs w:val="20"/>
        </w:rPr>
        <w:t>,</w:t>
      </w:r>
      <w:r w:rsidRPr="00DA536D">
        <w:rPr>
          <w:rFonts w:ascii="Calibri" w:hAnsi="Calibri"/>
          <w:b/>
          <w:sz w:val="20"/>
          <w:szCs w:val="20"/>
        </w:rPr>
        <w:t xml:space="preserve"> is a threat to the implementation and achievement to the Right to Development.</w:t>
      </w:r>
    </w:p>
    <w:p w14:paraId="237E9B60" w14:textId="77777777" w:rsidR="00DA536D" w:rsidRPr="00DA536D" w:rsidRDefault="00DA536D" w:rsidP="00DA536D">
      <w:pPr>
        <w:pStyle w:val="ListParagraph"/>
        <w:ind w:left="360"/>
        <w:jc w:val="both"/>
        <w:rPr>
          <w:rFonts w:ascii="Calibri" w:hAnsi="Calibri"/>
          <w:b/>
          <w:sz w:val="20"/>
          <w:szCs w:val="20"/>
        </w:rPr>
      </w:pPr>
    </w:p>
    <w:p w14:paraId="1FCB796F" w14:textId="77777777" w:rsidR="00DA536D" w:rsidRPr="00DA536D" w:rsidRDefault="00DA536D" w:rsidP="00DA536D">
      <w:pPr>
        <w:pStyle w:val="ListParagraph"/>
        <w:numPr>
          <w:ilvl w:val="1"/>
          <w:numId w:val="7"/>
        </w:numPr>
        <w:suppressAutoHyphens/>
        <w:spacing w:after="0" w:line="240" w:lineRule="auto"/>
        <w:jc w:val="both"/>
        <w:rPr>
          <w:rFonts w:ascii="Calibri" w:eastAsia="Calibri" w:hAnsi="Calibri" w:cs="Calibri"/>
          <w:b/>
          <w:sz w:val="20"/>
          <w:szCs w:val="20"/>
        </w:rPr>
      </w:pPr>
      <w:r w:rsidRPr="00DA536D">
        <w:rPr>
          <w:rFonts w:ascii="Calibri" w:hAnsi="Calibri"/>
          <w:b/>
          <w:sz w:val="20"/>
          <w:szCs w:val="20"/>
        </w:rPr>
        <w:t xml:space="preserve">Extreme economic inequality is on the rise. </w:t>
      </w:r>
    </w:p>
    <w:p w14:paraId="5CBDC76A" w14:textId="26AFA0B9" w:rsidR="005C2BEE" w:rsidRPr="00DA536D" w:rsidRDefault="00D51ED6" w:rsidP="00DA536D">
      <w:pPr>
        <w:pStyle w:val="ListParagraph"/>
        <w:suppressAutoHyphens/>
        <w:spacing w:after="0" w:line="240" w:lineRule="auto"/>
        <w:ind w:left="360"/>
        <w:jc w:val="both"/>
        <w:rPr>
          <w:rFonts w:ascii="Calibri" w:eastAsia="Calibri" w:hAnsi="Calibri" w:cs="Calibri"/>
          <w:sz w:val="20"/>
          <w:szCs w:val="20"/>
        </w:rPr>
      </w:pPr>
      <w:r w:rsidRPr="00DA536D">
        <w:rPr>
          <w:rFonts w:ascii="Calibri" w:hAnsi="Calibri"/>
          <w:sz w:val="20"/>
          <w:szCs w:val="20"/>
        </w:rPr>
        <w:t>While global progress in extreme poverty reduction is undeniable, there is still 3.4 billion people worldwide subsisting on less than $5.50 a day, and even with double the current rates of economic growth, about 3.7 percent of the global population will be living in extreme poverty (on less than $1.90 a day) in 2030 unless inequality is reduced.</w:t>
      </w:r>
      <w:r w:rsidRPr="00DA536D">
        <w:rPr>
          <w:rStyle w:val="EndnoteAnchor"/>
          <w:rFonts w:ascii="Calibri" w:hAnsi="Calibri"/>
          <w:sz w:val="20"/>
          <w:szCs w:val="20"/>
        </w:rPr>
        <w:endnoteReference w:id="1"/>
      </w:r>
      <w:r w:rsidRPr="00DA536D">
        <w:rPr>
          <w:rFonts w:ascii="Calibri" w:hAnsi="Calibri"/>
          <w:sz w:val="20"/>
          <w:szCs w:val="20"/>
        </w:rPr>
        <w:t xml:space="preserve"> </w:t>
      </w:r>
      <w:r w:rsidR="005C2BEE" w:rsidRPr="00DA536D">
        <w:rPr>
          <w:rFonts w:ascii="Calibri" w:hAnsi="Calibri"/>
          <w:sz w:val="20"/>
          <w:szCs w:val="20"/>
        </w:rPr>
        <w:t>The pace of poverty reduction globally halved between 2013 and 2015, and the number of people living in extreme poverty in sub-Saharan Africa has been increasing.</w:t>
      </w:r>
      <w:r w:rsidR="005C2BEE" w:rsidRPr="00DA536D">
        <w:rPr>
          <w:rStyle w:val="EndnoteAnchor"/>
          <w:rFonts w:ascii="Calibri" w:hAnsi="Calibri"/>
          <w:sz w:val="20"/>
          <w:szCs w:val="20"/>
        </w:rPr>
        <w:endnoteReference w:id="2"/>
      </w:r>
      <w:r w:rsidR="005C2BEE" w:rsidRPr="00DA536D">
        <w:rPr>
          <w:rFonts w:ascii="Calibri" w:hAnsi="Calibri"/>
          <w:sz w:val="20"/>
          <w:szCs w:val="20"/>
        </w:rPr>
        <w:t xml:space="preserve"> This contrasts with the unfaltering wealth accumulation at the top: in 2018 alone, the wealth of the world’s 1,900 billionaires increased by $2.5bn a day.</w:t>
      </w:r>
      <w:r w:rsidR="005C2BEE" w:rsidRPr="00DA536D">
        <w:rPr>
          <w:rStyle w:val="EndnoteAnchor"/>
          <w:rFonts w:ascii="Calibri" w:hAnsi="Calibri"/>
          <w:sz w:val="20"/>
          <w:szCs w:val="20"/>
        </w:rPr>
        <w:endnoteReference w:id="3"/>
      </w:r>
      <w:r w:rsidR="005C2BEE" w:rsidRPr="00DA536D">
        <w:rPr>
          <w:rFonts w:ascii="Calibri" w:hAnsi="Calibri"/>
          <w:sz w:val="20"/>
          <w:szCs w:val="20"/>
        </w:rPr>
        <w:t xml:space="preserve"> The gap between the richest and the poorest people continues to widen: </w:t>
      </w:r>
      <w:r w:rsidR="005C2BEE" w:rsidRPr="00DA536D">
        <w:rPr>
          <w:rFonts w:ascii="Calibri" w:eastAsia="Calibri" w:hAnsi="Calibri"/>
          <w:sz w:val="20"/>
          <w:szCs w:val="20"/>
        </w:rPr>
        <w:t>between 1980 and 2016, the poorest 50 percent of humanity captured only 12 cents in every dollar of global income growth. By contrast, the top 1 percent captured 27 cents of every</w:t>
      </w:r>
      <w:r w:rsidR="005C2BEE" w:rsidRPr="00DA536D">
        <w:rPr>
          <w:rFonts w:ascii="Calibri" w:hAnsi="Calibri"/>
          <w:sz w:val="20"/>
          <w:szCs w:val="20"/>
          <w:shd w:val="clear" w:color="auto" w:fill="FFFFFF"/>
        </w:rPr>
        <w:t xml:space="preserve"> </w:t>
      </w:r>
      <w:r w:rsidR="005C2BEE" w:rsidRPr="00DA536D">
        <w:rPr>
          <w:rFonts w:ascii="Calibri" w:eastAsia="Calibri" w:hAnsi="Calibri"/>
          <w:sz w:val="20"/>
          <w:szCs w:val="20"/>
        </w:rPr>
        <w:t>dollar</w:t>
      </w:r>
      <w:r w:rsidR="005C2BEE" w:rsidRPr="00DA536D">
        <w:rPr>
          <w:rFonts w:ascii="Calibri" w:eastAsia="Calibri" w:hAnsi="Calibri" w:cs="Calibri"/>
          <w:sz w:val="20"/>
          <w:szCs w:val="20"/>
        </w:rPr>
        <w:t>.</w:t>
      </w:r>
      <w:r w:rsidR="005C2BEE" w:rsidRPr="00DA536D">
        <w:rPr>
          <w:rStyle w:val="EndnoteAnchor"/>
          <w:rFonts w:ascii="Calibri" w:eastAsia="Calibri" w:hAnsi="Calibri" w:cs="Calibri"/>
          <w:sz w:val="20"/>
          <w:szCs w:val="20"/>
        </w:rPr>
        <w:endnoteReference w:id="4"/>
      </w:r>
    </w:p>
    <w:p w14:paraId="3AB5B2D2" w14:textId="57A413BD" w:rsidR="00DA536D" w:rsidRPr="00DA536D" w:rsidRDefault="00DA536D" w:rsidP="00DA536D">
      <w:pPr>
        <w:suppressAutoHyphens/>
        <w:spacing w:after="0" w:line="240" w:lineRule="auto"/>
        <w:jc w:val="both"/>
        <w:rPr>
          <w:rFonts w:ascii="Calibri" w:eastAsia="Calibri" w:hAnsi="Calibri" w:cs="Calibri"/>
          <w:sz w:val="20"/>
          <w:szCs w:val="20"/>
        </w:rPr>
      </w:pPr>
    </w:p>
    <w:p w14:paraId="4812BD66" w14:textId="77777777" w:rsidR="00DA536D" w:rsidRPr="00DA536D" w:rsidRDefault="00DA536D" w:rsidP="00DA536D">
      <w:pPr>
        <w:pStyle w:val="ListParagraph"/>
        <w:numPr>
          <w:ilvl w:val="1"/>
          <w:numId w:val="7"/>
        </w:numPr>
        <w:suppressAutoHyphens/>
        <w:spacing w:after="0" w:line="240" w:lineRule="auto"/>
        <w:jc w:val="both"/>
        <w:rPr>
          <w:rFonts w:ascii="Calibri" w:hAnsi="Calibri"/>
          <w:b/>
          <w:sz w:val="20"/>
          <w:szCs w:val="20"/>
        </w:rPr>
      </w:pPr>
      <w:r w:rsidRPr="00DA536D">
        <w:rPr>
          <w:rFonts w:ascii="Calibri" w:hAnsi="Calibri"/>
          <w:b/>
          <w:sz w:val="20"/>
          <w:szCs w:val="20"/>
        </w:rPr>
        <w:t>We are not on track to achieve Goal 10 (reducing inequality between and within countries)</w:t>
      </w:r>
    </w:p>
    <w:p w14:paraId="705F5516" w14:textId="77777777" w:rsidR="00DA536D" w:rsidRPr="00DA536D" w:rsidRDefault="00093C10" w:rsidP="00DA536D">
      <w:pPr>
        <w:pStyle w:val="ListParagraph"/>
        <w:suppressAutoHyphens/>
        <w:spacing w:after="0" w:line="240" w:lineRule="auto"/>
        <w:ind w:left="360"/>
        <w:jc w:val="both"/>
        <w:rPr>
          <w:rFonts w:ascii="Calibri" w:eastAsia="Calibri" w:hAnsi="Calibri" w:cs="Calibri"/>
          <w:sz w:val="20"/>
          <w:szCs w:val="20"/>
        </w:rPr>
      </w:pPr>
      <w:r w:rsidRPr="00DA536D">
        <w:rPr>
          <w:rFonts w:ascii="Calibri" w:eastAsia="Times New Roman" w:hAnsi="Calibri" w:cs="Helvetica"/>
          <w:sz w:val="20"/>
          <w:szCs w:val="20"/>
          <w:lang w:eastAsia="en-GB"/>
        </w:rPr>
        <w:t xml:space="preserve">Available evidence shows poor performance globally in achieving Goal 10, with progress being undermined by some national and international economic policies which are leading to a race to the bottom in workers’ rights and in corporate taxation and too slow progress – when not a reverse, in providing </w:t>
      </w:r>
      <w:r w:rsidRPr="00DA536D">
        <w:rPr>
          <w:rFonts w:ascii="Calibri" w:eastAsia="Calibri" w:hAnsi="Calibri" w:cs="Calibri"/>
          <w:sz w:val="20"/>
          <w:szCs w:val="20"/>
        </w:rPr>
        <w:t>good quality universal, gender responsive public services free at the point of use and universal social protection.</w:t>
      </w:r>
    </w:p>
    <w:p w14:paraId="4D5C80D5" w14:textId="008EE51B" w:rsidR="00DA536D" w:rsidRPr="00DA536D" w:rsidRDefault="00093C10" w:rsidP="00DA536D">
      <w:pPr>
        <w:pStyle w:val="ListParagraph"/>
        <w:suppressAutoHyphens/>
        <w:spacing w:after="0" w:line="240" w:lineRule="auto"/>
        <w:ind w:left="360"/>
        <w:jc w:val="both"/>
        <w:rPr>
          <w:rFonts w:ascii="Calibri" w:hAnsi="Calibri"/>
          <w:sz w:val="20"/>
          <w:szCs w:val="20"/>
        </w:rPr>
      </w:pPr>
      <w:r w:rsidRPr="00DA536D">
        <w:rPr>
          <w:rFonts w:ascii="Calibri" w:eastAsia="Times New Roman" w:hAnsi="Calibri" w:cs="Helvetica"/>
          <w:sz w:val="20"/>
          <w:szCs w:val="20"/>
          <w:lang w:eastAsia="en-GB"/>
        </w:rPr>
        <w:t xml:space="preserve">Between countries inequality has been on a declining trend in </w:t>
      </w:r>
      <w:r w:rsidR="00C13270">
        <w:rPr>
          <w:rFonts w:ascii="Calibri" w:eastAsia="Times New Roman" w:hAnsi="Calibri" w:cs="Helvetica"/>
          <w:sz w:val="20"/>
          <w:szCs w:val="20"/>
          <w:lang w:eastAsia="en-GB"/>
        </w:rPr>
        <w:t>recent decades</w:t>
      </w:r>
      <w:r w:rsidR="00C13270">
        <w:rPr>
          <w:rStyle w:val="EndnoteReference"/>
          <w:rFonts w:ascii="Calibri" w:eastAsia="Times New Roman" w:hAnsi="Calibri" w:cs="Helvetica"/>
          <w:sz w:val="20"/>
          <w:szCs w:val="20"/>
          <w:lang w:eastAsia="en-GB"/>
        </w:rPr>
        <w:endnoteReference w:id="5"/>
      </w:r>
      <w:r w:rsidRPr="00DA536D">
        <w:rPr>
          <w:rFonts w:ascii="Calibri" w:eastAsia="Times New Roman" w:hAnsi="Calibri" w:cs="Helvetica"/>
          <w:sz w:val="20"/>
          <w:szCs w:val="20"/>
          <w:lang w:eastAsia="en-GB"/>
        </w:rPr>
        <w:t xml:space="preserve"> but it remains a powerful determinant of a person’s position in the global distribution: </w:t>
      </w:r>
      <w:r w:rsidRPr="00DA536D">
        <w:rPr>
          <w:rFonts w:ascii="Calibri" w:hAnsi="Calibri"/>
          <w:sz w:val="20"/>
          <w:szCs w:val="20"/>
        </w:rPr>
        <w:t xml:space="preserve">more than 50 per cent of </w:t>
      </w:r>
      <w:r w:rsidRPr="00DA536D">
        <w:rPr>
          <w:rFonts w:ascii="Calibri" w:eastAsia="Times New Roman" w:hAnsi="Calibri" w:cs="Helvetica"/>
          <w:sz w:val="20"/>
          <w:szCs w:val="20"/>
          <w:lang w:eastAsia="en-GB"/>
        </w:rPr>
        <w:t xml:space="preserve">one’s </w:t>
      </w:r>
      <w:r w:rsidRPr="00DA536D">
        <w:rPr>
          <w:rFonts w:ascii="Calibri" w:hAnsi="Calibri"/>
          <w:sz w:val="20"/>
          <w:szCs w:val="20"/>
        </w:rPr>
        <w:t>income depends on the average income of the country wher</w:t>
      </w:r>
      <w:r w:rsidR="008577EC">
        <w:rPr>
          <w:rFonts w:ascii="Calibri" w:hAnsi="Calibri"/>
          <w:sz w:val="20"/>
          <w:szCs w:val="20"/>
        </w:rPr>
        <w:t>e she was born</w:t>
      </w:r>
      <w:r w:rsidR="008577EC">
        <w:rPr>
          <w:rStyle w:val="EndnoteReference"/>
          <w:rFonts w:ascii="Calibri" w:hAnsi="Calibri"/>
          <w:sz w:val="20"/>
          <w:szCs w:val="20"/>
        </w:rPr>
        <w:endnoteReference w:id="6"/>
      </w:r>
      <w:r w:rsidRPr="00DA536D">
        <w:rPr>
          <w:rFonts w:ascii="Calibri" w:hAnsi="Calibri"/>
          <w:sz w:val="20"/>
          <w:szCs w:val="20"/>
        </w:rPr>
        <w:t>.</w:t>
      </w:r>
    </w:p>
    <w:p w14:paraId="74CF71B0" w14:textId="65604545" w:rsidR="00093C10" w:rsidRPr="00DA536D" w:rsidRDefault="00093C10" w:rsidP="00DA536D">
      <w:pPr>
        <w:pStyle w:val="ListParagraph"/>
        <w:suppressAutoHyphens/>
        <w:spacing w:after="0" w:line="240" w:lineRule="auto"/>
        <w:ind w:left="360"/>
        <w:jc w:val="both"/>
        <w:rPr>
          <w:rFonts w:ascii="Calibri" w:hAnsi="Calibri"/>
          <w:b/>
          <w:sz w:val="20"/>
          <w:szCs w:val="20"/>
        </w:rPr>
      </w:pPr>
      <w:r w:rsidRPr="00DA536D">
        <w:rPr>
          <w:rFonts w:ascii="Calibri" w:eastAsia="Times New Roman" w:hAnsi="Calibri" w:cs="Helvetica"/>
          <w:sz w:val="20"/>
          <w:szCs w:val="20"/>
          <w:lang w:eastAsia="en-GB"/>
        </w:rPr>
        <w:t>Global progress in Goal 10 as measured by Target 10.1 [</w:t>
      </w:r>
      <w:r w:rsidRPr="00DA536D">
        <w:rPr>
          <w:rFonts w:ascii="Calibri" w:eastAsia="Times New Roman" w:hAnsi="Calibri" w:cs="Helvetica"/>
          <w:i/>
          <w:sz w:val="20"/>
          <w:szCs w:val="20"/>
          <w:lang w:eastAsia="en-GB"/>
        </w:rPr>
        <w:t>by 2030, progressively achieve and sustain income growth of the bottom 40 per cent of the population at a rate higher than the national average</w:t>
      </w:r>
      <w:r w:rsidRPr="00DA536D">
        <w:rPr>
          <w:rFonts w:ascii="Calibri" w:eastAsia="Times New Roman" w:hAnsi="Calibri" w:cs="Helvetica"/>
          <w:sz w:val="20"/>
          <w:szCs w:val="20"/>
          <w:lang w:eastAsia="en-GB"/>
        </w:rPr>
        <w:t>] has been weak. Accord</w:t>
      </w:r>
      <w:r w:rsidR="008577EC">
        <w:rPr>
          <w:rFonts w:ascii="Calibri" w:eastAsia="Times New Roman" w:hAnsi="Calibri" w:cs="Helvetica"/>
          <w:sz w:val="20"/>
          <w:szCs w:val="20"/>
          <w:lang w:eastAsia="en-GB"/>
        </w:rPr>
        <w:t>ing to the World Bank</w:t>
      </w:r>
      <w:r w:rsidRPr="00DA536D">
        <w:rPr>
          <w:rFonts w:ascii="Calibri" w:eastAsia="Times New Roman" w:hAnsi="Calibri" w:cs="Helvetica"/>
          <w:sz w:val="20"/>
          <w:szCs w:val="20"/>
          <w:lang w:eastAsia="en-GB"/>
        </w:rPr>
        <w:t>,</w:t>
      </w:r>
      <w:r w:rsidR="008577EC">
        <w:rPr>
          <w:rStyle w:val="EndnoteReference"/>
          <w:rFonts w:ascii="Calibri" w:eastAsia="Times New Roman" w:hAnsi="Calibri" w:cs="Helvetica"/>
          <w:sz w:val="20"/>
          <w:szCs w:val="20"/>
          <w:lang w:eastAsia="en-GB"/>
        </w:rPr>
        <w:endnoteReference w:id="7"/>
      </w:r>
      <w:r w:rsidRPr="00DA536D">
        <w:rPr>
          <w:rFonts w:ascii="Calibri" w:eastAsia="Times New Roman" w:hAnsi="Calibri" w:cs="Helvetica"/>
          <w:sz w:val="20"/>
          <w:szCs w:val="20"/>
          <w:lang w:eastAsia="en-GB"/>
        </w:rPr>
        <w:t xml:space="preserve"> for 91 countries with available data, in only 51 was growth of income or consumption of the bottom 40 faster than the average (between 2010-2015 circa) and in most cases only marginally so. In all others, growth was slower for the bottom 40 percent, suggesting a worsening in the distribution. Data are available for only a quarter of low-income economies, for example only 12 of 45 Sub-</w:t>
      </w:r>
      <w:r w:rsidRPr="00DA536D">
        <w:rPr>
          <w:rFonts w:ascii="Calibri" w:eastAsia="Times New Roman" w:hAnsi="Calibri" w:cs="Helvetica"/>
          <w:sz w:val="20"/>
          <w:szCs w:val="20"/>
          <w:lang w:eastAsia="en-GB"/>
        </w:rPr>
        <w:lastRenderedPageBreak/>
        <w:t xml:space="preserve">Saharan countries are included, and neither are India and Nigeria, which host the majority of people living in extreme poverty. This means that we know little about progress in the very bottom of the distribution. In addition, existing evidence shows that the absolute income gap between </w:t>
      </w:r>
      <w:r w:rsidRPr="00DA536D">
        <w:rPr>
          <w:rFonts w:ascii="Calibri" w:hAnsi="Calibri"/>
          <w:sz w:val="20"/>
          <w:szCs w:val="20"/>
        </w:rPr>
        <w:t>people in the poorest 20% of the global population (the P20)</w:t>
      </w:r>
      <w:bookmarkStart w:id="2" w:name="_Hlk535234417"/>
      <w:r w:rsidRPr="00DA536D">
        <w:rPr>
          <w:rFonts w:ascii="Calibri" w:hAnsi="Calibri"/>
          <w:sz w:val="20"/>
          <w:szCs w:val="20"/>
        </w:rPr>
        <w:t xml:space="preserve"> and the rest of the world’s population is growing and is on track to continue to widen</w:t>
      </w:r>
      <w:bookmarkEnd w:id="2"/>
      <w:r w:rsidRPr="00DA536D">
        <w:rPr>
          <w:rFonts w:ascii="Calibri" w:hAnsi="Calibri"/>
          <w:sz w:val="20"/>
          <w:szCs w:val="20"/>
        </w:rPr>
        <w:t>.</w:t>
      </w:r>
      <w:r w:rsidR="008577EC">
        <w:rPr>
          <w:rStyle w:val="EndnoteReference"/>
          <w:rFonts w:ascii="Calibri" w:hAnsi="Calibri"/>
          <w:sz w:val="20"/>
          <w:szCs w:val="20"/>
        </w:rPr>
        <w:endnoteReference w:id="8"/>
      </w:r>
      <w:r w:rsidRPr="00DA536D">
        <w:rPr>
          <w:rFonts w:ascii="Calibri" w:hAnsi="Calibri"/>
          <w:sz w:val="20"/>
          <w:szCs w:val="20"/>
        </w:rPr>
        <w:t xml:space="preserve"> </w:t>
      </w:r>
    </w:p>
    <w:p w14:paraId="63A207DE" w14:textId="17CD4CF7" w:rsidR="00062439" w:rsidRPr="00DA536D" w:rsidRDefault="00062439" w:rsidP="00DA536D">
      <w:pPr>
        <w:pStyle w:val="text"/>
        <w:spacing w:before="0"/>
        <w:jc w:val="both"/>
        <w:rPr>
          <w:rFonts w:ascii="Calibri" w:hAnsi="Calibri"/>
          <w:color w:val="auto"/>
          <w:szCs w:val="20"/>
        </w:rPr>
      </w:pPr>
    </w:p>
    <w:p w14:paraId="009B1135" w14:textId="17242AD8" w:rsidR="00165EED" w:rsidRPr="00DA536D" w:rsidRDefault="00165EED" w:rsidP="00DA536D">
      <w:pPr>
        <w:pStyle w:val="ListParagraph"/>
        <w:numPr>
          <w:ilvl w:val="1"/>
          <w:numId w:val="7"/>
        </w:numPr>
        <w:suppressAutoHyphens/>
        <w:spacing w:after="0" w:line="240" w:lineRule="auto"/>
        <w:jc w:val="both"/>
        <w:rPr>
          <w:rFonts w:ascii="Calibri" w:hAnsi="Calibri"/>
          <w:b/>
          <w:sz w:val="20"/>
          <w:szCs w:val="20"/>
        </w:rPr>
      </w:pPr>
      <w:bookmarkStart w:id="3" w:name="_Hlk7448039"/>
      <w:r w:rsidRPr="00DA536D">
        <w:rPr>
          <w:rFonts w:ascii="Calibri" w:hAnsi="Calibri"/>
          <w:b/>
          <w:sz w:val="20"/>
          <w:szCs w:val="20"/>
        </w:rPr>
        <w:t>Besides undermining poverty reduction, inequality is also bad for economic growth,</w:t>
      </w:r>
      <w:r w:rsidRPr="001075C8">
        <w:rPr>
          <w:rFonts w:ascii="Calibri" w:hAnsi="Calibri"/>
          <w:b/>
          <w:sz w:val="20"/>
          <w:szCs w:val="20"/>
          <w:vertAlign w:val="superscript"/>
        </w:rPr>
        <w:endnoteReference w:id="9"/>
      </w:r>
      <w:r w:rsidRPr="00DA536D">
        <w:rPr>
          <w:rFonts w:ascii="Calibri" w:hAnsi="Calibri"/>
          <w:b/>
          <w:sz w:val="20"/>
          <w:szCs w:val="20"/>
        </w:rPr>
        <w:t xml:space="preserve"> undermines a country’s social contract, fosters instability and violence and hampers progress in a number of other areas, especially health.</w:t>
      </w:r>
      <w:r w:rsidRPr="00AA493C">
        <w:rPr>
          <w:b/>
          <w:vertAlign w:val="superscript"/>
        </w:rPr>
        <w:endnoteReference w:id="10"/>
      </w:r>
    </w:p>
    <w:p w14:paraId="3F322BFD" w14:textId="77777777" w:rsidR="00165EED" w:rsidRPr="00DA536D" w:rsidRDefault="00165EED" w:rsidP="00DA536D">
      <w:pPr>
        <w:pStyle w:val="text"/>
        <w:spacing w:before="0"/>
        <w:jc w:val="both"/>
        <w:rPr>
          <w:rFonts w:ascii="Calibri" w:hAnsi="Calibri"/>
          <w:color w:val="auto"/>
          <w:szCs w:val="20"/>
        </w:rPr>
      </w:pPr>
    </w:p>
    <w:p w14:paraId="0C257701" w14:textId="2AFD3FDC" w:rsidR="00AA493C" w:rsidRDefault="00D51ED6" w:rsidP="00AA493C">
      <w:pPr>
        <w:pStyle w:val="ListParagraph"/>
        <w:numPr>
          <w:ilvl w:val="1"/>
          <w:numId w:val="7"/>
        </w:numPr>
        <w:suppressAutoHyphens/>
        <w:spacing w:after="0" w:line="240" w:lineRule="auto"/>
        <w:jc w:val="both"/>
        <w:rPr>
          <w:rFonts w:ascii="Calibri" w:hAnsi="Calibri"/>
          <w:b/>
          <w:sz w:val="20"/>
          <w:szCs w:val="20"/>
        </w:rPr>
      </w:pPr>
      <w:r w:rsidRPr="00AA493C">
        <w:rPr>
          <w:rFonts w:ascii="Calibri" w:hAnsi="Calibri"/>
          <w:b/>
          <w:sz w:val="20"/>
          <w:szCs w:val="20"/>
        </w:rPr>
        <w:t>Extreme economic inequality is undermining our ability to cope with the big challenges of the 21st</w:t>
      </w:r>
      <w:r w:rsidR="00AA493C">
        <w:rPr>
          <w:rFonts w:ascii="Calibri" w:hAnsi="Calibri"/>
          <w:b/>
          <w:sz w:val="20"/>
          <w:szCs w:val="20"/>
        </w:rPr>
        <w:t xml:space="preserve"> century.</w:t>
      </w:r>
    </w:p>
    <w:bookmarkEnd w:id="3"/>
    <w:p w14:paraId="14530AA7" w14:textId="77777777" w:rsidR="00AA493C" w:rsidRPr="00AA493C" w:rsidRDefault="00AA493C" w:rsidP="00AA493C">
      <w:pPr>
        <w:pStyle w:val="ListParagraph"/>
        <w:rPr>
          <w:rFonts w:ascii="Calibri" w:hAnsi="Calibri"/>
          <w:b/>
          <w:sz w:val="20"/>
          <w:szCs w:val="20"/>
        </w:rPr>
      </w:pPr>
    </w:p>
    <w:p w14:paraId="4C71E3C5" w14:textId="77777777" w:rsidR="00AA493C" w:rsidRPr="00AA493C" w:rsidRDefault="00734FC8" w:rsidP="00AA493C">
      <w:pPr>
        <w:pStyle w:val="ListParagraph"/>
        <w:numPr>
          <w:ilvl w:val="2"/>
          <w:numId w:val="9"/>
        </w:numPr>
        <w:suppressAutoHyphens/>
        <w:spacing w:after="0" w:line="240" w:lineRule="auto"/>
        <w:jc w:val="both"/>
        <w:rPr>
          <w:rFonts w:ascii="Calibri" w:hAnsi="Calibri"/>
          <w:b/>
          <w:sz w:val="20"/>
          <w:szCs w:val="20"/>
        </w:rPr>
      </w:pPr>
      <w:r w:rsidRPr="00E5476E">
        <w:rPr>
          <w:rFonts w:ascii="Calibri" w:hAnsi="Calibri"/>
          <w:b/>
          <w:sz w:val="20"/>
          <w:szCs w:val="20"/>
        </w:rPr>
        <w:t>T</w:t>
      </w:r>
      <w:r w:rsidR="00D51ED6" w:rsidRPr="00E5476E">
        <w:rPr>
          <w:rFonts w:ascii="Calibri" w:hAnsi="Calibri"/>
          <w:b/>
          <w:sz w:val="20"/>
          <w:szCs w:val="20"/>
        </w:rPr>
        <w:t>he gender equality challenge</w:t>
      </w:r>
      <w:r w:rsidR="00AA493C" w:rsidRPr="00E5476E">
        <w:rPr>
          <w:rFonts w:ascii="Calibri" w:hAnsi="Calibri"/>
          <w:b/>
          <w:sz w:val="20"/>
          <w:szCs w:val="20"/>
        </w:rPr>
        <w:t>,</w:t>
      </w:r>
      <w:r w:rsidR="00D51ED6" w:rsidRPr="00E5476E">
        <w:rPr>
          <w:rFonts w:ascii="Calibri" w:hAnsi="Calibri"/>
          <w:b/>
          <w:sz w:val="20"/>
          <w:szCs w:val="20"/>
        </w:rPr>
        <w:t xml:space="preserve"> as there will be no solution to poverty without gender equality, and there will be no gender equality without a fairer and more equal economic system</w:t>
      </w:r>
      <w:r w:rsidRPr="00AA493C">
        <w:rPr>
          <w:rFonts w:ascii="Calibri" w:hAnsi="Calibri"/>
          <w:sz w:val="20"/>
          <w:szCs w:val="20"/>
        </w:rPr>
        <w:t xml:space="preserve">. </w:t>
      </w:r>
    </w:p>
    <w:p w14:paraId="6E3555E5" w14:textId="10E63CCB" w:rsidR="00734FC8" w:rsidRPr="00AA493C" w:rsidRDefault="00734FC8" w:rsidP="00AA493C">
      <w:pPr>
        <w:pStyle w:val="ListParagraph"/>
        <w:suppressAutoHyphens/>
        <w:spacing w:after="0" w:line="240" w:lineRule="auto"/>
        <w:ind w:left="1080"/>
        <w:jc w:val="both"/>
        <w:rPr>
          <w:rFonts w:ascii="Calibri" w:hAnsi="Calibri"/>
          <w:b/>
          <w:sz w:val="20"/>
          <w:szCs w:val="20"/>
        </w:rPr>
      </w:pPr>
      <w:r w:rsidRPr="00AA493C">
        <w:rPr>
          <w:rFonts w:ascii="Calibri" w:hAnsi="Calibri"/>
          <w:sz w:val="20"/>
          <w:szCs w:val="20"/>
        </w:rPr>
        <w:t>Persistent gender economic inequality is a major drawback to reducing economic inequality and achieving Goal10. The world over, women are more likely to be poorer than men while the richest people in th</w:t>
      </w:r>
      <w:r w:rsidR="008577EC">
        <w:rPr>
          <w:rFonts w:ascii="Calibri" w:hAnsi="Calibri"/>
          <w:sz w:val="20"/>
          <w:szCs w:val="20"/>
        </w:rPr>
        <w:t>e world are overwhelmingly men.</w:t>
      </w:r>
      <w:r w:rsidR="008577EC">
        <w:rPr>
          <w:rStyle w:val="EndnoteReference"/>
          <w:rFonts w:ascii="Calibri" w:hAnsi="Calibri"/>
          <w:sz w:val="20"/>
          <w:szCs w:val="20"/>
        </w:rPr>
        <w:endnoteReference w:id="11"/>
      </w:r>
      <w:r w:rsidR="008577EC">
        <w:rPr>
          <w:rFonts w:ascii="Calibri" w:hAnsi="Calibri"/>
          <w:sz w:val="20"/>
          <w:szCs w:val="20"/>
        </w:rPr>
        <w:t xml:space="preserve"> </w:t>
      </w:r>
      <w:r w:rsidRPr="00AA493C">
        <w:rPr>
          <w:rFonts w:ascii="Calibri" w:hAnsi="Calibri"/>
          <w:sz w:val="20"/>
          <w:szCs w:val="20"/>
        </w:rPr>
        <w:t>They work consistently longer hours than men when paid and unpaid work is combined, earn less than men and are concentrated in the lowest-paid and least secure forms of work.</w:t>
      </w:r>
      <w:r w:rsidRPr="00AA493C">
        <w:rPr>
          <w:rFonts w:ascii="Calibri" w:hAnsi="Calibri"/>
          <w:bCs/>
          <w:sz w:val="20"/>
          <w:szCs w:val="20"/>
        </w:rPr>
        <w:t xml:space="preserve"> Many emerging and developing economies – as well as developed ones – are pursuing development paths that prioritise cheap and precarious work, the majority of which is done by women. </w:t>
      </w:r>
      <w:r w:rsidRPr="00AA493C">
        <w:rPr>
          <w:rFonts w:ascii="Calibri" w:hAnsi="Calibri"/>
          <w:sz w:val="20"/>
          <w:szCs w:val="20"/>
        </w:rPr>
        <w:t>Growth everywhere is made possible by the unpaid care work of women, which is worth an estimated $10</w:t>
      </w:r>
      <w:r w:rsidR="008577EC">
        <w:rPr>
          <w:rFonts w:ascii="Calibri" w:hAnsi="Calibri"/>
          <w:sz w:val="20"/>
          <w:szCs w:val="20"/>
        </w:rPr>
        <w:t xml:space="preserve"> trillion per year</w:t>
      </w:r>
      <w:r w:rsidR="008577EC">
        <w:rPr>
          <w:rStyle w:val="EndnoteReference"/>
          <w:rFonts w:ascii="Calibri" w:hAnsi="Calibri"/>
          <w:sz w:val="20"/>
          <w:szCs w:val="20"/>
        </w:rPr>
        <w:endnoteReference w:id="12"/>
      </w:r>
      <w:r w:rsidRPr="00AA493C">
        <w:rPr>
          <w:rFonts w:ascii="Calibri" w:hAnsi="Calibri"/>
          <w:sz w:val="20"/>
          <w:szCs w:val="20"/>
        </w:rPr>
        <w:t xml:space="preserve"> and yet </w:t>
      </w:r>
      <w:r w:rsidRPr="00AA493C">
        <w:rPr>
          <w:rFonts w:ascii="Calibri" w:hAnsi="Calibri"/>
          <w:bCs/>
          <w:sz w:val="20"/>
          <w:szCs w:val="20"/>
        </w:rPr>
        <w:t xml:space="preserve">still fails to be recognised and valued for its contribution to the economy. Simultaneously the amount of unpaid work is increasing as a result of policies which have undermined investment in infrastructure and public services such as education, healthcare and </w:t>
      </w:r>
      <w:r w:rsidR="008577EC">
        <w:rPr>
          <w:rFonts w:ascii="Calibri" w:hAnsi="Calibri"/>
          <w:bCs/>
          <w:sz w:val="20"/>
          <w:szCs w:val="20"/>
        </w:rPr>
        <w:t>social protection</w:t>
      </w:r>
      <w:r w:rsidRPr="00AA493C">
        <w:rPr>
          <w:rFonts w:ascii="Calibri" w:hAnsi="Calibri"/>
          <w:bCs/>
          <w:sz w:val="20"/>
          <w:szCs w:val="20"/>
        </w:rPr>
        <w:t>.</w:t>
      </w:r>
      <w:r w:rsidR="008577EC">
        <w:rPr>
          <w:rStyle w:val="EndnoteReference"/>
          <w:rFonts w:ascii="Calibri" w:hAnsi="Calibri"/>
          <w:bCs/>
          <w:sz w:val="20"/>
          <w:szCs w:val="20"/>
        </w:rPr>
        <w:endnoteReference w:id="13"/>
      </w:r>
      <w:r w:rsidR="00DD3118" w:rsidRPr="00AA493C">
        <w:rPr>
          <w:rFonts w:ascii="Calibri" w:hAnsi="Calibri"/>
          <w:bCs/>
          <w:sz w:val="20"/>
          <w:szCs w:val="20"/>
        </w:rPr>
        <w:t xml:space="preserve"> </w:t>
      </w:r>
      <w:r w:rsidRPr="00AA493C">
        <w:rPr>
          <w:rFonts w:ascii="Calibri" w:hAnsi="Calibri"/>
          <w:sz w:val="20"/>
          <w:szCs w:val="20"/>
        </w:rPr>
        <w:t>Less understood but equally alarming is the gender wealth gap, which along with earnings includes assets, savings and investments. Most of the world’s richest people are men.</w:t>
      </w:r>
      <w:r w:rsidR="008577EC">
        <w:rPr>
          <w:rStyle w:val="EndnoteReference"/>
          <w:rFonts w:ascii="Calibri" w:hAnsi="Calibri"/>
          <w:sz w:val="20"/>
          <w:szCs w:val="20"/>
        </w:rPr>
        <w:endnoteReference w:id="14"/>
      </w:r>
      <w:r w:rsidRPr="00AA493C">
        <w:rPr>
          <w:rFonts w:ascii="Calibri" w:hAnsi="Calibri"/>
          <w:sz w:val="20"/>
          <w:szCs w:val="20"/>
        </w:rPr>
        <w:t xml:space="preserve"> Globally, women earn 23</w:t>
      </w:r>
      <w:r w:rsidR="008577EC">
        <w:rPr>
          <w:rFonts w:ascii="Calibri" w:hAnsi="Calibri"/>
          <w:sz w:val="20"/>
          <w:szCs w:val="20"/>
        </w:rPr>
        <w:t>% less than men</w:t>
      </w:r>
      <w:r w:rsidRPr="00AA493C">
        <w:rPr>
          <w:rFonts w:ascii="Calibri" w:hAnsi="Calibri"/>
          <w:sz w:val="20"/>
          <w:szCs w:val="20"/>
        </w:rPr>
        <w:t>.</w:t>
      </w:r>
      <w:r w:rsidR="008577EC">
        <w:rPr>
          <w:rStyle w:val="EndnoteReference"/>
          <w:rFonts w:ascii="Calibri" w:hAnsi="Calibri"/>
          <w:sz w:val="20"/>
          <w:szCs w:val="20"/>
        </w:rPr>
        <w:endnoteReference w:id="15"/>
      </w:r>
      <w:r w:rsidRPr="00AA493C">
        <w:rPr>
          <w:rFonts w:ascii="Calibri" w:hAnsi="Calibri"/>
          <w:sz w:val="20"/>
          <w:szCs w:val="20"/>
        </w:rPr>
        <w:t xml:space="preserve">  This gender pay gap is raising serious concern worldwide. Credit Suisse has this year estimated women’s share of global wealth at 40%</w:t>
      </w:r>
      <w:r w:rsidR="00DD3118" w:rsidRPr="00AA493C">
        <w:rPr>
          <w:rFonts w:ascii="Calibri" w:hAnsi="Calibri"/>
          <w:sz w:val="20"/>
          <w:szCs w:val="20"/>
        </w:rPr>
        <w:t>,</w:t>
      </w:r>
      <w:r w:rsidRPr="00AA493C">
        <w:rPr>
          <w:rFonts w:ascii="Calibri" w:hAnsi="Calibri"/>
          <w:sz w:val="20"/>
          <w:szCs w:val="20"/>
        </w:rPr>
        <w:t xml:space="preserve"> but with very significant differences regionally and for different groups of women. For example, in Africa and in countries like India, Pakistan and Bangladesh, women account for somewhere b</w:t>
      </w:r>
      <w:r w:rsidR="008577EC">
        <w:rPr>
          <w:rFonts w:ascii="Calibri" w:hAnsi="Calibri"/>
          <w:sz w:val="20"/>
          <w:szCs w:val="20"/>
        </w:rPr>
        <w:t>etween 20–30% of wealth</w:t>
      </w:r>
      <w:r w:rsidRPr="00AA493C">
        <w:rPr>
          <w:rFonts w:ascii="Calibri" w:hAnsi="Calibri"/>
          <w:sz w:val="20"/>
          <w:szCs w:val="20"/>
        </w:rPr>
        <w:t>.</w:t>
      </w:r>
      <w:r w:rsidR="008577EC">
        <w:rPr>
          <w:rStyle w:val="EndnoteReference"/>
          <w:rFonts w:ascii="Calibri" w:hAnsi="Calibri"/>
          <w:sz w:val="20"/>
          <w:szCs w:val="20"/>
        </w:rPr>
        <w:endnoteReference w:id="16"/>
      </w:r>
    </w:p>
    <w:p w14:paraId="65B5E559" w14:textId="77777777" w:rsidR="00F81F71" w:rsidRPr="00DA536D" w:rsidRDefault="00F81F71" w:rsidP="00DA536D">
      <w:pPr>
        <w:pStyle w:val="ListParagraph"/>
        <w:spacing w:after="0" w:line="240" w:lineRule="auto"/>
        <w:ind w:left="360"/>
        <w:jc w:val="both"/>
        <w:rPr>
          <w:rFonts w:ascii="Calibri" w:hAnsi="Calibri"/>
          <w:bCs/>
          <w:sz w:val="20"/>
          <w:szCs w:val="20"/>
        </w:rPr>
      </w:pPr>
    </w:p>
    <w:p w14:paraId="01127D80" w14:textId="77777777" w:rsidR="00AA493C" w:rsidRDefault="00DD3118" w:rsidP="00AA493C">
      <w:pPr>
        <w:pStyle w:val="ListParagraph"/>
        <w:numPr>
          <w:ilvl w:val="2"/>
          <w:numId w:val="9"/>
        </w:numPr>
        <w:suppressAutoHyphens/>
        <w:spacing w:after="0" w:line="240" w:lineRule="auto"/>
        <w:jc w:val="both"/>
        <w:rPr>
          <w:rFonts w:ascii="Calibri" w:hAnsi="Calibri"/>
          <w:b/>
          <w:sz w:val="20"/>
          <w:szCs w:val="20"/>
        </w:rPr>
      </w:pPr>
      <w:bookmarkStart w:id="4" w:name="_Hlk7448178"/>
      <w:r w:rsidRPr="00DA536D">
        <w:rPr>
          <w:rFonts w:ascii="Calibri" w:hAnsi="Calibri"/>
          <w:b/>
          <w:sz w:val="20"/>
          <w:szCs w:val="20"/>
        </w:rPr>
        <w:t>T</w:t>
      </w:r>
      <w:r w:rsidR="00D51ED6" w:rsidRPr="00DA536D">
        <w:rPr>
          <w:rFonts w:ascii="Calibri" w:hAnsi="Calibri"/>
          <w:b/>
          <w:sz w:val="20"/>
          <w:szCs w:val="20"/>
        </w:rPr>
        <w:t>he climate change challenge</w:t>
      </w:r>
      <w:r w:rsidRPr="00DA536D">
        <w:rPr>
          <w:rFonts w:ascii="Calibri" w:hAnsi="Calibri"/>
          <w:b/>
          <w:sz w:val="20"/>
          <w:szCs w:val="20"/>
        </w:rPr>
        <w:t>,</w:t>
      </w:r>
      <w:r w:rsidR="00D51ED6" w:rsidRPr="00AA493C">
        <w:rPr>
          <w:rFonts w:ascii="Calibri" w:hAnsi="Calibri"/>
          <w:b/>
          <w:sz w:val="20"/>
          <w:szCs w:val="20"/>
        </w:rPr>
        <w:t xml:space="preserve"> as the growth model that has led to the explosion of economic inequality is also environmentally unsustainable, and climate change most impacts the poores</w:t>
      </w:r>
      <w:r w:rsidRPr="00AA493C">
        <w:rPr>
          <w:rFonts w:ascii="Calibri" w:hAnsi="Calibri"/>
          <w:b/>
          <w:sz w:val="20"/>
          <w:szCs w:val="20"/>
        </w:rPr>
        <w:t>t.</w:t>
      </w:r>
    </w:p>
    <w:bookmarkEnd w:id="4"/>
    <w:p w14:paraId="31D09BFE" w14:textId="77777777" w:rsidR="00AA493C" w:rsidRDefault="00AB31B7" w:rsidP="00AA493C">
      <w:pPr>
        <w:pStyle w:val="ListParagraph"/>
        <w:suppressAutoHyphens/>
        <w:spacing w:after="0" w:line="240" w:lineRule="auto"/>
        <w:ind w:left="1080"/>
        <w:jc w:val="both"/>
        <w:rPr>
          <w:rFonts w:ascii="Calibri" w:hAnsi="Calibri"/>
          <w:sz w:val="20"/>
          <w:szCs w:val="20"/>
        </w:rPr>
      </w:pPr>
      <w:r w:rsidRPr="00AA493C">
        <w:rPr>
          <w:rFonts w:ascii="Calibri" w:hAnsi="Calibri"/>
          <w:sz w:val="20"/>
          <w:szCs w:val="20"/>
        </w:rPr>
        <w:t>It is the emissions of the ‘haves’ which are driving a crisis that is hitting the ‘have nots’ the hardest. Poor people are the most vulnerable to climate change, but the poorest half of the global population is responsible for only around 10 percent of total global emissions, while the richest 10 percent are responsible for around 50 percent.</w:t>
      </w:r>
      <w:r w:rsidRPr="00DA536D">
        <w:rPr>
          <w:rStyle w:val="EndnoteAnchor"/>
          <w:rFonts w:ascii="Calibri" w:hAnsi="Calibri"/>
          <w:sz w:val="20"/>
          <w:szCs w:val="20"/>
        </w:rPr>
        <w:endnoteReference w:id="17"/>
      </w:r>
      <w:r w:rsidRPr="00AA493C">
        <w:rPr>
          <w:rFonts w:ascii="Calibri" w:hAnsi="Calibri"/>
          <w:sz w:val="20"/>
          <w:szCs w:val="20"/>
        </w:rPr>
        <w:t xml:space="preserve"> </w:t>
      </w:r>
    </w:p>
    <w:p w14:paraId="695ECD5A" w14:textId="77777777" w:rsidR="00435C99" w:rsidRDefault="00AB31B7" w:rsidP="00435C99">
      <w:pPr>
        <w:pStyle w:val="ListParagraph"/>
        <w:suppressAutoHyphens/>
        <w:spacing w:after="0" w:line="240" w:lineRule="auto"/>
        <w:ind w:left="1080"/>
        <w:jc w:val="both"/>
        <w:rPr>
          <w:rFonts w:ascii="Calibri" w:hAnsi="Calibri"/>
          <w:sz w:val="20"/>
          <w:szCs w:val="20"/>
        </w:rPr>
      </w:pPr>
      <w:r w:rsidRPr="00DA536D">
        <w:rPr>
          <w:rFonts w:ascii="Calibri" w:hAnsi="Calibri"/>
          <w:sz w:val="20"/>
          <w:szCs w:val="20"/>
        </w:rPr>
        <w:t>Inequality and climate change reinforce each other. The policies needed to reduce and adapt to climate change demand collective action and decision making for the greater good, which are difficult to achieve in very unequal societies,</w:t>
      </w:r>
      <w:r w:rsidRPr="00DA536D">
        <w:rPr>
          <w:rStyle w:val="EndnoteAnchor"/>
          <w:rFonts w:ascii="Calibri" w:hAnsi="Calibri"/>
          <w:sz w:val="20"/>
          <w:szCs w:val="20"/>
        </w:rPr>
        <w:endnoteReference w:id="18"/>
      </w:r>
      <w:r w:rsidRPr="00DA536D">
        <w:rPr>
          <w:rFonts w:ascii="Calibri" w:hAnsi="Calibri"/>
          <w:sz w:val="20"/>
          <w:szCs w:val="20"/>
        </w:rPr>
        <w:t xml:space="preserve"> where those who are most affected have less influence on decision making on climate policies than those who have vested interests in the economic status quo yet are most insulated from its impacts. At the same time, highly unequal power over decision making is more likely to result in climate change ‘solutions’ where the costs and benefits are not fairly shared.</w:t>
      </w:r>
      <w:r w:rsidRPr="00DA536D">
        <w:rPr>
          <w:rStyle w:val="EndnoteAnchor"/>
          <w:rFonts w:ascii="Calibri" w:hAnsi="Calibri"/>
          <w:sz w:val="20"/>
          <w:szCs w:val="20"/>
        </w:rPr>
        <w:endnoteReference w:id="19"/>
      </w:r>
      <w:r w:rsidRPr="00DA536D">
        <w:rPr>
          <w:rFonts w:ascii="Calibri" w:hAnsi="Calibri"/>
          <w:sz w:val="20"/>
          <w:szCs w:val="20"/>
          <w:vertAlign w:val="superscript"/>
        </w:rPr>
        <w:t xml:space="preserve"> </w:t>
      </w:r>
      <w:r w:rsidRPr="00DA536D">
        <w:rPr>
          <w:rFonts w:ascii="Calibri" w:hAnsi="Calibri"/>
          <w:sz w:val="20"/>
          <w:szCs w:val="20"/>
        </w:rPr>
        <w:t>Without public policies and investment to make carbon taxes progressive and to make electric cars, energy-efficient homes, solar panels, and other alternative sources of low-cost, renewable energy for rural households affordable by all, the costs and benefits will favour the wealthy while penalizing the poor.</w:t>
      </w:r>
    </w:p>
    <w:p w14:paraId="09E5196F" w14:textId="77777777" w:rsidR="00435C99" w:rsidRDefault="00435C99" w:rsidP="00435C99">
      <w:pPr>
        <w:pStyle w:val="ListParagraph"/>
        <w:suppressAutoHyphens/>
        <w:spacing w:after="0" w:line="240" w:lineRule="auto"/>
        <w:ind w:left="1080"/>
        <w:jc w:val="both"/>
        <w:rPr>
          <w:rFonts w:ascii="Calibri" w:hAnsi="Calibri"/>
          <w:sz w:val="20"/>
          <w:szCs w:val="20"/>
        </w:rPr>
      </w:pPr>
    </w:p>
    <w:p w14:paraId="4E3F6E49" w14:textId="7EA8D55F" w:rsidR="00435C99" w:rsidRDefault="00F81F71" w:rsidP="00435C99">
      <w:pPr>
        <w:pStyle w:val="ListParagraph"/>
        <w:numPr>
          <w:ilvl w:val="2"/>
          <w:numId w:val="9"/>
        </w:numPr>
        <w:suppressAutoHyphens/>
        <w:spacing w:after="0" w:line="240" w:lineRule="auto"/>
        <w:jc w:val="both"/>
        <w:rPr>
          <w:rFonts w:ascii="Calibri" w:hAnsi="Calibri"/>
          <w:sz w:val="20"/>
          <w:szCs w:val="20"/>
        </w:rPr>
      </w:pPr>
      <w:bookmarkStart w:id="5" w:name="_Hlk7448157"/>
      <w:r w:rsidRPr="00435C99">
        <w:rPr>
          <w:rFonts w:ascii="Calibri" w:hAnsi="Calibri"/>
          <w:b/>
          <w:bCs/>
          <w:sz w:val="20"/>
          <w:szCs w:val="20"/>
        </w:rPr>
        <w:t>T</w:t>
      </w:r>
      <w:r w:rsidR="00D51ED6" w:rsidRPr="00435C99">
        <w:rPr>
          <w:rFonts w:ascii="Calibri" w:hAnsi="Calibri"/>
          <w:b/>
          <w:bCs/>
          <w:sz w:val="20"/>
          <w:szCs w:val="20"/>
        </w:rPr>
        <w:t>he democracy challenge</w:t>
      </w:r>
      <w:r w:rsidR="003120F5">
        <w:rPr>
          <w:rFonts w:ascii="Calibri" w:hAnsi="Calibri"/>
          <w:b/>
          <w:bCs/>
          <w:sz w:val="20"/>
          <w:szCs w:val="20"/>
        </w:rPr>
        <w:t xml:space="preserve">, </w:t>
      </w:r>
      <w:r w:rsidR="00D51ED6" w:rsidRPr="00435C99">
        <w:rPr>
          <w:rFonts w:ascii="Calibri" w:hAnsi="Calibri"/>
          <w:b/>
          <w:bCs/>
          <w:sz w:val="20"/>
          <w:szCs w:val="20"/>
        </w:rPr>
        <w:t>as open societies are essential in the fight against poverty and an active civic base is more likely to challenge elite power and privilege</w:t>
      </w:r>
      <w:r w:rsidRPr="00435C99">
        <w:rPr>
          <w:rFonts w:ascii="Calibri" w:hAnsi="Calibri"/>
          <w:b/>
          <w:bCs/>
          <w:sz w:val="20"/>
          <w:szCs w:val="20"/>
        </w:rPr>
        <w:t>,</w:t>
      </w:r>
      <w:r w:rsidRPr="00BD46DF">
        <w:rPr>
          <w:rFonts w:ascii="Calibri" w:hAnsi="Calibri"/>
          <w:b/>
          <w:bCs/>
          <w:sz w:val="20"/>
          <w:szCs w:val="20"/>
          <w:vertAlign w:val="superscript"/>
        </w:rPr>
        <w:endnoteReference w:id="20"/>
      </w:r>
      <w:r w:rsidR="00D51ED6" w:rsidRPr="00435C99">
        <w:rPr>
          <w:rFonts w:ascii="Calibri" w:hAnsi="Calibri"/>
          <w:b/>
          <w:bCs/>
          <w:sz w:val="20"/>
          <w:szCs w:val="20"/>
        </w:rPr>
        <w:t xml:space="preserve"> but space for civi</w:t>
      </w:r>
      <w:r w:rsidRPr="00435C99">
        <w:rPr>
          <w:rFonts w:ascii="Calibri" w:hAnsi="Calibri"/>
          <w:b/>
          <w:bCs/>
          <w:sz w:val="20"/>
          <w:szCs w:val="20"/>
        </w:rPr>
        <w:t>c action is shrinking worldwide.</w:t>
      </w:r>
      <w:r w:rsidRPr="00435C99">
        <w:rPr>
          <w:rFonts w:ascii="Calibri" w:hAnsi="Calibri"/>
          <w:sz w:val="20"/>
          <w:szCs w:val="20"/>
        </w:rPr>
        <w:t xml:space="preserve"> </w:t>
      </w:r>
    </w:p>
    <w:bookmarkEnd w:id="5"/>
    <w:p w14:paraId="33073254" w14:textId="77777777" w:rsidR="003120F5" w:rsidRPr="003120F5" w:rsidRDefault="00F81F71" w:rsidP="003120F5">
      <w:pPr>
        <w:pStyle w:val="ListParagraph"/>
        <w:suppressAutoHyphens/>
        <w:spacing w:after="0" w:line="240" w:lineRule="auto"/>
        <w:ind w:left="1080"/>
        <w:jc w:val="both"/>
        <w:rPr>
          <w:rFonts w:ascii="Calibri" w:hAnsi="Calibri"/>
          <w:sz w:val="20"/>
          <w:szCs w:val="20"/>
        </w:rPr>
      </w:pPr>
      <w:r w:rsidRPr="00435C99">
        <w:rPr>
          <w:rFonts w:ascii="Calibri" w:hAnsi="Calibri"/>
          <w:sz w:val="20"/>
          <w:szCs w:val="20"/>
        </w:rPr>
        <w:t>According to the International Center for Not-for-Profit Law, since 2015 more than 64 different laws have been passed by governments that restrict the ability of non-governmental organizations (NGOs) to register, to operate and to receive foreign funding.</w:t>
      </w:r>
      <w:r w:rsidRPr="00DA536D">
        <w:rPr>
          <w:rStyle w:val="EndnoteAnchor"/>
          <w:rFonts w:ascii="Calibri" w:hAnsi="Calibri"/>
          <w:sz w:val="20"/>
          <w:szCs w:val="20"/>
        </w:rPr>
        <w:endnoteReference w:id="21"/>
      </w:r>
      <w:r w:rsidRPr="00435C99">
        <w:rPr>
          <w:rFonts w:ascii="Calibri" w:hAnsi="Calibri"/>
          <w:sz w:val="20"/>
          <w:szCs w:val="20"/>
        </w:rPr>
        <w:t xml:space="preserve"> Meanwhile, the CIVICUS Monitor </w:t>
      </w:r>
      <w:r w:rsidRPr="00435C99">
        <w:rPr>
          <w:rFonts w:ascii="Calibri" w:hAnsi="Calibri"/>
          <w:sz w:val="20"/>
          <w:szCs w:val="20"/>
        </w:rPr>
        <w:lastRenderedPageBreak/>
        <w:t xml:space="preserve">shows that more than 3.2 billion people live in countries in which civic space is either closed or </w:t>
      </w:r>
      <w:r w:rsidRPr="003120F5">
        <w:rPr>
          <w:rFonts w:ascii="Calibri" w:hAnsi="Calibri"/>
          <w:sz w:val="20"/>
          <w:szCs w:val="20"/>
        </w:rPr>
        <w:t>repressed.</w:t>
      </w:r>
      <w:r w:rsidRPr="003120F5">
        <w:rPr>
          <w:rStyle w:val="EndnoteAnchor"/>
          <w:rFonts w:ascii="Calibri" w:hAnsi="Calibri"/>
          <w:sz w:val="20"/>
          <w:szCs w:val="20"/>
        </w:rPr>
        <w:endnoteReference w:id="22"/>
      </w:r>
      <w:r w:rsidRPr="003120F5">
        <w:rPr>
          <w:rFonts w:ascii="Calibri" w:hAnsi="Calibri"/>
          <w:sz w:val="20"/>
          <w:szCs w:val="20"/>
        </w:rPr>
        <w:t xml:space="preserve"> </w:t>
      </w:r>
    </w:p>
    <w:p w14:paraId="1FA51C27" w14:textId="42DB05DB" w:rsidR="00F81F71" w:rsidRPr="003120F5" w:rsidRDefault="00F81F71" w:rsidP="003120F5">
      <w:pPr>
        <w:pStyle w:val="ListParagraph"/>
        <w:suppressAutoHyphens/>
        <w:spacing w:after="0" w:line="240" w:lineRule="auto"/>
        <w:ind w:left="1080"/>
        <w:jc w:val="both"/>
        <w:rPr>
          <w:rFonts w:ascii="Calibri" w:hAnsi="Calibri"/>
          <w:sz w:val="20"/>
          <w:szCs w:val="20"/>
        </w:rPr>
      </w:pPr>
      <w:r w:rsidRPr="003120F5">
        <w:rPr>
          <w:rFonts w:ascii="Calibri" w:hAnsi="Calibri"/>
          <w:sz w:val="20"/>
          <w:szCs w:val="20"/>
        </w:rPr>
        <w:t>In principle, a country’s economy and its political system are separate, but in reality they are intrinsically linked.</w:t>
      </w:r>
      <w:r w:rsidRPr="003120F5">
        <w:rPr>
          <w:rStyle w:val="EndnoteAnchor"/>
          <w:rFonts w:ascii="Calibri" w:hAnsi="Calibri"/>
          <w:sz w:val="20"/>
          <w:szCs w:val="20"/>
        </w:rPr>
        <w:endnoteReference w:id="23"/>
      </w:r>
      <w:r w:rsidRPr="003120F5">
        <w:rPr>
          <w:rFonts w:ascii="Calibri" w:hAnsi="Calibri"/>
          <w:sz w:val="20"/>
          <w:szCs w:val="20"/>
        </w:rPr>
        <w:t xml:space="preserve"> The relationship between economic and political power and inequality creates a cycle which affects the design of institutions established to govern economies.</w:t>
      </w:r>
      <w:r w:rsidRPr="003120F5">
        <w:rPr>
          <w:rStyle w:val="EndnoteAnchor"/>
          <w:rFonts w:ascii="Calibri" w:hAnsi="Calibri"/>
          <w:sz w:val="20"/>
          <w:szCs w:val="20"/>
        </w:rPr>
        <w:endnoteReference w:id="24"/>
      </w:r>
      <w:r w:rsidRPr="003120F5">
        <w:rPr>
          <w:rFonts w:ascii="Calibri" w:hAnsi="Calibri"/>
          <w:sz w:val="20"/>
          <w:szCs w:val="20"/>
        </w:rPr>
        <w:t xml:space="preserve"> Wealth has the potential to capture government policy making and to bend the rules in favour of the rich, often to the detriment of everyone else. The consequences of this include the erosion of democratic governance, the diminution of social cohesion and the reduction of equal opportunities for all.</w:t>
      </w:r>
      <w:r w:rsidR="003120F5" w:rsidRPr="003120F5">
        <w:rPr>
          <w:rFonts w:ascii="Calibri" w:hAnsi="Calibri"/>
          <w:sz w:val="20"/>
          <w:szCs w:val="20"/>
        </w:rPr>
        <w:t xml:space="preserve"> </w:t>
      </w:r>
      <w:r w:rsidRPr="003120F5">
        <w:rPr>
          <w:rFonts w:ascii="Calibri" w:hAnsi="Calibri"/>
          <w:sz w:val="20"/>
          <w:szCs w:val="20"/>
        </w:rPr>
        <w:t>A political consensus in support of deregulation and privatization, combined with the advent of the information age and globalization, has created new opportunities. But it has also allowed sectors, companies and individuals to capture a disproportionate amount of economic power and for hostile actors to spread misinformation and undermine democracies</w:t>
      </w:r>
      <w:r w:rsidR="003120F5" w:rsidRPr="003120F5">
        <w:rPr>
          <w:rFonts w:ascii="Calibri" w:hAnsi="Calibri"/>
          <w:sz w:val="20"/>
          <w:szCs w:val="20"/>
        </w:rPr>
        <w:t>.</w:t>
      </w:r>
      <w:r w:rsidRPr="00DA536D">
        <w:rPr>
          <w:rFonts w:ascii="Calibri" w:hAnsi="Calibri"/>
          <w:b/>
          <w:sz w:val="20"/>
          <w:szCs w:val="20"/>
        </w:rPr>
        <w:t xml:space="preserve"> </w:t>
      </w:r>
    </w:p>
    <w:p w14:paraId="1B22BF63" w14:textId="77777777" w:rsidR="00F81F71" w:rsidRPr="00DA536D" w:rsidRDefault="00F81F71" w:rsidP="00DA536D">
      <w:pPr>
        <w:pStyle w:val="ListParagraph"/>
        <w:suppressAutoHyphens/>
        <w:spacing w:after="120" w:line="240" w:lineRule="auto"/>
        <w:ind w:left="360"/>
        <w:jc w:val="both"/>
        <w:rPr>
          <w:rFonts w:ascii="Calibri" w:hAnsi="Calibri"/>
          <w:sz w:val="20"/>
          <w:szCs w:val="20"/>
        </w:rPr>
      </w:pPr>
    </w:p>
    <w:p w14:paraId="31D23F79" w14:textId="77777777" w:rsidR="00D32571" w:rsidRDefault="00BD46DF" w:rsidP="00D32571">
      <w:pPr>
        <w:pStyle w:val="ListParagraph"/>
        <w:numPr>
          <w:ilvl w:val="2"/>
          <w:numId w:val="9"/>
        </w:numPr>
        <w:suppressAutoHyphens/>
        <w:spacing w:after="0" w:line="240" w:lineRule="auto"/>
        <w:jc w:val="both"/>
        <w:rPr>
          <w:rFonts w:ascii="Calibri" w:hAnsi="Calibri"/>
          <w:b/>
          <w:bCs/>
          <w:sz w:val="20"/>
          <w:szCs w:val="20"/>
        </w:rPr>
      </w:pPr>
      <w:bookmarkStart w:id="6" w:name="_Hlk7448142"/>
      <w:r>
        <w:rPr>
          <w:rFonts w:ascii="Calibri" w:hAnsi="Calibri"/>
          <w:b/>
          <w:bCs/>
          <w:sz w:val="20"/>
          <w:szCs w:val="20"/>
        </w:rPr>
        <w:t>T</w:t>
      </w:r>
      <w:r w:rsidR="00D51ED6" w:rsidRPr="00BD46DF">
        <w:rPr>
          <w:rFonts w:ascii="Calibri" w:hAnsi="Calibri"/>
          <w:b/>
          <w:bCs/>
          <w:sz w:val="20"/>
          <w:szCs w:val="20"/>
        </w:rPr>
        <w:t xml:space="preserve">he technology challenge as automation is disrupting labour markets and making working conditions even more precarious for poor, low-skilled and female workers. </w:t>
      </w:r>
      <w:bookmarkEnd w:id="6"/>
    </w:p>
    <w:p w14:paraId="4CBEC21C" w14:textId="3768A54B" w:rsidR="00D32571" w:rsidRDefault="005C75B3" w:rsidP="00D32571">
      <w:pPr>
        <w:pStyle w:val="ListParagraph"/>
        <w:suppressAutoHyphens/>
        <w:spacing w:after="0" w:line="240" w:lineRule="auto"/>
        <w:ind w:left="1080"/>
        <w:jc w:val="both"/>
        <w:rPr>
          <w:rFonts w:ascii="Calibri" w:hAnsi="Calibri"/>
        </w:rPr>
      </w:pPr>
      <w:r w:rsidRPr="00D32571">
        <w:rPr>
          <w:rFonts w:ascii="Calibri" w:hAnsi="Calibri"/>
          <w:sz w:val="20"/>
          <w:szCs w:val="20"/>
        </w:rPr>
        <w:t>Technological progress has been identified as one of the driving factors behind the increase in economic inequality.</w:t>
      </w:r>
      <w:r w:rsidRPr="00DA536D">
        <w:rPr>
          <w:rStyle w:val="EndnoteReference"/>
          <w:rFonts w:ascii="Calibri" w:hAnsi="Calibri"/>
          <w:color w:val="auto"/>
          <w:sz w:val="20"/>
          <w:szCs w:val="20"/>
        </w:rPr>
        <w:endnoteReference w:id="25"/>
      </w:r>
      <w:r w:rsidRPr="00D32571">
        <w:rPr>
          <w:rFonts w:ascii="Calibri" w:hAnsi="Calibri"/>
          <w:sz w:val="20"/>
          <w:szCs w:val="20"/>
        </w:rPr>
        <w:t xml:space="preserve"> Increasing automation will continue to disrupt labour markets, creating winners and losers, with significant distributional consequences.</w:t>
      </w:r>
      <w:r w:rsidRPr="00DA536D">
        <w:rPr>
          <w:rStyle w:val="EndnoteAnchor"/>
          <w:rFonts w:ascii="Calibri" w:hAnsi="Calibri"/>
          <w:sz w:val="20"/>
          <w:szCs w:val="20"/>
        </w:rPr>
        <w:endnoteReference w:id="26"/>
      </w:r>
      <w:r w:rsidRPr="00D32571">
        <w:rPr>
          <w:rFonts w:ascii="Calibri" w:hAnsi="Calibri"/>
          <w:sz w:val="20"/>
          <w:szCs w:val="20"/>
        </w:rPr>
        <w:t xml:space="preserve"> Gains from higher levels of productivity will be captured by the owners of new technology, while workers displaced by it will lose out, thus widening the gap between the share of national income accruing to workers and that going to the owners of capital. In other words, growth driven by automation risks to be less inclusive and less able at creating jobs that lift people out of poverty. </w:t>
      </w:r>
      <w:r w:rsidR="00114525" w:rsidRPr="00D32571">
        <w:rPr>
          <w:rFonts w:ascii="Calibri" w:eastAsia="Times New Roman" w:hAnsi="Calibri" w:cs="Helvetica"/>
          <w:sz w:val="20"/>
          <w:szCs w:val="20"/>
          <w:lang w:eastAsia="en-GB"/>
        </w:rPr>
        <w:t xml:space="preserve">The rising </w:t>
      </w:r>
      <w:r w:rsidR="00114525" w:rsidRPr="00D32571">
        <w:rPr>
          <w:rFonts w:ascii="Calibri" w:hAnsi="Calibri"/>
          <w:sz w:val="20"/>
          <w:szCs w:val="20"/>
        </w:rPr>
        <w:t>trend in automation also generates concerns with regards to its impact on economic and gender inequality: research suggests that female workers, which tend to perform more routine tasks than their male counterparts, are at greater risk of automation.</w:t>
      </w:r>
      <w:r w:rsidR="00D32571">
        <w:rPr>
          <w:rStyle w:val="EndnoteReference"/>
          <w:rFonts w:ascii="Calibri" w:hAnsi="Calibri"/>
          <w:sz w:val="20"/>
          <w:szCs w:val="20"/>
        </w:rPr>
        <w:endnoteReference w:id="27"/>
      </w:r>
    </w:p>
    <w:p w14:paraId="2F9F331B" w14:textId="50B53436" w:rsidR="003776CA" w:rsidRDefault="005C75B3" w:rsidP="00D32571">
      <w:pPr>
        <w:pStyle w:val="ListParagraph"/>
        <w:suppressAutoHyphens/>
        <w:spacing w:after="0" w:line="240" w:lineRule="auto"/>
        <w:ind w:left="1080"/>
        <w:jc w:val="both"/>
        <w:rPr>
          <w:rFonts w:ascii="Calibri" w:hAnsi="Calibri"/>
          <w:sz w:val="20"/>
          <w:szCs w:val="20"/>
        </w:rPr>
      </w:pPr>
      <w:r w:rsidRPr="00DA536D">
        <w:rPr>
          <w:rFonts w:ascii="Calibri" w:hAnsi="Calibri"/>
          <w:sz w:val="20"/>
          <w:szCs w:val="20"/>
        </w:rPr>
        <w:t>The impact of automation on developing countries is expected to be particularly severe, where high levels of poverty and inequality (especially affecting women, who face the excessive burden of unpaid care work) already prevent people from acquiring the skills and education necessary to succeed amidst existing trends of premature deindustrialization and tertiarization.</w:t>
      </w:r>
      <w:r w:rsidRPr="00DA536D">
        <w:rPr>
          <w:rStyle w:val="EndnoteAnchor"/>
          <w:rFonts w:ascii="Calibri" w:hAnsi="Calibri"/>
          <w:sz w:val="20"/>
          <w:szCs w:val="20"/>
        </w:rPr>
        <w:endnoteReference w:id="28"/>
      </w:r>
      <w:r w:rsidRPr="00DA536D">
        <w:rPr>
          <w:rFonts w:ascii="Calibri" w:hAnsi="Calibri"/>
          <w:sz w:val="20"/>
          <w:szCs w:val="20"/>
        </w:rPr>
        <w:t xml:space="preserve"> Jobs that are common in developing countries, such as routine agricultural work, are susceptible to automation where the impact is likely be felt strongly by poor rural workers. At a time when many emerging and developing economies are competing to participate in fragmented global value chains, automation may be given preference over the creation of low-skilled jobs, potentially reversing the reductions in poverty and inequality between countries that have been observed in the past few decades. </w:t>
      </w:r>
    </w:p>
    <w:p w14:paraId="52A0E198" w14:textId="77777777" w:rsidR="0054713B" w:rsidRPr="00D32571" w:rsidRDefault="0054713B" w:rsidP="00D32571">
      <w:pPr>
        <w:pStyle w:val="ListParagraph"/>
        <w:suppressAutoHyphens/>
        <w:spacing w:after="0" w:line="240" w:lineRule="auto"/>
        <w:ind w:left="1080"/>
        <w:jc w:val="both"/>
        <w:rPr>
          <w:rFonts w:ascii="Calibri" w:hAnsi="Calibri"/>
          <w:b/>
          <w:bCs/>
          <w:sz w:val="20"/>
          <w:szCs w:val="20"/>
        </w:rPr>
      </w:pPr>
    </w:p>
    <w:p w14:paraId="432B17B7" w14:textId="1206B975" w:rsidR="000D0599" w:rsidRDefault="00E83245" w:rsidP="00B75A93">
      <w:pPr>
        <w:pStyle w:val="ListParagraph"/>
        <w:numPr>
          <w:ilvl w:val="1"/>
          <w:numId w:val="7"/>
        </w:numPr>
        <w:suppressAutoHyphens/>
        <w:spacing w:after="0" w:line="240" w:lineRule="auto"/>
        <w:jc w:val="both"/>
        <w:rPr>
          <w:rFonts w:ascii="Calibri" w:hAnsi="Calibri"/>
          <w:b/>
          <w:sz w:val="20"/>
          <w:szCs w:val="20"/>
        </w:rPr>
      </w:pPr>
      <w:bookmarkStart w:id="7" w:name="_Hlk7464427"/>
      <w:r>
        <w:rPr>
          <w:rFonts w:ascii="Calibri" w:hAnsi="Calibri"/>
          <w:b/>
          <w:sz w:val="20"/>
          <w:szCs w:val="20"/>
        </w:rPr>
        <w:t>Accumulation of income, wealth, power, opportunities and privilege at the top undermine</w:t>
      </w:r>
      <w:r w:rsidR="0073392C">
        <w:rPr>
          <w:rFonts w:ascii="Calibri" w:hAnsi="Calibri"/>
          <w:b/>
          <w:sz w:val="20"/>
          <w:szCs w:val="20"/>
        </w:rPr>
        <w:t>s</w:t>
      </w:r>
      <w:r>
        <w:rPr>
          <w:rFonts w:ascii="Calibri" w:hAnsi="Calibri"/>
          <w:b/>
          <w:sz w:val="20"/>
          <w:szCs w:val="20"/>
        </w:rPr>
        <w:t xml:space="preserve"> the principles of equitable sharing of the fruits of growth and of opportunities</w:t>
      </w:r>
      <w:r w:rsidR="005067D7">
        <w:rPr>
          <w:rFonts w:ascii="Calibri" w:hAnsi="Calibri"/>
          <w:b/>
          <w:sz w:val="20"/>
          <w:szCs w:val="20"/>
        </w:rPr>
        <w:t>,</w:t>
      </w:r>
      <w:r>
        <w:rPr>
          <w:rFonts w:ascii="Calibri" w:hAnsi="Calibri"/>
          <w:b/>
          <w:sz w:val="20"/>
          <w:szCs w:val="20"/>
        </w:rPr>
        <w:t xml:space="preserve"> </w:t>
      </w:r>
      <w:r w:rsidR="006C7208">
        <w:rPr>
          <w:rFonts w:ascii="Calibri" w:hAnsi="Calibri"/>
          <w:b/>
          <w:sz w:val="20"/>
          <w:szCs w:val="20"/>
        </w:rPr>
        <w:t xml:space="preserve">as well as </w:t>
      </w:r>
      <w:r>
        <w:rPr>
          <w:rFonts w:ascii="Calibri" w:hAnsi="Calibri"/>
          <w:b/>
          <w:sz w:val="20"/>
          <w:szCs w:val="20"/>
        </w:rPr>
        <w:t>the right</w:t>
      </w:r>
      <w:r w:rsidR="006C7208">
        <w:rPr>
          <w:rFonts w:ascii="Calibri" w:hAnsi="Calibri"/>
          <w:b/>
          <w:sz w:val="20"/>
          <w:szCs w:val="20"/>
        </w:rPr>
        <w:t>s</w:t>
      </w:r>
      <w:r>
        <w:rPr>
          <w:rFonts w:ascii="Calibri" w:hAnsi="Calibri"/>
          <w:b/>
          <w:sz w:val="20"/>
          <w:szCs w:val="20"/>
        </w:rPr>
        <w:t xml:space="preserve"> of all people to self-determination </w:t>
      </w:r>
      <w:r w:rsidR="006C7208">
        <w:rPr>
          <w:rFonts w:ascii="Calibri" w:hAnsi="Calibri"/>
          <w:b/>
          <w:sz w:val="20"/>
          <w:szCs w:val="20"/>
        </w:rPr>
        <w:t xml:space="preserve">and to </w:t>
      </w:r>
      <w:r w:rsidRPr="00E83245">
        <w:rPr>
          <w:rFonts w:ascii="Calibri" w:hAnsi="Calibri"/>
          <w:b/>
          <w:sz w:val="20"/>
          <w:szCs w:val="20"/>
        </w:rPr>
        <w:t>full sovereignty over all their natural wealth and resources.</w:t>
      </w:r>
    </w:p>
    <w:bookmarkEnd w:id="7"/>
    <w:p w14:paraId="08981555" w14:textId="77777777" w:rsidR="000D0599" w:rsidRDefault="00FC5458" w:rsidP="000D0599">
      <w:pPr>
        <w:pStyle w:val="ListParagraph"/>
        <w:suppressAutoHyphens/>
        <w:spacing w:after="0" w:line="240" w:lineRule="auto"/>
        <w:ind w:left="360"/>
        <w:jc w:val="both"/>
        <w:rPr>
          <w:rFonts w:ascii="Calibri" w:eastAsia="Times New Roman" w:hAnsi="Calibri" w:cs="Helvetica"/>
          <w:sz w:val="20"/>
          <w:szCs w:val="20"/>
          <w:lang w:eastAsia="en-GB"/>
        </w:rPr>
      </w:pPr>
      <w:r w:rsidRPr="000D0599">
        <w:rPr>
          <w:rFonts w:ascii="Calibri" w:eastAsia="Times New Roman" w:hAnsi="Calibri" w:cs="Arial"/>
          <w:sz w:val="20"/>
          <w:szCs w:val="20"/>
          <w:lang w:bidi="en-US"/>
        </w:rPr>
        <w:t>C</w:t>
      </w:r>
      <w:r w:rsidR="0040196C" w:rsidRPr="000D0599">
        <w:rPr>
          <w:rFonts w:ascii="Calibri" w:eastAsia="Times New Roman" w:hAnsi="Calibri" w:cs="Arial"/>
          <w:sz w:val="20"/>
          <w:szCs w:val="20"/>
          <w:lang w:bidi="en-US"/>
        </w:rPr>
        <w:t>oncentration of</w:t>
      </w:r>
      <w:r w:rsidR="00BA2158" w:rsidRPr="000D0599">
        <w:rPr>
          <w:rFonts w:ascii="Calibri" w:eastAsia="Times New Roman" w:hAnsi="Calibri" w:cs="Arial"/>
          <w:sz w:val="20"/>
          <w:szCs w:val="20"/>
          <w:lang w:bidi="en-US"/>
        </w:rPr>
        <w:t xml:space="preserve"> wealth at the top  - and its inte</w:t>
      </w:r>
      <w:r w:rsidR="006C7208" w:rsidRPr="000D0599">
        <w:rPr>
          <w:rFonts w:ascii="Calibri" w:eastAsia="Times New Roman" w:hAnsi="Calibri" w:cs="Arial"/>
          <w:sz w:val="20"/>
          <w:szCs w:val="20"/>
          <w:lang w:bidi="en-US"/>
        </w:rPr>
        <w:t xml:space="preserve">rsection with elite power </w:t>
      </w:r>
      <w:r w:rsidR="00B75A93" w:rsidRPr="000D0599">
        <w:rPr>
          <w:rFonts w:ascii="Calibri" w:eastAsia="Times New Roman" w:hAnsi="Calibri" w:cs="Arial"/>
          <w:sz w:val="20"/>
          <w:szCs w:val="20"/>
          <w:lang w:bidi="en-US"/>
        </w:rPr>
        <w:t xml:space="preserve">is the defining </w:t>
      </w:r>
      <w:r w:rsidR="00BA2158" w:rsidRPr="000D0599">
        <w:rPr>
          <w:rFonts w:ascii="Calibri" w:eastAsia="Times New Roman" w:hAnsi="Calibri" w:cs="Arial"/>
          <w:sz w:val="20"/>
          <w:szCs w:val="20"/>
          <w:lang w:bidi="en-US"/>
        </w:rPr>
        <w:t xml:space="preserve">aspect of the economic inequality crisis. </w:t>
      </w:r>
      <w:r w:rsidR="00B75A93" w:rsidRPr="000D0599">
        <w:rPr>
          <w:rFonts w:ascii="Calibri" w:eastAsia="Times New Roman" w:hAnsi="Calibri" w:cs="Arial"/>
          <w:sz w:val="20"/>
          <w:szCs w:val="20"/>
          <w:lang w:bidi="en-US"/>
        </w:rPr>
        <w:t>Extreme</w:t>
      </w:r>
      <w:r w:rsidR="00BA2158" w:rsidRPr="000D0599">
        <w:rPr>
          <w:rFonts w:ascii="Calibri" w:eastAsia="Times New Roman" w:hAnsi="Calibri" w:cs="Arial"/>
          <w:sz w:val="20"/>
          <w:szCs w:val="20"/>
          <w:lang w:bidi="en-US"/>
        </w:rPr>
        <w:t xml:space="preserve"> wealth is often used for political capture – to buy elections, to buy media, to influence tax laws and laws that constrict civic space – making sure that wealth begets more wealth in a cycle that further deepens inequality. </w:t>
      </w:r>
      <w:r w:rsidR="006C7208" w:rsidRPr="000D0599">
        <w:rPr>
          <w:rFonts w:ascii="Calibri" w:eastAsia="Times New Roman" w:hAnsi="Calibri" w:cs="Helvetica"/>
          <w:sz w:val="20"/>
          <w:szCs w:val="20"/>
          <w:lang w:eastAsia="en-GB"/>
        </w:rPr>
        <w:t>In some countries policies fail to tackle inequality because they are captured by the wealthy elite that bends policy making in their favour to the detriment of everyone else.</w:t>
      </w:r>
      <w:r w:rsidR="006C7208" w:rsidRPr="006C7208">
        <w:rPr>
          <w:rStyle w:val="EndnoteReference"/>
          <w:rFonts w:ascii="Calibri" w:eastAsia="Times New Roman" w:hAnsi="Calibri" w:cs="Helvetica"/>
          <w:sz w:val="20"/>
          <w:szCs w:val="20"/>
          <w:lang w:eastAsia="en-GB"/>
        </w:rPr>
        <w:endnoteReference w:id="29"/>
      </w:r>
    </w:p>
    <w:p w14:paraId="25CB9E39" w14:textId="77777777" w:rsidR="000D0599" w:rsidRDefault="00B75A93" w:rsidP="000D0599">
      <w:pPr>
        <w:pStyle w:val="ListParagraph"/>
        <w:suppressAutoHyphens/>
        <w:spacing w:after="0" w:line="240" w:lineRule="auto"/>
        <w:ind w:left="360"/>
        <w:jc w:val="both"/>
        <w:rPr>
          <w:rFonts w:ascii="Calibri" w:hAnsi="Calibri"/>
          <w:sz w:val="20"/>
          <w:szCs w:val="20"/>
        </w:rPr>
      </w:pPr>
      <w:r w:rsidRPr="00BD3F89">
        <w:rPr>
          <w:rFonts w:ascii="Calibri" w:eastAsia="Times New Roman" w:hAnsi="Calibri" w:cs="Helvetica"/>
          <w:sz w:val="20"/>
          <w:szCs w:val="20"/>
          <w:lang w:eastAsia="en-GB"/>
        </w:rPr>
        <w:t>I</w:t>
      </w:r>
      <w:r w:rsidR="00402752" w:rsidRPr="00BD3F89">
        <w:rPr>
          <w:rFonts w:ascii="Calibri" w:eastAsia="Times New Roman" w:hAnsi="Calibri" w:cs="Helvetica"/>
          <w:sz w:val="20"/>
          <w:szCs w:val="20"/>
          <w:lang w:eastAsia="en-GB"/>
        </w:rPr>
        <w:t>n many countries</w:t>
      </w:r>
      <w:r w:rsidR="007927FE" w:rsidRPr="00BD3F89">
        <w:rPr>
          <w:rFonts w:ascii="Calibri" w:eastAsia="Times New Roman" w:hAnsi="Calibri" w:cs="Helvetica"/>
          <w:sz w:val="20"/>
          <w:szCs w:val="20"/>
          <w:lang w:eastAsia="en-GB"/>
        </w:rPr>
        <w:t>,</w:t>
      </w:r>
      <w:r w:rsidR="00402752" w:rsidRPr="00BD3F89">
        <w:rPr>
          <w:rFonts w:ascii="Calibri" w:eastAsia="Times New Roman" w:hAnsi="Calibri" w:cs="Helvetica"/>
          <w:sz w:val="20"/>
          <w:szCs w:val="20"/>
          <w:lang w:eastAsia="en-GB"/>
        </w:rPr>
        <w:t xml:space="preserve"> the richest people and the companies t</w:t>
      </w:r>
      <w:r w:rsidRPr="00BD3F89">
        <w:rPr>
          <w:rFonts w:ascii="Calibri" w:eastAsia="Times New Roman" w:hAnsi="Calibri" w:cs="Helvetica"/>
          <w:sz w:val="20"/>
          <w:szCs w:val="20"/>
          <w:lang w:eastAsia="en-GB"/>
        </w:rPr>
        <w:t xml:space="preserve">hey own are largely undertaxed. </w:t>
      </w:r>
      <w:r w:rsidRPr="00BD3F89">
        <w:rPr>
          <w:rFonts w:ascii="Calibri" w:hAnsi="Calibri"/>
          <w:sz w:val="20"/>
          <w:szCs w:val="20"/>
        </w:rPr>
        <w:t>Governments in developed countries have been reducing both the top rate of personal income tax and the rate of corporate income tax in the past decades. The top rate of personal income tax in the US was 94% in 1945, and as recently as 1980 it was 70%. Today it is almost half that</w:t>
      </w:r>
      <w:r w:rsidR="008577EC">
        <w:rPr>
          <w:rFonts w:ascii="Calibri" w:hAnsi="Calibri"/>
          <w:sz w:val="20"/>
          <w:szCs w:val="20"/>
        </w:rPr>
        <w:t>, at 37%</w:t>
      </w:r>
      <w:r w:rsidRPr="00BD3F89">
        <w:rPr>
          <w:rFonts w:ascii="Calibri" w:hAnsi="Calibri" w:cs="Arial"/>
          <w:sz w:val="20"/>
          <w:szCs w:val="20"/>
        </w:rPr>
        <w:t>.</w:t>
      </w:r>
      <w:r w:rsidR="008577EC">
        <w:rPr>
          <w:rStyle w:val="EndnoteReference"/>
          <w:rFonts w:ascii="Calibri" w:hAnsi="Calibri" w:cs="Arial"/>
          <w:sz w:val="20"/>
          <w:szCs w:val="20"/>
        </w:rPr>
        <w:endnoteReference w:id="30"/>
      </w:r>
      <w:r w:rsidRPr="00BD3F89">
        <w:rPr>
          <w:rFonts w:ascii="Calibri" w:hAnsi="Calibri"/>
          <w:sz w:val="20"/>
          <w:szCs w:val="20"/>
        </w:rPr>
        <w:t xml:space="preserve"> In developing countries, the average top rate of personal income tax is even lower, at 28%, and for corporate t</w:t>
      </w:r>
      <w:r w:rsidR="008577EC">
        <w:rPr>
          <w:rFonts w:ascii="Calibri" w:hAnsi="Calibri"/>
          <w:sz w:val="20"/>
          <w:szCs w:val="20"/>
        </w:rPr>
        <w:t>ax it is 25%</w:t>
      </w:r>
      <w:r w:rsidRPr="00BD3F89">
        <w:rPr>
          <w:rFonts w:ascii="Calibri" w:hAnsi="Calibri"/>
          <w:sz w:val="20"/>
          <w:szCs w:val="20"/>
        </w:rPr>
        <w:t>.</w:t>
      </w:r>
      <w:r w:rsidR="008577EC">
        <w:rPr>
          <w:rStyle w:val="EndnoteReference"/>
          <w:rFonts w:ascii="Calibri" w:hAnsi="Calibri"/>
          <w:sz w:val="20"/>
          <w:szCs w:val="20"/>
        </w:rPr>
        <w:endnoteReference w:id="31"/>
      </w:r>
    </w:p>
    <w:p w14:paraId="4808D12C" w14:textId="3A18E208" w:rsidR="000D0599" w:rsidRDefault="006C7208" w:rsidP="000D0599">
      <w:pPr>
        <w:pStyle w:val="ListParagraph"/>
        <w:suppressAutoHyphens/>
        <w:spacing w:after="0" w:line="240" w:lineRule="auto"/>
        <w:ind w:left="360"/>
        <w:jc w:val="both"/>
        <w:rPr>
          <w:rFonts w:ascii="Calibri" w:hAnsi="Calibri"/>
        </w:rPr>
      </w:pPr>
      <w:r>
        <w:rPr>
          <w:rFonts w:ascii="Calibri" w:eastAsia="Times New Roman" w:hAnsi="Calibri" w:cs="Helvetica"/>
          <w:sz w:val="20"/>
          <w:szCs w:val="20"/>
          <w:lang w:eastAsia="en-GB"/>
        </w:rPr>
        <w:t>Under-taxation</w:t>
      </w:r>
      <w:r w:rsidR="00B75A93" w:rsidRPr="00BD3F89">
        <w:rPr>
          <w:rFonts w:ascii="Calibri" w:eastAsia="Times New Roman" w:hAnsi="Calibri" w:cs="Helvetica"/>
          <w:sz w:val="20"/>
          <w:szCs w:val="20"/>
          <w:lang w:eastAsia="en-GB"/>
        </w:rPr>
        <w:t xml:space="preserve"> is often accompanied by </w:t>
      </w:r>
      <w:r w:rsidR="00B75A93" w:rsidRPr="00BD3F89">
        <w:rPr>
          <w:rFonts w:ascii="Calibri" w:eastAsia="Cambria" w:hAnsi="Calibri"/>
          <w:sz w:val="20"/>
          <w:szCs w:val="20"/>
        </w:rPr>
        <w:t xml:space="preserve">harmful tax practices which make it easier for some very rich individuals and multinational companies to dodge and avoid taxes. </w:t>
      </w:r>
      <w:r w:rsidR="00B75A93" w:rsidRPr="00BD3F89">
        <w:rPr>
          <w:rFonts w:ascii="Calibri" w:hAnsi="Calibri"/>
          <w:sz w:val="20"/>
          <w:szCs w:val="20"/>
        </w:rPr>
        <w:t>For example, some super-rich people are hiding at least $7.6 trillion from the tax authorities,</w:t>
      </w:r>
      <w:r w:rsidR="008577EC">
        <w:rPr>
          <w:rStyle w:val="EndnoteReference"/>
          <w:rFonts w:ascii="Calibri" w:hAnsi="Calibri"/>
          <w:sz w:val="20"/>
          <w:szCs w:val="20"/>
        </w:rPr>
        <w:endnoteReference w:id="32"/>
      </w:r>
      <w:r w:rsidR="00B75A93" w:rsidRPr="00BD3F89">
        <w:rPr>
          <w:rFonts w:ascii="Calibri" w:hAnsi="Calibri"/>
          <w:sz w:val="20"/>
          <w:szCs w:val="20"/>
        </w:rPr>
        <w:t xml:space="preserve"> avoiding an estimated $200bn in tax revenues.</w:t>
      </w:r>
      <w:r w:rsidR="00F77D48">
        <w:rPr>
          <w:rStyle w:val="EndnoteReference"/>
          <w:rFonts w:ascii="Calibri" w:hAnsi="Calibri"/>
          <w:sz w:val="20"/>
          <w:szCs w:val="20"/>
        </w:rPr>
        <w:endnoteReference w:id="33"/>
      </w:r>
      <w:r w:rsidR="00B75A93" w:rsidRPr="00BD3F89">
        <w:rPr>
          <w:rFonts w:ascii="Calibri" w:hAnsi="Calibri"/>
          <w:sz w:val="20"/>
          <w:szCs w:val="20"/>
        </w:rPr>
        <w:t xml:space="preserve">  For Africa alone, as much as 30% of private wealth may be held offshore, denying African governments an estimated $15bn in tax revenues.</w:t>
      </w:r>
      <w:r w:rsidR="00B157B0">
        <w:rPr>
          <w:rStyle w:val="EndnoteReference"/>
          <w:rFonts w:ascii="Calibri" w:hAnsi="Calibri"/>
          <w:sz w:val="20"/>
          <w:szCs w:val="20"/>
        </w:rPr>
        <w:endnoteReference w:id="34"/>
      </w:r>
      <w:r w:rsidR="00B75A93" w:rsidRPr="00BD3F89">
        <w:rPr>
          <w:rFonts w:ascii="Calibri" w:hAnsi="Calibri"/>
          <w:sz w:val="20"/>
          <w:szCs w:val="20"/>
        </w:rPr>
        <w:t xml:space="preserve"> Multinational companies are able to exploit loopholes in tax </w:t>
      </w:r>
      <w:r w:rsidR="00B75A93" w:rsidRPr="00A06E16">
        <w:rPr>
          <w:rFonts w:ascii="Calibri" w:hAnsi="Calibri"/>
          <w:sz w:val="20"/>
          <w:szCs w:val="20"/>
        </w:rPr>
        <w:t>codes to shift profits to tax havens and to avoid taxes, costing developing countries an additional estimated $100bn of lost corporate income tax (UNCTAD, 2015).</w:t>
      </w:r>
      <w:r w:rsidR="00B157B0">
        <w:rPr>
          <w:rStyle w:val="EndnoteReference"/>
          <w:rFonts w:ascii="Calibri" w:hAnsi="Calibri"/>
          <w:sz w:val="20"/>
          <w:szCs w:val="20"/>
        </w:rPr>
        <w:endnoteReference w:id="35"/>
      </w:r>
      <w:r w:rsidR="00A06E16" w:rsidRPr="00A06E16">
        <w:rPr>
          <w:rFonts w:ascii="Calibri" w:hAnsi="Calibri"/>
          <w:sz w:val="20"/>
          <w:szCs w:val="20"/>
        </w:rPr>
        <w:t xml:space="preserve"> </w:t>
      </w:r>
      <w:r w:rsidR="0073392C" w:rsidRPr="0073392C">
        <w:rPr>
          <w:rFonts w:ascii="Calibri" w:hAnsi="Calibri"/>
          <w:sz w:val="20"/>
          <w:szCs w:val="20"/>
        </w:rPr>
        <w:t xml:space="preserve">A recent piece of IMF research on corporate taxation shows </w:t>
      </w:r>
      <w:r w:rsidR="0073392C" w:rsidRPr="0073392C">
        <w:rPr>
          <w:rFonts w:ascii="Calibri" w:hAnsi="Calibri"/>
          <w:sz w:val="20"/>
          <w:szCs w:val="20"/>
        </w:rPr>
        <w:lastRenderedPageBreak/>
        <w:t>that non-OECD countries lose about $200 billion in revenue per year, or about 1.3% of GDP due to companies shifting profits to low-tax locations</w:t>
      </w:r>
      <w:r w:rsidR="0073392C">
        <w:rPr>
          <w:rStyle w:val="EndnoteReference"/>
          <w:rFonts w:ascii="Calibri" w:hAnsi="Calibri"/>
          <w:sz w:val="20"/>
          <w:szCs w:val="20"/>
        </w:rPr>
        <w:endnoteReference w:id="36"/>
      </w:r>
      <w:r w:rsidR="0073392C" w:rsidRPr="0073392C">
        <w:rPr>
          <w:rFonts w:ascii="Calibri" w:hAnsi="Calibri"/>
          <w:sz w:val="20"/>
          <w:szCs w:val="20"/>
        </w:rPr>
        <w:t xml:space="preserve">. </w:t>
      </w:r>
      <w:r w:rsidR="00A06E16" w:rsidRPr="0073392C">
        <w:rPr>
          <w:rFonts w:ascii="Calibri" w:hAnsi="Calibri"/>
          <w:sz w:val="20"/>
          <w:szCs w:val="20"/>
        </w:rPr>
        <w:t>T</w:t>
      </w:r>
      <w:r w:rsidR="00402752" w:rsidRPr="0073392C">
        <w:rPr>
          <w:rFonts w:ascii="Calibri" w:hAnsi="Calibri"/>
          <w:sz w:val="20"/>
          <w:szCs w:val="20"/>
        </w:rPr>
        <w:t>axes</w:t>
      </w:r>
      <w:r w:rsidR="00402752" w:rsidRPr="00A06E16">
        <w:rPr>
          <w:rFonts w:ascii="Calibri" w:hAnsi="Calibri"/>
          <w:sz w:val="20"/>
          <w:szCs w:val="20"/>
        </w:rPr>
        <w:t xml:space="preserve"> on wealth, like inheritance taxes, have been cut by many countries in recent decades or are simply not being implemented, while property taxation is almost non-existent in many developing countri</w:t>
      </w:r>
      <w:r w:rsidR="00B157B0">
        <w:rPr>
          <w:rFonts w:ascii="Calibri" w:hAnsi="Calibri"/>
          <w:sz w:val="20"/>
          <w:szCs w:val="20"/>
        </w:rPr>
        <w:t>es</w:t>
      </w:r>
      <w:r w:rsidR="00402752" w:rsidRPr="00A06E16">
        <w:rPr>
          <w:rFonts w:ascii="Calibri" w:hAnsi="Calibri"/>
          <w:sz w:val="20"/>
          <w:szCs w:val="20"/>
        </w:rPr>
        <w:t>.</w:t>
      </w:r>
      <w:r w:rsidR="00402752" w:rsidRPr="00AA57AF">
        <w:rPr>
          <w:rFonts w:ascii="Calibri" w:hAnsi="Calibri"/>
        </w:rPr>
        <w:t xml:space="preserve"> </w:t>
      </w:r>
    </w:p>
    <w:p w14:paraId="6128C293" w14:textId="154D566F" w:rsidR="00BD3F89" w:rsidRDefault="00F7050D" w:rsidP="000D0599">
      <w:pPr>
        <w:pStyle w:val="ListParagraph"/>
        <w:suppressAutoHyphens/>
        <w:spacing w:after="0" w:line="240" w:lineRule="auto"/>
        <w:ind w:left="360"/>
        <w:jc w:val="both"/>
        <w:rPr>
          <w:rFonts w:ascii="Calibri" w:hAnsi="Calibri"/>
          <w:sz w:val="20"/>
          <w:szCs w:val="20"/>
        </w:rPr>
      </w:pPr>
      <w:r>
        <w:rPr>
          <w:rFonts w:ascii="Calibri" w:hAnsi="Calibri"/>
          <w:sz w:val="20"/>
          <w:szCs w:val="20"/>
        </w:rPr>
        <w:t xml:space="preserve">Under-taxing of extreme income and wealth and harmful tax practices </w:t>
      </w:r>
      <w:bookmarkStart w:id="8" w:name="_Hlk7495233"/>
      <w:r>
        <w:rPr>
          <w:rFonts w:ascii="Calibri" w:hAnsi="Calibri"/>
          <w:sz w:val="20"/>
          <w:szCs w:val="20"/>
        </w:rPr>
        <w:t>prevent people from fully enjoying</w:t>
      </w:r>
      <w:r w:rsidR="00734FC8" w:rsidRPr="00DA536D">
        <w:rPr>
          <w:rFonts w:ascii="Calibri" w:hAnsi="Calibri"/>
          <w:sz w:val="20"/>
          <w:szCs w:val="20"/>
        </w:rPr>
        <w:t xml:space="preserve"> the</w:t>
      </w:r>
      <w:r w:rsidR="00D17C67">
        <w:rPr>
          <w:rFonts w:ascii="Calibri" w:hAnsi="Calibri"/>
          <w:sz w:val="20"/>
          <w:szCs w:val="20"/>
        </w:rPr>
        <w:t>ir</w:t>
      </w:r>
      <w:r w:rsidR="00734FC8" w:rsidRPr="00DA536D">
        <w:rPr>
          <w:rFonts w:ascii="Calibri" w:hAnsi="Calibri"/>
          <w:sz w:val="20"/>
          <w:szCs w:val="20"/>
        </w:rPr>
        <w:t xml:space="preserve"> right to full </w:t>
      </w:r>
      <w:r w:rsidR="00D17C67" w:rsidRPr="00DA536D">
        <w:rPr>
          <w:rFonts w:ascii="Calibri" w:hAnsi="Calibri"/>
          <w:sz w:val="20"/>
          <w:szCs w:val="20"/>
        </w:rPr>
        <w:t>sovereignty</w:t>
      </w:r>
      <w:r w:rsidR="00D17C67">
        <w:rPr>
          <w:rFonts w:ascii="Calibri" w:hAnsi="Calibri"/>
          <w:sz w:val="20"/>
          <w:szCs w:val="20"/>
        </w:rPr>
        <w:t xml:space="preserve"> because they deprive countries’ governments of </w:t>
      </w:r>
      <w:r w:rsidR="006C7208">
        <w:rPr>
          <w:rFonts w:ascii="Calibri" w:hAnsi="Calibri"/>
          <w:sz w:val="20"/>
          <w:szCs w:val="20"/>
        </w:rPr>
        <w:t>valuable</w:t>
      </w:r>
      <w:r w:rsidR="00D17C67">
        <w:rPr>
          <w:rFonts w:ascii="Calibri" w:hAnsi="Calibri"/>
          <w:sz w:val="20"/>
          <w:szCs w:val="20"/>
        </w:rPr>
        <w:t xml:space="preserve"> ta</w:t>
      </w:r>
      <w:r w:rsidR="006C7208">
        <w:rPr>
          <w:rFonts w:ascii="Calibri" w:hAnsi="Calibri"/>
          <w:sz w:val="20"/>
          <w:szCs w:val="20"/>
        </w:rPr>
        <w:t>x revenues that could be used for</w:t>
      </w:r>
      <w:r w:rsidR="00D17C67">
        <w:rPr>
          <w:rFonts w:ascii="Calibri" w:hAnsi="Calibri"/>
          <w:sz w:val="20"/>
          <w:szCs w:val="20"/>
        </w:rPr>
        <w:t xml:space="preserve"> public spending in health, education, social protection and infrastructure which are critical for the achievement of the Right to Development. </w:t>
      </w:r>
      <w:r w:rsidR="006C7208" w:rsidRPr="00513540">
        <w:rPr>
          <w:rFonts w:ascii="Calibri" w:hAnsi="Calibri"/>
          <w:sz w:val="20"/>
          <w:szCs w:val="20"/>
        </w:rPr>
        <w:t>For example, getting the richest to pay just 0.5% extra tax on their wealth could raise more money than it would cost to educate all 262 million children out of school and provide healthcare that would save the lives of 3.3 million people</w:t>
      </w:r>
      <w:bookmarkEnd w:id="8"/>
      <w:r w:rsidR="006C7208" w:rsidRPr="00513540">
        <w:rPr>
          <w:rFonts w:ascii="Calibri" w:hAnsi="Calibri"/>
          <w:sz w:val="20"/>
          <w:szCs w:val="20"/>
        </w:rPr>
        <w:t>.</w:t>
      </w:r>
      <w:r w:rsidR="006C7208" w:rsidRPr="00513540">
        <w:rPr>
          <w:rStyle w:val="EndnoteReference"/>
          <w:rFonts w:ascii="Calibri" w:hAnsi="Calibri"/>
          <w:sz w:val="20"/>
          <w:szCs w:val="20"/>
        </w:rPr>
        <w:endnoteReference w:id="37"/>
      </w:r>
    </w:p>
    <w:p w14:paraId="52F9A4CF" w14:textId="77777777" w:rsidR="000D0599" w:rsidRPr="000D0599" w:rsidRDefault="000D0599" w:rsidP="000D0599">
      <w:pPr>
        <w:pStyle w:val="ListParagraph"/>
        <w:suppressAutoHyphens/>
        <w:spacing w:after="0" w:line="240" w:lineRule="auto"/>
        <w:ind w:left="360"/>
        <w:jc w:val="both"/>
        <w:rPr>
          <w:rFonts w:ascii="Calibri" w:hAnsi="Calibri"/>
          <w:b/>
          <w:sz w:val="20"/>
          <w:szCs w:val="20"/>
        </w:rPr>
      </w:pPr>
    </w:p>
    <w:p w14:paraId="3047F278" w14:textId="77777777" w:rsidR="000D0599" w:rsidRDefault="00DC28A5" w:rsidP="00DC28A5">
      <w:pPr>
        <w:pStyle w:val="ListParagraph"/>
        <w:numPr>
          <w:ilvl w:val="0"/>
          <w:numId w:val="7"/>
        </w:numPr>
        <w:jc w:val="both"/>
        <w:rPr>
          <w:rFonts w:ascii="Calibri" w:hAnsi="Calibri"/>
          <w:b/>
          <w:sz w:val="20"/>
          <w:szCs w:val="20"/>
        </w:rPr>
      </w:pPr>
      <w:bookmarkStart w:id="9" w:name="_Hlk7464545"/>
      <w:r w:rsidRPr="00DC28A5">
        <w:rPr>
          <w:rFonts w:ascii="Calibri" w:hAnsi="Calibri"/>
          <w:b/>
          <w:sz w:val="20"/>
          <w:szCs w:val="20"/>
        </w:rPr>
        <w:t xml:space="preserve">Economic inequality does not have a clear conceptual anchoring in human rights and their legal and institutional framework. </w:t>
      </w:r>
    </w:p>
    <w:p w14:paraId="026507EF" w14:textId="7A588089" w:rsidR="00DC28A5" w:rsidRDefault="00DC28A5" w:rsidP="000D0599">
      <w:pPr>
        <w:pStyle w:val="ListParagraph"/>
        <w:ind w:left="360"/>
        <w:jc w:val="both"/>
        <w:rPr>
          <w:rFonts w:ascii="Calibri" w:hAnsi="Calibri"/>
          <w:b/>
          <w:sz w:val="20"/>
          <w:szCs w:val="20"/>
        </w:rPr>
      </w:pPr>
      <w:bookmarkStart w:id="10" w:name="_Hlk7496300"/>
      <w:bookmarkEnd w:id="9"/>
      <w:r w:rsidRPr="00DC28A5">
        <w:rPr>
          <w:rFonts w:ascii="Calibri" w:hAnsi="Calibri"/>
          <w:sz w:val="20"/>
          <w:szCs w:val="20"/>
        </w:rPr>
        <w:t>This has prevented the recognition of extreme inequality as a threat to human rights (including to the right to development), if not a violation of human rights itself.</w:t>
      </w:r>
      <w:r w:rsidRPr="00DC28A5">
        <w:rPr>
          <w:rFonts w:ascii="Calibri" w:hAnsi="Calibri"/>
          <w:b/>
          <w:sz w:val="20"/>
          <w:szCs w:val="20"/>
        </w:rPr>
        <w:t xml:space="preserve"> </w:t>
      </w:r>
      <w:r w:rsidRPr="00DC28A5">
        <w:rPr>
          <w:rFonts w:ascii="Calibri" w:hAnsi="Calibri"/>
          <w:sz w:val="20"/>
          <w:szCs w:val="20"/>
        </w:rPr>
        <w:t>In turn, this has prevented the creation within the UN system of strong mechanisms and instruments that would compel countries to implement policies to reduce inequality, keep international institutions accountable for their contribution to tackle inequality and enable a systematic and transparent monitoring of economic inequality.</w:t>
      </w:r>
      <w:r w:rsidRPr="00DC28A5">
        <w:rPr>
          <w:rFonts w:ascii="Calibri" w:hAnsi="Calibri"/>
          <w:b/>
          <w:sz w:val="20"/>
          <w:szCs w:val="20"/>
        </w:rPr>
        <w:t xml:space="preserve"> </w:t>
      </w:r>
    </w:p>
    <w:bookmarkEnd w:id="10"/>
    <w:p w14:paraId="7BCECF53" w14:textId="77777777" w:rsidR="000D0599" w:rsidRDefault="00DC28A5" w:rsidP="000D0599">
      <w:pPr>
        <w:pStyle w:val="ListParagraph"/>
        <w:ind w:left="360"/>
        <w:jc w:val="both"/>
        <w:rPr>
          <w:rFonts w:ascii="Calibri" w:eastAsia="Calibri" w:hAnsi="Calibri" w:cs="Calibri"/>
          <w:sz w:val="20"/>
          <w:szCs w:val="20"/>
        </w:rPr>
      </w:pPr>
      <w:r w:rsidRPr="00DC28A5">
        <w:rPr>
          <w:rFonts w:ascii="Calibri" w:eastAsia="Times New Roman" w:hAnsi="Calibri" w:cs="Helvetica"/>
          <w:sz w:val="20"/>
          <w:szCs w:val="20"/>
          <w:lang w:eastAsia="en-GB"/>
        </w:rPr>
        <w:t xml:space="preserve">The inclusion of Goal 10 in the Sustainable Development Goals agenda has been a remarkable achievement in this sense. </w:t>
      </w:r>
      <w:bookmarkStart w:id="11" w:name="_Hlk7496358"/>
      <w:r w:rsidRPr="00DC28A5">
        <w:rPr>
          <w:rFonts w:ascii="Calibri" w:eastAsia="Times New Roman" w:hAnsi="Calibri" w:cs="Helvetica"/>
          <w:sz w:val="20"/>
          <w:szCs w:val="20"/>
          <w:lang w:eastAsia="en-GB"/>
        </w:rPr>
        <w:t xml:space="preserve">However, unlike most other Goals </w:t>
      </w:r>
      <w:r w:rsidRPr="00DC28A5">
        <w:rPr>
          <w:rFonts w:ascii="Calibri" w:eastAsia="Calibri" w:hAnsi="Calibri" w:cs="Calibri"/>
          <w:sz w:val="20"/>
          <w:szCs w:val="20"/>
        </w:rPr>
        <w:t xml:space="preserve">(e.g Goal </w:t>
      </w:r>
      <w:r w:rsidR="0039002E">
        <w:rPr>
          <w:rFonts w:ascii="Calibri" w:eastAsia="Calibri" w:hAnsi="Calibri" w:cs="Calibri"/>
          <w:sz w:val="20"/>
          <w:szCs w:val="20"/>
        </w:rPr>
        <w:t xml:space="preserve">1 </w:t>
      </w:r>
      <w:r w:rsidRPr="00DC28A5">
        <w:rPr>
          <w:rFonts w:ascii="Calibri" w:eastAsia="Calibri" w:hAnsi="Calibri" w:cs="Calibri"/>
          <w:sz w:val="20"/>
          <w:szCs w:val="20"/>
        </w:rPr>
        <w:t>is championed by the World Bank, Goal 2 by FAO, Goal 3 by WHO</w:t>
      </w:r>
      <w:r w:rsidR="0039002E">
        <w:rPr>
          <w:rFonts w:ascii="Calibri" w:eastAsia="Calibri" w:hAnsi="Calibri" w:cs="Calibri"/>
          <w:sz w:val="20"/>
          <w:szCs w:val="20"/>
        </w:rPr>
        <w:t>, Goal 5 by UN Women</w:t>
      </w:r>
      <w:r w:rsidRPr="00DC28A5">
        <w:rPr>
          <w:rFonts w:ascii="Calibri" w:eastAsia="Calibri" w:hAnsi="Calibri" w:cs="Calibri"/>
          <w:sz w:val="20"/>
          <w:szCs w:val="20"/>
        </w:rPr>
        <w:t>)</w:t>
      </w:r>
      <w:r w:rsidRPr="00DC28A5">
        <w:rPr>
          <w:rFonts w:ascii="Calibri" w:eastAsia="Times New Roman" w:hAnsi="Calibri" w:cs="Helvetica"/>
          <w:sz w:val="20"/>
          <w:szCs w:val="20"/>
          <w:lang w:eastAsia="en-GB"/>
        </w:rPr>
        <w:t xml:space="preserve">, Goal 10 does not have a dedicated institution within the UN System with the mandate of looking after its monitoring and implementation, and overall the </w:t>
      </w:r>
      <w:r w:rsidRPr="00DC28A5">
        <w:rPr>
          <w:rFonts w:ascii="Calibri" w:eastAsia="Calibri" w:hAnsi="Calibri" w:cs="Calibri"/>
          <w:sz w:val="20"/>
          <w:szCs w:val="20"/>
        </w:rPr>
        <w:t xml:space="preserve">multilateral process in support of Goal 10 has been insufficient and inadequate. </w:t>
      </w:r>
      <w:bookmarkEnd w:id="11"/>
    </w:p>
    <w:p w14:paraId="1926B7F4" w14:textId="77777777" w:rsidR="005F383F" w:rsidRDefault="000D0599" w:rsidP="005F383F">
      <w:pPr>
        <w:pStyle w:val="ListParagraph"/>
        <w:ind w:left="360"/>
        <w:jc w:val="both"/>
        <w:rPr>
          <w:rFonts w:ascii="Calibri" w:eastAsia="Calibri" w:hAnsi="Calibri" w:cs="Calibri"/>
          <w:sz w:val="20"/>
          <w:szCs w:val="20"/>
        </w:rPr>
      </w:pPr>
      <w:r w:rsidRPr="00DA536D">
        <w:rPr>
          <w:rFonts w:ascii="Calibri" w:eastAsia="Times New Roman" w:hAnsi="Calibri" w:cs="Helvetica"/>
          <w:sz w:val="20"/>
          <w:szCs w:val="20"/>
          <w:lang w:eastAsia="en-GB"/>
        </w:rPr>
        <w:t>The U</w:t>
      </w:r>
      <w:r>
        <w:rPr>
          <w:rFonts w:ascii="Calibri" w:eastAsia="Times New Roman" w:hAnsi="Calibri" w:cs="Helvetica"/>
          <w:sz w:val="20"/>
          <w:szCs w:val="20"/>
          <w:lang w:eastAsia="en-GB"/>
        </w:rPr>
        <w:t>N Systems SDGs Action Database</w:t>
      </w:r>
      <w:r>
        <w:rPr>
          <w:rStyle w:val="EndnoteReference"/>
          <w:rFonts w:ascii="Calibri" w:eastAsia="Times New Roman" w:hAnsi="Calibri" w:cs="Helvetica"/>
          <w:sz w:val="20"/>
          <w:szCs w:val="20"/>
          <w:lang w:eastAsia="en-GB"/>
        </w:rPr>
        <w:endnoteReference w:id="38"/>
      </w:r>
      <w:r w:rsidRPr="00DA536D">
        <w:rPr>
          <w:rFonts w:ascii="Calibri" w:eastAsia="Times New Roman" w:hAnsi="Calibri" w:cs="Helvetica"/>
          <w:sz w:val="20"/>
          <w:szCs w:val="20"/>
          <w:lang w:eastAsia="en-GB"/>
        </w:rPr>
        <w:t xml:space="preserve"> reveals that the UN system has undertaken very few meaningful activities in pursuit of SDG10. Notable exceptions are ECLAC, which has been exploring different aspects of the evolution of inequality in Latin America, and the IMF, which has implemented several pilots to start</w:t>
      </w:r>
      <w:r>
        <w:rPr>
          <w:rFonts w:ascii="Calibri" w:eastAsia="Times New Roman" w:hAnsi="Calibri" w:cs="Helvetica"/>
          <w:sz w:val="20"/>
          <w:szCs w:val="20"/>
          <w:lang w:eastAsia="en-GB"/>
        </w:rPr>
        <w:t xml:space="preserve"> integrating</w:t>
      </w:r>
      <w:r w:rsidRPr="00DA536D">
        <w:rPr>
          <w:rFonts w:ascii="Calibri" w:eastAsia="Times New Roman" w:hAnsi="Calibri" w:cs="Helvetica"/>
          <w:sz w:val="20"/>
          <w:szCs w:val="20"/>
          <w:lang w:eastAsia="en-GB"/>
        </w:rPr>
        <w:t xml:space="preserve"> considerations on economic and gender inequalit</w:t>
      </w:r>
      <w:r>
        <w:rPr>
          <w:rFonts w:ascii="Calibri" w:eastAsia="Times New Roman" w:hAnsi="Calibri" w:cs="Helvetica"/>
          <w:sz w:val="20"/>
          <w:szCs w:val="20"/>
          <w:lang w:eastAsia="en-GB"/>
        </w:rPr>
        <w:t>y in its country policy advice</w:t>
      </w:r>
      <w:r w:rsidRPr="00DA536D">
        <w:rPr>
          <w:rFonts w:ascii="Calibri" w:eastAsia="Calibri" w:hAnsi="Calibri" w:cs="Calibri"/>
          <w:sz w:val="20"/>
          <w:szCs w:val="20"/>
        </w:rPr>
        <w:t>.</w:t>
      </w:r>
      <w:r>
        <w:rPr>
          <w:rStyle w:val="EndnoteReference"/>
          <w:rFonts w:ascii="Calibri" w:eastAsia="Calibri" w:hAnsi="Calibri" w:cs="Calibri"/>
          <w:sz w:val="20"/>
          <w:szCs w:val="20"/>
        </w:rPr>
        <w:endnoteReference w:id="39"/>
      </w:r>
      <w:r w:rsidRPr="00DA536D">
        <w:rPr>
          <w:rFonts w:ascii="Calibri" w:eastAsia="Calibri" w:hAnsi="Calibri" w:cs="Calibri"/>
          <w:sz w:val="20"/>
          <w:szCs w:val="20"/>
        </w:rPr>
        <w:t xml:space="preserve"> </w:t>
      </w:r>
    </w:p>
    <w:p w14:paraId="55AB98F3" w14:textId="77777777" w:rsidR="005F383F" w:rsidRDefault="000D0599" w:rsidP="005F383F">
      <w:pPr>
        <w:pStyle w:val="ListParagraph"/>
        <w:ind w:left="360"/>
        <w:jc w:val="both"/>
        <w:rPr>
          <w:rFonts w:ascii="Calibri" w:eastAsia="Times New Roman" w:hAnsi="Calibri" w:cs="Helvetica"/>
          <w:sz w:val="20"/>
          <w:szCs w:val="20"/>
          <w:lang w:eastAsia="en-GB"/>
        </w:rPr>
      </w:pPr>
      <w:r w:rsidRPr="00DA536D">
        <w:rPr>
          <w:rFonts w:ascii="Calibri" w:eastAsia="Times New Roman" w:hAnsi="Calibri" w:cs="Helvetica"/>
          <w:sz w:val="20"/>
          <w:szCs w:val="20"/>
          <w:lang w:eastAsia="en-GB"/>
        </w:rPr>
        <w:t xml:space="preserve">The Office of the High Commissioner for Human Rights is a champion against discriminations or “horizontal inequalities” (Targets 10.2 and 10.3), but </w:t>
      </w:r>
      <w:r w:rsidR="0082220E">
        <w:rPr>
          <w:rFonts w:ascii="Calibri" w:eastAsia="Times New Roman" w:hAnsi="Calibri" w:cs="Helvetica"/>
          <w:sz w:val="20"/>
          <w:szCs w:val="20"/>
          <w:lang w:eastAsia="en-GB"/>
        </w:rPr>
        <w:t>is less focused on</w:t>
      </w:r>
      <w:r w:rsidRPr="00DA536D">
        <w:rPr>
          <w:rFonts w:ascii="Calibri" w:eastAsia="Times New Roman" w:hAnsi="Calibri" w:cs="Helvetica"/>
          <w:sz w:val="20"/>
          <w:szCs w:val="20"/>
          <w:lang w:eastAsia="en-GB"/>
        </w:rPr>
        <w:t xml:space="preserve"> “vertical inequality” (</w:t>
      </w:r>
      <w:r w:rsidR="0082220E">
        <w:rPr>
          <w:rFonts w:ascii="Calibri" w:eastAsia="Times New Roman" w:hAnsi="Calibri" w:cs="Helvetica"/>
          <w:sz w:val="20"/>
          <w:szCs w:val="20"/>
          <w:lang w:eastAsia="en-GB"/>
        </w:rPr>
        <w:t xml:space="preserve">inequality </w:t>
      </w:r>
      <w:r w:rsidRPr="00DA536D">
        <w:rPr>
          <w:rFonts w:ascii="Calibri" w:eastAsia="Times New Roman" w:hAnsi="Calibri" w:cs="Helvetica"/>
          <w:sz w:val="20"/>
          <w:szCs w:val="20"/>
          <w:lang w:eastAsia="en-GB"/>
        </w:rPr>
        <w:t>between rich and poor)</w:t>
      </w:r>
      <w:r w:rsidR="0082220E">
        <w:rPr>
          <w:rFonts w:ascii="Calibri" w:eastAsia="Times New Roman" w:hAnsi="Calibri" w:cs="Helvetica"/>
          <w:sz w:val="20"/>
          <w:szCs w:val="20"/>
          <w:lang w:eastAsia="en-GB"/>
        </w:rPr>
        <w:t>, which is the more politically charged aspect of Goal10</w:t>
      </w:r>
      <w:r w:rsidRPr="00DA536D">
        <w:rPr>
          <w:rFonts w:ascii="Calibri" w:eastAsia="Times New Roman" w:hAnsi="Calibri" w:cs="Helvetica"/>
          <w:sz w:val="20"/>
          <w:szCs w:val="20"/>
          <w:lang w:eastAsia="en-GB"/>
        </w:rPr>
        <w:t xml:space="preserve">.  </w:t>
      </w:r>
    </w:p>
    <w:p w14:paraId="2A3D3753" w14:textId="77777777" w:rsidR="005F383F" w:rsidRDefault="005F383F" w:rsidP="005F383F">
      <w:pPr>
        <w:pStyle w:val="ListParagraph"/>
        <w:ind w:left="360"/>
        <w:jc w:val="both"/>
        <w:rPr>
          <w:rFonts w:ascii="Calibri" w:eastAsia="Times New Roman" w:hAnsi="Calibri" w:cs="Helvetica"/>
          <w:sz w:val="20"/>
          <w:szCs w:val="20"/>
          <w:lang w:eastAsia="en-GB"/>
        </w:rPr>
      </w:pPr>
    </w:p>
    <w:p w14:paraId="192E5296" w14:textId="77777777" w:rsidR="005F383F" w:rsidRDefault="000D0599" w:rsidP="005F383F">
      <w:pPr>
        <w:pStyle w:val="ListParagraph"/>
        <w:ind w:left="360"/>
        <w:jc w:val="both"/>
        <w:rPr>
          <w:rFonts w:ascii="Calibri" w:hAnsi="Calibri"/>
          <w:sz w:val="20"/>
          <w:szCs w:val="20"/>
          <w:shd w:val="clear" w:color="auto" w:fill="FFFFFF"/>
        </w:rPr>
      </w:pPr>
      <w:r w:rsidRPr="00DA536D">
        <w:rPr>
          <w:rFonts w:ascii="Calibri" w:eastAsia="Times New Roman" w:hAnsi="Calibri" w:cs="Helvetica"/>
          <w:sz w:val="20"/>
          <w:szCs w:val="20"/>
          <w:lang w:eastAsia="en-GB"/>
        </w:rPr>
        <w:t xml:space="preserve">Important contributions to the analysis between inequality, human rights, the SDGS and economic reforms have come from the </w:t>
      </w:r>
      <w:hyperlink r:id="rId8" w:history="1">
        <w:r w:rsidRPr="00DA536D">
          <w:rPr>
            <w:rStyle w:val="Hyperlink"/>
            <w:rFonts w:ascii="Calibri" w:eastAsia="Times New Roman" w:hAnsi="Calibri" w:cs="Helvetica"/>
            <w:color w:val="auto"/>
            <w:sz w:val="20"/>
            <w:szCs w:val="20"/>
            <w:lang w:eastAsia="en-GB"/>
          </w:rPr>
          <w:t>UN Special Rapporteurs on human rights and extreme poverty</w:t>
        </w:r>
      </w:hyperlink>
      <w:r w:rsidRPr="00DA536D">
        <w:rPr>
          <w:rFonts w:ascii="Calibri" w:eastAsia="Times New Roman" w:hAnsi="Calibri" w:cs="Helvetica"/>
          <w:sz w:val="20"/>
          <w:szCs w:val="20"/>
          <w:lang w:eastAsia="en-GB"/>
        </w:rPr>
        <w:t xml:space="preserve"> Philip Alston </w:t>
      </w:r>
      <w:r w:rsidRPr="0082220E">
        <w:rPr>
          <w:rFonts w:ascii="Calibri" w:eastAsia="Times New Roman" w:hAnsi="Calibri" w:cs="Helvetica"/>
          <w:sz w:val="20"/>
          <w:szCs w:val="20"/>
          <w:lang w:eastAsia="en-GB"/>
        </w:rPr>
        <w:t xml:space="preserve">and the Independent Expert on the effects of foreign debt on human rights </w:t>
      </w:r>
      <w:hyperlink r:id="rId9" w:history="1">
        <w:r w:rsidRPr="0082220E">
          <w:rPr>
            <w:rStyle w:val="Hyperlink"/>
            <w:rFonts w:ascii="Calibri" w:hAnsi="Calibri"/>
            <w:color w:val="auto"/>
            <w:sz w:val="20"/>
            <w:szCs w:val="20"/>
            <w:shd w:val="clear" w:color="auto" w:fill="FFFFFF"/>
          </w:rPr>
          <w:t>Juan Pablo Bohoslavsky</w:t>
        </w:r>
      </w:hyperlink>
      <w:r w:rsidRPr="0082220E">
        <w:rPr>
          <w:rFonts w:ascii="Calibri" w:hAnsi="Calibri"/>
          <w:sz w:val="20"/>
          <w:szCs w:val="20"/>
          <w:shd w:val="clear" w:color="auto" w:fill="FFFFFF"/>
        </w:rPr>
        <w:t>.</w:t>
      </w:r>
      <w:r w:rsidR="0082220E" w:rsidRPr="0082220E">
        <w:rPr>
          <w:rFonts w:ascii="Calibri" w:hAnsi="Calibri"/>
          <w:sz w:val="20"/>
          <w:szCs w:val="20"/>
          <w:shd w:val="clear" w:color="auto" w:fill="FFFFFF"/>
        </w:rPr>
        <w:t xml:space="preserve"> Notable has been the recent </w:t>
      </w:r>
      <w:hyperlink r:id="rId10" w:tgtFrame="_blank" w:history="1">
        <w:r w:rsidR="0082220E" w:rsidRPr="0082220E">
          <w:rPr>
            <w:rStyle w:val="Hyperlink"/>
            <w:rFonts w:ascii="Calibri" w:hAnsi="Calibri" w:cs="Arial"/>
            <w:color w:val="auto"/>
            <w:sz w:val="20"/>
            <w:szCs w:val="20"/>
            <w:shd w:val="clear" w:color="auto" w:fill="FFFFFF"/>
          </w:rPr>
          <w:t>resolution</w:t>
        </w:r>
      </w:hyperlink>
      <w:r w:rsidR="0082220E">
        <w:rPr>
          <w:rStyle w:val="EndnoteReference"/>
          <w:rFonts w:ascii="Calibri" w:hAnsi="Calibri"/>
          <w:sz w:val="20"/>
          <w:szCs w:val="20"/>
        </w:rPr>
        <w:endnoteReference w:id="40"/>
      </w:r>
      <w:r w:rsidR="0082220E" w:rsidRPr="0082220E">
        <w:rPr>
          <w:rFonts w:ascii="Calibri" w:hAnsi="Calibri"/>
          <w:sz w:val="20"/>
          <w:szCs w:val="20"/>
        </w:rPr>
        <w:t xml:space="preserve"> </w:t>
      </w:r>
      <w:r w:rsidR="0082220E" w:rsidRPr="0082220E">
        <w:rPr>
          <w:rFonts w:ascii="Calibri" w:hAnsi="Calibri"/>
          <w:sz w:val="20"/>
          <w:szCs w:val="20"/>
          <w:shd w:val="clear" w:color="auto" w:fill="FFFFFF"/>
        </w:rPr>
        <w:t xml:space="preserve">of the </w:t>
      </w:r>
      <w:r w:rsidR="0082220E" w:rsidRPr="0082220E">
        <w:rPr>
          <w:rFonts w:ascii="Calibri" w:hAnsi="Calibri" w:cs="Arial"/>
          <w:sz w:val="20"/>
          <w:szCs w:val="20"/>
          <w:shd w:val="clear" w:color="auto" w:fill="FFFFFF"/>
        </w:rPr>
        <w:t xml:space="preserve"> Human Rights Council  on the effects of foreign debt on the enjoyment of human rights and the related </w:t>
      </w:r>
      <w:hyperlink r:id="rId11" w:tgtFrame="_blank" w:history="1">
        <w:r w:rsidR="0082220E" w:rsidRPr="0082220E">
          <w:rPr>
            <w:rStyle w:val="Hyperlink"/>
            <w:rFonts w:ascii="Calibri" w:hAnsi="Calibri" w:cs="Arial"/>
            <w:color w:val="auto"/>
            <w:sz w:val="20"/>
            <w:szCs w:val="20"/>
            <w:shd w:val="clear" w:color="auto" w:fill="FFFFFF"/>
          </w:rPr>
          <w:t>UN Guiding Principles on human rights impact assessments of economic reforms</w:t>
        </w:r>
      </w:hyperlink>
      <w:r w:rsidR="0082220E">
        <w:rPr>
          <w:rStyle w:val="EndnoteReference"/>
          <w:rFonts w:ascii="Calibri" w:hAnsi="Calibri"/>
          <w:sz w:val="20"/>
          <w:szCs w:val="20"/>
        </w:rPr>
        <w:endnoteReference w:id="41"/>
      </w:r>
      <w:r w:rsidR="0082220E" w:rsidRPr="0082220E">
        <w:rPr>
          <w:rFonts w:ascii="Calibri" w:hAnsi="Calibri" w:cs="Arial"/>
          <w:sz w:val="20"/>
          <w:szCs w:val="20"/>
          <w:shd w:val="clear" w:color="auto" w:fill="FFFFFF"/>
        </w:rPr>
        <w:t>, designed to help states and international financial institutions (IFIs) meet the challenging task of balancing the aims of fiscal sustainability and macroeconomic stability with the protection and fulfilment of universal human rights</w:t>
      </w:r>
      <w:r w:rsidR="0082220E" w:rsidRPr="0082220E">
        <w:rPr>
          <w:rFonts w:ascii="Calibri" w:hAnsi="Calibri" w:cs="Arial"/>
          <w:color w:val="333333"/>
          <w:sz w:val="20"/>
          <w:szCs w:val="20"/>
          <w:shd w:val="clear" w:color="auto" w:fill="FFFFFF"/>
        </w:rPr>
        <w:t>.</w:t>
      </w:r>
      <w:r w:rsidR="0082220E">
        <w:rPr>
          <w:rFonts w:ascii="Calibri" w:hAnsi="Calibri"/>
          <w:sz w:val="20"/>
          <w:szCs w:val="20"/>
          <w:shd w:val="clear" w:color="auto" w:fill="FFFFFF"/>
        </w:rPr>
        <w:t xml:space="preserve"> Yet, no institutions is ready to be held accountable for advancing the multilateral discussion on the</w:t>
      </w:r>
      <w:r w:rsidRPr="0082220E">
        <w:rPr>
          <w:rFonts w:ascii="Calibri" w:eastAsia="Calibri" w:hAnsi="Calibri" w:cs="Calibri"/>
          <w:sz w:val="20"/>
          <w:szCs w:val="20"/>
        </w:rPr>
        <w:t xml:space="preserve"> human rights impact assessment of economic reforms,</w:t>
      </w:r>
      <w:r>
        <w:rPr>
          <w:rStyle w:val="EndnoteReference"/>
          <w:rFonts w:ascii="Calibri" w:eastAsia="Calibri" w:hAnsi="Calibri" w:cs="Calibri"/>
          <w:sz w:val="20"/>
          <w:szCs w:val="20"/>
        </w:rPr>
        <w:endnoteReference w:id="42"/>
      </w:r>
      <w:r w:rsidRPr="0082220E">
        <w:rPr>
          <w:rFonts w:ascii="Calibri" w:eastAsia="Calibri" w:hAnsi="Calibri" w:cs="Calibri"/>
          <w:sz w:val="20"/>
          <w:szCs w:val="20"/>
        </w:rPr>
        <w:t xml:space="preserve"> </w:t>
      </w:r>
      <w:r w:rsidR="0082220E">
        <w:rPr>
          <w:rFonts w:ascii="Calibri" w:eastAsia="Calibri" w:hAnsi="Calibri" w:cs="Calibri"/>
          <w:sz w:val="20"/>
          <w:szCs w:val="20"/>
        </w:rPr>
        <w:t xml:space="preserve">so as </w:t>
      </w:r>
      <w:r w:rsidRPr="0082220E">
        <w:rPr>
          <w:rFonts w:ascii="Calibri" w:eastAsia="Calibri" w:hAnsi="Calibri" w:cs="Calibri"/>
          <w:sz w:val="20"/>
          <w:szCs w:val="20"/>
        </w:rPr>
        <w:t>no institution</w:t>
      </w:r>
      <w:r w:rsidR="0082220E">
        <w:rPr>
          <w:rFonts w:ascii="Calibri" w:eastAsia="Calibri" w:hAnsi="Calibri" w:cs="Calibri"/>
          <w:sz w:val="20"/>
          <w:szCs w:val="20"/>
        </w:rPr>
        <w:t xml:space="preserve"> seems to be accountable for the</w:t>
      </w:r>
      <w:r w:rsidRPr="0082220E">
        <w:rPr>
          <w:rFonts w:ascii="Calibri" w:eastAsia="Calibri" w:hAnsi="Calibri" w:cs="Calibri"/>
          <w:sz w:val="20"/>
          <w:szCs w:val="20"/>
        </w:rPr>
        <w:t xml:space="preserve"> achievement</w:t>
      </w:r>
      <w:r w:rsidR="0082220E">
        <w:rPr>
          <w:rFonts w:ascii="Calibri" w:eastAsia="Calibri" w:hAnsi="Calibri" w:cs="Calibri"/>
          <w:sz w:val="20"/>
          <w:szCs w:val="20"/>
        </w:rPr>
        <w:t xml:space="preserve"> of Goal 10</w:t>
      </w:r>
      <w:r w:rsidRPr="0082220E">
        <w:rPr>
          <w:rFonts w:ascii="Calibri" w:eastAsia="Calibri" w:hAnsi="Calibri" w:cs="Calibri"/>
          <w:sz w:val="20"/>
          <w:szCs w:val="20"/>
        </w:rPr>
        <w:t>.</w:t>
      </w:r>
      <w:r w:rsidR="00AE51A4">
        <w:rPr>
          <w:rFonts w:ascii="Calibri" w:hAnsi="Calibri"/>
          <w:sz w:val="20"/>
          <w:szCs w:val="20"/>
          <w:shd w:val="clear" w:color="auto" w:fill="FFFFFF"/>
        </w:rPr>
        <w:t xml:space="preserve"> In practice this implies that even when an institution such as the IMF acknowledges the importance of tackling extreme inequality, it only feels compelled to take it into account into its policy advice and lending work only when inequality is found to be ‘macrocritical’, meaning that it affects stability and growth.</w:t>
      </w:r>
      <w:r w:rsidR="00AE51A4">
        <w:rPr>
          <w:rStyle w:val="EndnoteReference"/>
          <w:rFonts w:ascii="Calibri" w:hAnsi="Calibri"/>
          <w:sz w:val="20"/>
          <w:szCs w:val="20"/>
          <w:shd w:val="clear" w:color="auto" w:fill="FFFFFF"/>
        </w:rPr>
        <w:endnoteReference w:id="43"/>
      </w:r>
      <w:r w:rsidR="00AE51A4">
        <w:rPr>
          <w:rFonts w:ascii="Calibri" w:hAnsi="Calibri"/>
          <w:sz w:val="20"/>
          <w:szCs w:val="20"/>
          <w:shd w:val="clear" w:color="auto" w:fill="FFFFFF"/>
        </w:rPr>
        <w:t xml:space="preserve"> Inequality as a violation of human rights is not contemplated in this assessment framework</w:t>
      </w:r>
      <w:r w:rsidR="003A3230">
        <w:rPr>
          <w:rFonts w:ascii="Calibri" w:hAnsi="Calibri"/>
          <w:sz w:val="20"/>
          <w:szCs w:val="20"/>
          <w:shd w:val="clear" w:color="auto" w:fill="FFFFFF"/>
        </w:rPr>
        <w:t xml:space="preserve"> – and Goal 10 does not offer the conceptual and technical tools to fill this gap and create a stronger and clearer link between extreme economic inequality and human rights.</w:t>
      </w:r>
    </w:p>
    <w:p w14:paraId="71656149" w14:textId="098046F1" w:rsidR="003C3D03" w:rsidRPr="005F383F" w:rsidRDefault="003A3230" w:rsidP="005F383F">
      <w:pPr>
        <w:pStyle w:val="ListParagraph"/>
        <w:ind w:left="360"/>
        <w:jc w:val="both"/>
        <w:rPr>
          <w:rFonts w:ascii="Calibri" w:hAnsi="Calibri"/>
          <w:b/>
          <w:sz w:val="20"/>
          <w:szCs w:val="20"/>
        </w:rPr>
      </w:pPr>
      <w:r>
        <w:rPr>
          <w:rFonts w:ascii="Calibri" w:hAnsi="Calibri"/>
          <w:sz w:val="20"/>
          <w:szCs w:val="20"/>
          <w:shd w:val="clear" w:color="auto" w:fill="FFFFFF"/>
        </w:rPr>
        <w:t xml:space="preserve"> </w:t>
      </w:r>
    </w:p>
    <w:p w14:paraId="13E95C20" w14:textId="4ABC710E" w:rsidR="00F512D7" w:rsidRPr="003A3230" w:rsidRDefault="003A3230" w:rsidP="003A3230">
      <w:pPr>
        <w:pStyle w:val="ListParagraph"/>
        <w:numPr>
          <w:ilvl w:val="0"/>
          <w:numId w:val="7"/>
        </w:numPr>
        <w:spacing w:after="0"/>
        <w:jc w:val="both"/>
        <w:rPr>
          <w:rFonts w:ascii="Calibri" w:hAnsi="Calibri"/>
          <w:b/>
          <w:sz w:val="20"/>
          <w:szCs w:val="20"/>
        </w:rPr>
      </w:pPr>
      <w:bookmarkStart w:id="12" w:name="_Hlk7464573"/>
      <w:r w:rsidRPr="003A3230">
        <w:rPr>
          <w:rFonts w:ascii="Calibri" w:hAnsi="Calibri"/>
          <w:b/>
          <w:sz w:val="20"/>
          <w:szCs w:val="20"/>
        </w:rPr>
        <w:t xml:space="preserve">For its realisation, Goal 10 requires the profound, lasting and politically charge changes to the business as usual economic and development model. However, </w:t>
      </w:r>
      <w:r w:rsidR="005F31A2">
        <w:rPr>
          <w:rFonts w:ascii="Calibri" w:hAnsi="Calibri"/>
          <w:b/>
          <w:sz w:val="20"/>
          <w:szCs w:val="20"/>
        </w:rPr>
        <w:t>t</w:t>
      </w:r>
      <w:r w:rsidR="00E5101D" w:rsidRPr="003A3230">
        <w:rPr>
          <w:rFonts w:ascii="Calibri" w:hAnsi="Calibri"/>
          <w:b/>
          <w:sz w:val="20"/>
          <w:szCs w:val="20"/>
        </w:rPr>
        <w:t>here are several technical and conceptual limitations that prevent Goal 10 from</w:t>
      </w:r>
      <w:r w:rsidR="00E64DD5" w:rsidRPr="003A3230">
        <w:rPr>
          <w:rFonts w:ascii="Calibri" w:hAnsi="Calibri"/>
          <w:b/>
          <w:sz w:val="20"/>
          <w:szCs w:val="20"/>
        </w:rPr>
        <w:t xml:space="preserve"> triggering</w:t>
      </w:r>
      <w:r w:rsidR="00B00AFA" w:rsidRPr="003A3230">
        <w:rPr>
          <w:rFonts w:ascii="Calibri" w:hAnsi="Calibri"/>
          <w:b/>
          <w:sz w:val="20"/>
          <w:szCs w:val="20"/>
        </w:rPr>
        <w:t xml:space="preserve"> and </w:t>
      </w:r>
      <w:r w:rsidR="006A49F9" w:rsidRPr="003A3230">
        <w:rPr>
          <w:rFonts w:ascii="Calibri" w:hAnsi="Calibri"/>
          <w:b/>
          <w:sz w:val="20"/>
          <w:szCs w:val="20"/>
        </w:rPr>
        <w:t xml:space="preserve">enabling </w:t>
      </w:r>
      <w:r w:rsidR="00E64DD5" w:rsidRPr="003A3230">
        <w:rPr>
          <w:rFonts w:ascii="Calibri" w:hAnsi="Calibri"/>
          <w:b/>
          <w:sz w:val="20"/>
          <w:szCs w:val="20"/>
        </w:rPr>
        <w:t xml:space="preserve">action on </w:t>
      </w:r>
      <w:r w:rsidR="00DE65EE" w:rsidRPr="003A3230">
        <w:rPr>
          <w:rFonts w:ascii="Calibri" w:hAnsi="Calibri"/>
          <w:b/>
          <w:sz w:val="20"/>
          <w:szCs w:val="20"/>
        </w:rPr>
        <w:t xml:space="preserve">the drivers of inequality and </w:t>
      </w:r>
      <w:r w:rsidR="00513540" w:rsidRPr="003A3230">
        <w:rPr>
          <w:rFonts w:ascii="Calibri" w:hAnsi="Calibri"/>
          <w:b/>
          <w:sz w:val="20"/>
          <w:szCs w:val="20"/>
        </w:rPr>
        <w:t xml:space="preserve">the </w:t>
      </w:r>
      <w:r w:rsidR="00DE65EE" w:rsidRPr="003A3230">
        <w:rPr>
          <w:rFonts w:ascii="Calibri" w:hAnsi="Calibri"/>
          <w:b/>
          <w:sz w:val="20"/>
          <w:szCs w:val="20"/>
        </w:rPr>
        <w:lastRenderedPageBreak/>
        <w:t xml:space="preserve">structures that reproduce and reinforce </w:t>
      </w:r>
      <w:r w:rsidR="00513540" w:rsidRPr="003A3230">
        <w:rPr>
          <w:rFonts w:ascii="Calibri" w:hAnsi="Calibri"/>
          <w:b/>
          <w:sz w:val="20"/>
          <w:szCs w:val="20"/>
        </w:rPr>
        <w:t>it, including</w:t>
      </w:r>
      <w:r w:rsidR="00E64DD5" w:rsidRPr="003A3230">
        <w:rPr>
          <w:rFonts w:ascii="Calibri" w:hAnsi="Calibri"/>
          <w:b/>
          <w:sz w:val="20"/>
          <w:szCs w:val="20"/>
        </w:rPr>
        <w:t xml:space="preserve"> </w:t>
      </w:r>
      <w:r w:rsidR="00DE65EE" w:rsidRPr="003A3230">
        <w:rPr>
          <w:rFonts w:ascii="Calibri" w:hAnsi="Calibri"/>
          <w:b/>
          <w:sz w:val="20"/>
          <w:szCs w:val="20"/>
        </w:rPr>
        <w:t>implement</w:t>
      </w:r>
      <w:r w:rsidR="00513540" w:rsidRPr="003A3230">
        <w:rPr>
          <w:rFonts w:ascii="Calibri" w:hAnsi="Calibri"/>
          <w:b/>
          <w:sz w:val="20"/>
          <w:szCs w:val="20"/>
        </w:rPr>
        <w:t>ing</w:t>
      </w:r>
      <w:r w:rsidR="00DE65EE" w:rsidRPr="003A3230">
        <w:rPr>
          <w:rFonts w:ascii="Calibri" w:hAnsi="Calibri"/>
          <w:b/>
          <w:sz w:val="20"/>
          <w:szCs w:val="20"/>
        </w:rPr>
        <w:t xml:space="preserve"> those global redistributive mech</w:t>
      </w:r>
      <w:r w:rsidR="00E64DD5" w:rsidRPr="003A3230">
        <w:rPr>
          <w:rFonts w:ascii="Calibri" w:hAnsi="Calibri"/>
          <w:b/>
          <w:sz w:val="20"/>
          <w:szCs w:val="20"/>
        </w:rPr>
        <w:t xml:space="preserve">anisms that would be necessary to achieve it. </w:t>
      </w:r>
    </w:p>
    <w:bookmarkEnd w:id="12"/>
    <w:p w14:paraId="1C106070" w14:textId="77777777" w:rsidR="00B00AFA" w:rsidRPr="00B00AFA" w:rsidRDefault="00B00AFA" w:rsidP="00B00AFA">
      <w:pPr>
        <w:pStyle w:val="ListParagraph"/>
        <w:ind w:left="360"/>
        <w:jc w:val="both"/>
        <w:rPr>
          <w:rFonts w:ascii="Calibri" w:hAnsi="Calibri"/>
          <w:b/>
          <w:sz w:val="20"/>
          <w:szCs w:val="20"/>
        </w:rPr>
      </w:pPr>
    </w:p>
    <w:p w14:paraId="58D17BE3" w14:textId="77777777" w:rsidR="00B00AFA" w:rsidRDefault="00B00AFA" w:rsidP="00DA536D">
      <w:pPr>
        <w:pStyle w:val="ListParagraph"/>
        <w:numPr>
          <w:ilvl w:val="1"/>
          <w:numId w:val="7"/>
        </w:numPr>
        <w:suppressAutoHyphens/>
        <w:spacing w:after="0" w:line="240" w:lineRule="auto"/>
        <w:jc w:val="both"/>
        <w:rPr>
          <w:rFonts w:ascii="Calibri" w:hAnsi="Calibri"/>
          <w:b/>
          <w:sz w:val="20"/>
          <w:szCs w:val="20"/>
        </w:rPr>
      </w:pPr>
      <w:r>
        <w:rPr>
          <w:rFonts w:ascii="Calibri" w:hAnsi="Calibri"/>
          <w:b/>
          <w:sz w:val="20"/>
          <w:szCs w:val="20"/>
        </w:rPr>
        <w:t>Technical limitations: an inadequate monitoring system</w:t>
      </w:r>
    </w:p>
    <w:p w14:paraId="4F4881A0" w14:textId="77777777" w:rsidR="00B00AFA" w:rsidRDefault="00E64DD5" w:rsidP="005F383F">
      <w:pPr>
        <w:pStyle w:val="ListParagraph"/>
        <w:suppressAutoHyphens/>
        <w:spacing w:after="0"/>
        <w:ind w:left="360"/>
        <w:jc w:val="both"/>
        <w:rPr>
          <w:rFonts w:ascii="Calibri" w:eastAsia="Times New Roman" w:hAnsi="Calibri" w:cs="Helvetica"/>
          <w:sz w:val="20"/>
          <w:szCs w:val="20"/>
          <w:lang w:eastAsia="en-GB"/>
        </w:rPr>
      </w:pPr>
      <w:r w:rsidRPr="00B00AFA">
        <w:rPr>
          <w:rFonts w:ascii="Calibri" w:eastAsia="Times New Roman" w:hAnsi="Calibri" w:cs="Helvetica"/>
          <w:sz w:val="20"/>
          <w:szCs w:val="20"/>
          <w:lang w:eastAsia="en-GB"/>
        </w:rPr>
        <w:t xml:space="preserve">The existing monitoring system for Goal 10 is not sufficient to capture important aspects of the evolution of economic inequality and of its intersections with gender inequality. </w:t>
      </w:r>
    </w:p>
    <w:p w14:paraId="41B45300" w14:textId="4CB474C1" w:rsidR="00B00AFA" w:rsidRDefault="00BA217C" w:rsidP="005F383F">
      <w:pPr>
        <w:pStyle w:val="ListParagraph"/>
        <w:suppressAutoHyphens/>
        <w:spacing w:after="0"/>
        <w:ind w:left="360"/>
        <w:jc w:val="both"/>
        <w:rPr>
          <w:rFonts w:ascii="Calibri" w:hAnsi="Calibri"/>
          <w:sz w:val="20"/>
          <w:szCs w:val="20"/>
        </w:rPr>
      </w:pPr>
      <w:r w:rsidRPr="00DA536D">
        <w:rPr>
          <w:rFonts w:ascii="Calibri" w:eastAsia="Calibri" w:hAnsi="Calibri" w:cs="Calibri"/>
          <w:sz w:val="20"/>
          <w:szCs w:val="20"/>
        </w:rPr>
        <w:t>Target 10.1 can fail to capture increase in economic inequality, because it only measures mean income growth and it only compares the bottom 40 percent with the average, instead of comparing the tails of the distribution. This means that the indicator would fail to capture a decline in the income share of the bottom 40 percent to the advantage of the top of the distribution, or a better performance of the bottom 40 percent due to average negative income gr</w:t>
      </w:r>
      <w:r w:rsidR="00B157B0">
        <w:rPr>
          <w:rFonts w:ascii="Calibri" w:eastAsia="Calibri" w:hAnsi="Calibri" w:cs="Calibri"/>
          <w:sz w:val="20"/>
          <w:szCs w:val="20"/>
        </w:rPr>
        <w:t>owth</w:t>
      </w:r>
      <w:r w:rsidRPr="00DA536D">
        <w:rPr>
          <w:rFonts w:ascii="Calibri" w:eastAsia="Calibri" w:hAnsi="Calibri" w:cs="Calibri"/>
          <w:sz w:val="20"/>
          <w:szCs w:val="20"/>
        </w:rPr>
        <w:t>.</w:t>
      </w:r>
      <w:r w:rsidR="00B157B0">
        <w:rPr>
          <w:rStyle w:val="EndnoteReference"/>
          <w:rFonts w:ascii="Calibri" w:eastAsia="Calibri" w:hAnsi="Calibri" w:cs="Calibri"/>
          <w:sz w:val="20"/>
          <w:szCs w:val="20"/>
        </w:rPr>
        <w:endnoteReference w:id="44"/>
      </w:r>
      <w:r w:rsidRPr="00DA536D">
        <w:rPr>
          <w:rFonts w:ascii="Calibri" w:eastAsia="Calibri" w:hAnsi="Calibri" w:cs="Calibri"/>
          <w:sz w:val="20"/>
          <w:szCs w:val="20"/>
        </w:rPr>
        <w:t xml:space="preserve"> Finally, the bottom 40% is a very homogeneous group which would include different proportions of people living in poverty in different countries. This means that the indicator provides little information on the extent to which the poorest are capturing the benefits of economic growth. </w:t>
      </w:r>
      <w:r w:rsidRPr="00DA536D">
        <w:rPr>
          <w:rFonts w:ascii="Calibri" w:hAnsi="Calibri"/>
          <w:sz w:val="20"/>
          <w:szCs w:val="20"/>
        </w:rPr>
        <w:t>Even less we know on the extent to which the most vulnerable groups – including women, ethnic minorities, people with disability are actually doing with respect to the rest of the distribution.</w:t>
      </w:r>
    </w:p>
    <w:p w14:paraId="2D6A9F3E" w14:textId="7CBFAF75" w:rsidR="00BA217C" w:rsidRDefault="00BA217C" w:rsidP="005F383F">
      <w:pPr>
        <w:pStyle w:val="ListParagraph"/>
        <w:suppressAutoHyphens/>
        <w:spacing w:after="0"/>
        <w:ind w:left="360"/>
        <w:jc w:val="both"/>
        <w:rPr>
          <w:rFonts w:ascii="Calibri" w:eastAsia="Times New Roman" w:hAnsi="Calibri" w:cs="Helvetica"/>
          <w:sz w:val="20"/>
          <w:szCs w:val="20"/>
          <w:lang w:eastAsia="en-GB"/>
        </w:rPr>
      </w:pPr>
      <w:r w:rsidRPr="00DA536D">
        <w:rPr>
          <w:rFonts w:ascii="Calibri" w:eastAsia="Times New Roman" w:hAnsi="Calibri" w:cs="Helvetica"/>
          <w:sz w:val="20"/>
          <w:szCs w:val="20"/>
          <w:lang w:eastAsia="en-GB"/>
        </w:rPr>
        <w:t>Other Goal 10’s targets are endowed with weak and insufficient indicators which fail to measure real progress. Most notably, the i</w:t>
      </w:r>
      <w:r w:rsidR="00B00AFA">
        <w:rPr>
          <w:rFonts w:ascii="Calibri" w:eastAsia="Times New Roman" w:hAnsi="Calibri" w:cs="Helvetica"/>
          <w:sz w:val="20"/>
          <w:szCs w:val="20"/>
          <w:lang w:eastAsia="en-GB"/>
        </w:rPr>
        <w:t xml:space="preserve">ndicator for target 10.4 (labor </w:t>
      </w:r>
      <w:r w:rsidRPr="00DA536D">
        <w:rPr>
          <w:rFonts w:ascii="Calibri" w:eastAsia="Times New Roman" w:hAnsi="Calibri" w:cs="Helvetica"/>
          <w:sz w:val="20"/>
          <w:szCs w:val="20"/>
          <w:lang w:eastAsia="en-GB"/>
        </w:rPr>
        <w:t>share of GDP) is a very poor measure of the extent to which countries are implementing progressive policies. Other targets also have similarly inadequate indicators and there is no indicator assessing inequalities between countries.</w:t>
      </w:r>
      <w:r w:rsidRPr="00DA536D">
        <w:rPr>
          <w:rFonts w:ascii="Calibri" w:eastAsia="Times New Roman" w:hAnsi="Calibri" w:cs="Helvetica"/>
          <w:sz w:val="20"/>
          <w:szCs w:val="20"/>
          <w:highlight w:val="yellow"/>
          <w:lang w:eastAsia="en-GB"/>
        </w:rPr>
        <w:t xml:space="preserve"> </w:t>
      </w:r>
    </w:p>
    <w:p w14:paraId="60BB164F" w14:textId="77777777" w:rsidR="00B00AFA" w:rsidRPr="00B00AFA" w:rsidRDefault="00B00AFA" w:rsidP="00B00AFA">
      <w:pPr>
        <w:pStyle w:val="ListParagraph"/>
        <w:suppressAutoHyphens/>
        <w:spacing w:after="0" w:line="240" w:lineRule="auto"/>
        <w:ind w:left="360"/>
        <w:jc w:val="both"/>
        <w:rPr>
          <w:rFonts w:ascii="Calibri" w:hAnsi="Calibri"/>
          <w:b/>
          <w:sz w:val="20"/>
          <w:szCs w:val="20"/>
        </w:rPr>
      </w:pPr>
    </w:p>
    <w:p w14:paraId="4A336B10" w14:textId="77777777" w:rsidR="00B00AFA" w:rsidRDefault="00B00AFA" w:rsidP="00DA536D">
      <w:pPr>
        <w:pStyle w:val="ListParagraph"/>
        <w:numPr>
          <w:ilvl w:val="1"/>
          <w:numId w:val="7"/>
        </w:numPr>
        <w:suppressAutoHyphens/>
        <w:spacing w:after="0" w:line="240" w:lineRule="auto"/>
        <w:jc w:val="both"/>
        <w:rPr>
          <w:rFonts w:ascii="Calibri" w:hAnsi="Calibri"/>
          <w:b/>
          <w:sz w:val="20"/>
          <w:szCs w:val="20"/>
        </w:rPr>
      </w:pPr>
      <w:r w:rsidRPr="00B00AFA">
        <w:rPr>
          <w:rFonts w:ascii="Calibri" w:hAnsi="Calibri"/>
          <w:b/>
          <w:sz w:val="20"/>
          <w:szCs w:val="20"/>
        </w:rPr>
        <w:t xml:space="preserve">Conceptual limitations: inequality as exclusion and neglect of wealth inequality </w:t>
      </w:r>
    </w:p>
    <w:p w14:paraId="6515985D" w14:textId="398E36E9" w:rsidR="006A49F9" w:rsidRDefault="00E64DD5" w:rsidP="005F383F">
      <w:pPr>
        <w:pStyle w:val="ListParagraph"/>
        <w:suppressAutoHyphens/>
        <w:spacing w:after="0"/>
        <w:ind w:left="360"/>
        <w:jc w:val="both"/>
        <w:rPr>
          <w:rFonts w:ascii="Calibri" w:hAnsi="Calibri"/>
          <w:sz w:val="20"/>
          <w:szCs w:val="20"/>
        </w:rPr>
      </w:pPr>
      <w:r w:rsidRPr="00B00AFA">
        <w:rPr>
          <w:rFonts w:ascii="Calibri" w:eastAsia="Times New Roman" w:hAnsi="Calibri" w:cs="Helvetica"/>
          <w:sz w:val="20"/>
          <w:szCs w:val="20"/>
          <w:lang w:eastAsia="en-GB"/>
        </w:rPr>
        <w:t>Inequality concerns those left behind as well as runaway wealth and incomes at the top of the distribution. However, Goal 10 has no indicator to capture concentration of inequality or wealth at the top and it also fails to capture other important dimensions of economic inequality.</w:t>
      </w:r>
      <w:r w:rsidR="006A49F9">
        <w:rPr>
          <w:rFonts w:ascii="Calibri" w:eastAsia="Times New Roman" w:hAnsi="Calibri" w:cs="Helvetica"/>
          <w:sz w:val="20"/>
          <w:szCs w:val="20"/>
          <w:lang w:eastAsia="en-GB"/>
        </w:rPr>
        <w:t xml:space="preserve"> In fact, it </w:t>
      </w:r>
      <w:r w:rsidRPr="006A49F9">
        <w:rPr>
          <w:rFonts w:ascii="Calibri" w:hAnsi="Calibri"/>
          <w:sz w:val="20"/>
          <w:szCs w:val="20"/>
        </w:rPr>
        <w:t>is built on the pri</w:t>
      </w:r>
      <w:r w:rsidR="006A49F9">
        <w:rPr>
          <w:rFonts w:ascii="Calibri" w:hAnsi="Calibri"/>
          <w:sz w:val="20"/>
          <w:szCs w:val="20"/>
        </w:rPr>
        <w:t>nciple of leaving no one behind, meaning that</w:t>
      </w:r>
      <w:r w:rsidRPr="006A49F9">
        <w:rPr>
          <w:rFonts w:ascii="Calibri" w:hAnsi="Calibri"/>
          <w:sz w:val="20"/>
          <w:szCs w:val="20"/>
        </w:rPr>
        <w:t xml:space="preserve"> the </w:t>
      </w:r>
      <w:r w:rsidR="006A49F9">
        <w:rPr>
          <w:rFonts w:ascii="Calibri" w:hAnsi="Calibri"/>
          <w:sz w:val="20"/>
          <w:szCs w:val="20"/>
        </w:rPr>
        <w:t xml:space="preserve">stated </w:t>
      </w:r>
      <w:r w:rsidRPr="006A49F9">
        <w:rPr>
          <w:rFonts w:ascii="Calibri" w:hAnsi="Calibri"/>
          <w:sz w:val="20"/>
          <w:szCs w:val="20"/>
        </w:rPr>
        <w:t>goal of reducing inequality is turned into targ</w:t>
      </w:r>
      <w:r w:rsidR="006A49F9">
        <w:rPr>
          <w:rFonts w:ascii="Calibri" w:hAnsi="Calibri"/>
          <w:sz w:val="20"/>
          <w:szCs w:val="20"/>
        </w:rPr>
        <w:t xml:space="preserve">ets and indicators that measure </w:t>
      </w:r>
      <w:r w:rsidRPr="006A49F9">
        <w:rPr>
          <w:rFonts w:ascii="Calibri" w:hAnsi="Calibri"/>
          <w:sz w:val="20"/>
          <w:szCs w:val="20"/>
        </w:rPr>
        <w:t>reducti</w:t>
      </w:r>
      <w:r w:rsidR="006A49F9">
        <w:rPr>
          <w:rFonts w:ascii="Calibri" w:hAnsi="Calibri"/>
          <w:sz w:val="20"/>
          <w:szCs w:val="20"/>
        </w:rPr>
        <w:t>on in poverty and exclusion, focusing exclusively on</w:t>
      </w:r>
      <w:r w:rsidRPr="006A49F9">
        <w:rPr>
          <w:rFonts w:ascii="Calibri" w:hAnsi="Calibri"/>
          <w:sz w:val="20"/>
          <w:szCs w:val="20"/>
        </w:rPr>
        <w:t xml:space="preserve"> </w:t>
      </w:r>
      <w:r w:rsidR="006A49F9">
        <w:rPr>
          <w:rFonts w:ascii="Calibri" w:hAnsi="Calibri"/>
          <w:sz w:val="20"/>
          <w:szCs w:val="20"/>
        </w:rPr>
        <w:t xml:space="preserve">the bottom of the distribution and </w:t>
      </w:r>
      <w:r w:rsidRPr="006A49F9">
        <w:rPr>
          <w:rFonts w:ascii="Calibri" w:hAnsi="Calibri"/>
          <w:sz w:val="20"/>
          <w:szCs w:val="20"/>
        </w:rPr>
        <w:t>neglecting what happens at the top</w:t>
      </w:r>
      <w:r w:rsidR="006A49F9">
        <w:rPr>
          <w:rFonts w:ascii="Calibri" w:hAnsi="Calibri"/>
          <w:sz w:val="20"/>
          <w:szCs w:val="20"/>
        </w:rPr>
        <w:t xml:space="preserve"> of the distribution</w:t>
      </w:r>
      <w:r w:rsidRPr="006A49F9">
        <w:rPr>
          <w:rFonts w:ascii="Calibri" w:hAnsi="Calibri"/>
          <w:sz w:val="20"/>
          <w:szCs w:val="20"/>
        </w:rPr>
        <w:t xml:space="preserve">. The </w:t>
      </w:r>
      <w:r w:rsidR="006A49F9" w:rsidRPr="006A49F9">
        <w:rPr>
          <w:rFonts w:ascii="Calibri" w:hAnsi="Calibri"/>
          <w:sz w:val="20"/>
          <w:szCs w:val="20"/>
        </w:rPr>
        <w:t>most</w:t>
      </w:r>
      <w:r w:rsidRPr="006A49F9">
        <w:rPr>
          <w:rFonts w:ascii="Calibri" w:hAnsi="Calibri"/>
          <w:sz w:val="20"/>
          <w:szCs w:val="20"/>
        </w:rPr>
        <w:t xml:space="preserve"> contentious </w:t>
      </w:r>
      <w:r w:rsidR="006A49F9" w:rsidRPr="006A49F9">
        <w:rPr>
          <w:rFonts w:ascii="Calibri" w:hAnsi="Calibri"/>
          <w:sz w:val="20"/>
          <w:szCs w:val="20"/>
        </w:rPr>
        <w:t xml:space="preserve">and politically charged </w:t>
      </w:r>
      <w:r w:rsidRPr="006A49F9">
        <w:rPr>
          <w:rFonts w:ascii="Calibri" w:hAnsi="Calibri"/>
          <w:sz w:val="20"/>
          <w:szCs w:val="20"/>
        </w:rPr>
        <w:t>issues – distribution and redistribution, wealth and power concentration at the top</w:t>
      </w:r>
      <w:r w:rsidR="006A49F9" w:rsidRPr="006A49F9">
        <w:rPr>
          <w:rFonts w:ascii="Calibri" w:hAnsi="Calibri"/>
          <w:sz w:val="20"/>
          <w:szCs w:val="20"/>
        </w:rPr>
        <w:t>, are left out of Goal 10 and more broadly of the SDGs framework</w:t>
      </w:r>
      <w:r w:rsidRPr="006A49F9">
        <w:rPr>
          <w:rFonts w:ascii="Calibri" w:hAnsi="Calibri"/>
          <w:sz w:val="20"/>
          <w:szCs w:val="20"/>
        </w:rPr>
        <w:t xml:space="preserve">. </w:t>
      </w:r>
    </w:p>
    <w:p w14:paraId="7BD4C60E" w14:textId="1FFDC4B2" w:rsidR="00E64DD5" w:rsidRDefault="006A49F9" w:rsidP="005F383F">
      <w:pPr>
        <w:pStyle w:val="ListParagraph"/>
        <w:suppressAutoHyphens/>
        <w:spacing w:after="0"/>
        <w:ind w:left="360"/>
        <w:jc w:val="both"/>
        <w:rPr>
          <w:rFonts w:ascii="Calibri" w:hAnsi="Calibri"/>
          <w:sz w:val="20"/>
          <w:szCs w:val="20"/>
        </w:rPr>
      </w:pPr>
      <w:r>
        <w:rPr>
          <w:rFonts w:ascii="Calibri" w:hAnsi="Calibri"/>
          <w:sz w:val="20"/>
          <w:szCs w:val="20"/>
        </w:rPr>
        <w:t xml:space="preserve">In this sense, the LNOB agenda is used to ‘sanitise’ and neutralise the </w:t>
      </w:r>
      <w:r w:rsidR="00E64DD5" w:rsidRPr="006A49F9">
        <w:rPr>
          <w:rFonts w:ascii="Calibri" w:hAnsi="Calibri"/>
          <w:sz w:val="20"/>
          <w:szCs w:val="20"/>
        </w:rPr>
        <w:t>issue of inequality a</w:t>
      </w:r>
      <w:r w:rsidR="009B0A56">
        <w:rPr>
          <w:rFonts w:ascii="Calibri" w:hAnsi="Calibri"/>
          <w:sz w:val="20"/>
          <w:szCs w:val="20"/>
        </w:rPr>
        <w:t xml:space="preserve">nd more generally the SDGs, turning </w:t>
      </w:r>
      <w:r w:rsidR="00E64DD5" w:rsidRPr="006A49F9">
        <w:rPr>
          <w:rFonts w:ascii="Calibri" w:hAnsi="Calibri"/>
          <w:sz w:val="20"/>
          <w:szCs w:val="20"/>
        </w:rPr>
        <w:t>it</w:t>
      </w:r>
      <w:r w:rsidR="009B0A56">
        <w:rPr>
          <w:rFonts w:ascii="Calibri" w:hAnsi="Calibri"/>
          <w:sz w:val="20"/>
          <w:szCs w:val="20"/>
        </w:rPr>
        <w:t xml:space="preserve"> into</w:t>
      </w:r>
      <w:r w:rsidR="00E64DD5" w:rsidRPr="006A49F9">
        <w:rPr>
          <w:rFonts w:ascii="Calibri" w:hAnsi="Calibri"/>
          <w:sz w:val="20"/>
          <w:szCs w:val="20"/>
        </w:rPr>
        <w:t xml:space="preserve"> a problem of the poor and </w:t>
      </w:r>
      <w:r w:rsidR="009B0A56">
        <w:rPr>
          <w:rFonts w:ascii="Calibri" w:hAnsi="Calibri"/>
          <w:sz w:val="20"/>
          <w:szCs w:val="20"/>
        </w:rPr>
        <w:t xml:space="preserve">of </w:t>
      </w:r>
      <w:r w:rsidR="00E64DD5" w:rsidRPr="006A49F9">
        <w:rPr>
          <w:rFonts w:ascii="Calibri" w:hAnsi="Calibri"/>
          <w:sz w:val="20"/>
          <w:szCs w:val="20"/>
        </w:rPr>
        <w:t>the marginalised, something the rich don’t need to be concerned about</w:t>
      </w:r>
      <w:r w:rsidR="009B0A56">
        <w:rPr>
          <w:rFonts w:ascii="Calibri" w:hAnsi="Calibri"/>
          <w:sz w:val="20"/>
          <w:szCs w:val="20"/>
        </w:rPr>
        <w:t xml:space="preserve">. </w:t>
      </w:r>
    </w:p>
    <w:p w14:paraId="656F9ABB" w14:textId="77777777" w:rsidR="009B0A56" w:rsidRPr="00DA536D" w:rsidRDefault="009B0A56" w:rsidP="009B0A56">
      <w:pPr>
        <w:pStyle w:val="ListParagraph"/>
        <w:suppressAutoHyphens/>
        <w:spacing w:after="0" w:line="240" w:lineRule="auto"/>
        <w:ind w:left="360"/>
        <w:jc w:val="both"/>
        <w:rPr>
          <w:rFonts w:ascii="Calibri" w:hAnsi="Calibri"/>
          <w:sz w:val="20"/>
          <w:szCs w:val="20"/>
          <w:highlight w:val="yellow"/>
        </w:rPr>
      </w:pPr>
    </w:p>
    <w:p w14:paraId="7092CE80" w14:textId="36DCDB49" w:rsidR="00ED6A83" w:rsidRPr="00737C43" w:rsidRDefault="001D7FA9" w:rsidP="00737C43">
      <w:pPr>
        <w:pStyle w:val="ListParagraph"/>
        <w:numPr>
          <w:ilvl w:val="0"/>
          <w:numId w:val="7"/>
        </w:numPr>
        <w:jc w:val="both"/>
        <w:rPr>
          <w:rFonts w:ascii="Calibri" w:hAnsi="Calibri"/>
          <w:sz w:val="20"/>
          <w:szCs w:val="20"/>
        </w:rPr>
      </w:pPr>
      <w:bookmarkStart w:id="13" w:name="_Hlk7464946"/>
      <w:r w:rsidRPr="00737C43">
        <w:rPr>
          <w:rFonts w:ascii="Calibri" w:hAnsi="Calibri"/>
          <w:b/>
          <w:sz w:val="20"/>
          <w:szCs w:val="20"/>
        </w:rPr>
        <w:t xml:space="preserve">Turning Goal 10 into an effective tool </w:t>
      </w:r>
      <w:r w:rsidR="00737C43" w:rsidRPr="00737C43">
        <w:rPr>
          <w:rFonts w:ascii="Calibri" w:hAnsi="Calibri"/>
          <w:b/>
          <w:sz w:val="20"/>
          <w:szCs w:val="20"/>
        </w:rPr>
        <w:t>for tackling extreme</w:t>
      </w:r>
      <w:r w:rsidRPr="00737C43">
        <w:rPr>
          <w:rFonts w:ascii="Calibri" w:hAnsi="Calibri"/>
          <w:b/>
          <w:sz w:val="20"/>
          <w:szCs w:val="20"/>
        </w:rPr>
        <w:t xml:space="preserve"> inequality and </w:t>
      </w:r>
      <w:r w:rsidR="00737C43" w:rsidRPr="00737C43">
        <w:rPr>
          <w:rFonts w:ascii="Calibri" w:hAnsi="Calibri"/>
          <w:b/>
          <w:sz w:val="20"/>
          <w:szCs w:val="20"/>
        </w:rPr>
        <w:t xml:space="preserve">contributing to </w:t>
      </w:r>
      <w:r w:rsidRPr="00737C43">
        <w:rPr>
          <w:rFonts w:ascii="Calibri" w:hAnsi="Calibri"/>
          <w:b/>
          <w:sz w:val="20"/>
          <w:szCs w:val="20"/>
        </w:rPr>
        <w:t>the right to development is compelling and possible introducing changes in its indicators and, more substantially,</w:t>
      </w:r>
      <w:r w:rsidR="00737C43" w:rsidRPr="00737C43">
        <w:rPr>
          <w:rFonts w:ascii="Calibri" w:hAnsi="Calibri"/>
          <w:b/>
          <w:sz w:val="20"/>
          <w:szCs w:val="20"/>
        </w:rPr>
        <w:t xml:space="preserve"> reinforcing the international institutional framework in its support.</w:t>
      </w:r>
      <w:r w:rsidRPr="00737C43">
        <w:rPr>
          <w:rFonts w:ascii="Calibri" w:hAnsi="Calibri"/>
          <w:b/>
          <w:sz w:val="20"/>
          <w:szCs w:val="20"/>
        </w:rPr>
        <w:t xml:space="preserve"> </w:t>
      </w:r>
    </w:p>
    <w:bookmarkEnd w:id="13"/>
    <w:p w14:paraId="51D54640" w14:textId="77777777" w:rsidR="00737C43" w:rsidRPr="00DA536D" w:rsidRDefault="00737C43" w:rsidP="00737C43">
      <w:pPr>
        <w:pStyle w:val="ListParagraph"/>
        <w:ind w:left="360"/>
        <w:jc w:val="both"/>
        <w:rPr>
          <w:rFonts w:ascii="Calibri" w:hAnsi="Calibri"/>
          <w:sz w:val="20"/>
          <w:szCs w:val="20"/>
        </w:rPr>
      </w:pPr>
    </w:p>
    <w:p w14:paraId="210F3311" w14:textId="77777777" w:rsidR="00737C43" w:rsidRDefault="003B2149" w:rsidP="00CE3117">
      <w:pPr>
        <w:pStyle w:val="ListParagraph"/>
        <w:numPr>
          <w:ilvl w:val="1"/>
          <w:numId w:val="7"/>
        </w:numPr>
        <w:suppressAutoHyphens/>
        <w:spacing w:after="0" w:line="240" w:lineRule="auto"/>
        <w:jc w:val="both"/>
        <w:rPr>
          <w:rFonts w:ascii="Calibri" w:hAnsi="Calibri"/>
          <w:b/>
          <w:sz w:val="20"/>
          <w:szCs w:val="20"/>
        </w:rPr>
      </w:pPr>
      <w:r w:rsidRPr="00ED6A83">
        <w:rPr>
          <w:rFonts w:ascii="Calibri" w:hAnsi="Calibri"/>
          <w:b/>
          <w:sz w:val="20"/>
          <w:szCs w:val="20"/>
        </w:rPr>
        <w:t>Accelerating progress in Goal 10 requires a comprehensive monitoring system that includes indicators that compare the tails of the distribution and measure trends in the income share of different sections of the population.</w:t>
      </w:r>
    </w:p>
    <w:p w14:paraId="25BD6E15" w14:textId="77777777" w:rsidR="00737C43" w:rsidRDefault="003B2149" w:rsidP="005F383F">
      <w:pPr>
        <w:pStyle w:val="ListParagraph"/>
        <w:suppressAutoHyphens/>
        <w:spacing w:after="0"/>
        <w:ind w:left="360"/>
        <w:jc w:val="both"/>
        <w:rPr>
          <w:rFonts w:ascii="Calibri" w:hAnsi="Calibri"/>
          <w:sz w:val="20"/>
          <w:szCs w:val="20"/>
        </w:rPr>
      </w:pPr>
      <w:r w:rsidRPr="00737C43">
        <w:rPr>
          <w:rFonts w:ascii="Calibri" w:hAnsi="Calibri"/>
          <w:sz w:val="20"/>
          <w:szCs w:val="20"/>
        </w:rPr>
        <w:t>Recommended indicators for this are the Palma ratio</w:t>
      </w:r>
      <w:r w:rsidR="007D685E">
        <w:rPr>
          <w:rStyle w:val="EndnoteReference"/>
          <w:rFonts w:ascii="Calibri" w:hAnsi="Calibri"/>
          <w:sz w:val="20"/>
          <w:szCs w:val="20"/>
        </w:rPr>
        <w:endnoteReference w:id="45"/>
      </w:r>
      <w:r w:rsidRPr="00737C43">
        <w:rPr>
          <w:rFonts w:ascii="Calibri" w:hAnsi="Calibri"/>
          <w:sz w:val="20"/>
          <w:szCs w:val="20"/>
        </w:rPr>
        <w:t xml:space="preserve"> (comparing income of the bottom 40% with income of the top 10%), the post-tax income of the top 10 percent, the top 1% and the top 0.1%, the post-transfer income of the bottom 40% as well as indicators of wealth concentration and of social mobility.</w:t>
      </w:r>
    </w:p>
    <w:p w14:paraId="35A9EDE1" w14:textId="77777777" w:rsidR="00737C43" w:rsidRDefault="003B2149" w:rsidP="005F383F">
      <w:pPr>
        <w:pStyle w:val="ListParagraph"/>
        <w:suppressAutoHyphens/>
        <w:spacing w:after="0"/>
        <w:ind w:left="360"/>
        <w:jc w:val="both"/>
        <w:rPr>
          <w:rFonts w:ascii="Calibri" w:hAnsi="Calibri" w:cs="Arial"/>
          <w:sz w:val="20"/>
          <w:szCs w:val="20"/>
        </w:rPr>
      </w:pPr>
      <w:r w:rsidRPr="00CE3117">
        <w:rPr>
          <w:rFonts w:ascii="Calibri" w:hAnsi="Calibri" w:cs="Arial"/>
          <w:sz w:val="20"/>
          <w:szCs w:val="20"/>
        </w:rPr>
        <w:t>With regards to Target 10.4, a new indicator should be added, measuring the difference between the Gini of the income distribution before and after taxes and transfers, according to the methodology developed by Commitment to Equity</w:t>
      </w:r>
      <w:r w:rsidR="004358D9" w:rsidRPr="00CE3117">
        <w:rPr>
          <w:rFonts w:ascii="Calibri" w:hAnsi="Calibri" w:cs="Arial"/>
          <w:sz w:val="20"/>
          <w:szCs w:val="20"/>
        </w:rPr>
        <w:t>.</w:t>
      </w:r>
      <w:r w:rsidR="004358D9" w:rsidRPr="00DA536D">
        <w:rPr>
          <w:rStyle w:val="EndnoteReference"/>
          <w:rFonts w:ascii="Calibri" w:hAnsi="Calibri" w:cs="Arial"/>
          <w:color w:val="auto"/>
          <w:sz w:val="20"/>
          <w:szCs w:val="20"/>
        </w:rPr>
        <w:endnoteReference w:id="46"/>
      </w:r>
      <w:r w:rsidR="00CE3117">
        <w:rPr>
          <w:rFonts w:ascii="Calibri" w:eastAsia="Times New Roman" w:hAnsi="Calibri" w:cs="Helvetica"/>
          <w:sz w:val="20"/>
          <w:szCs w:val="20"/>
          <w:lang w:eastAsia="en-GB"/>
        </w:rPr>
        <w:t xml:space="preserve"> </w:t>
      </w:r>
      <w:r w:rsidRPr="00CE3117">
        <w:rPr>
          <w:rFonts w:ascii="Calibri" w:hAnsi="Calibri" w:cs="Arial"/>
          <w:sz w:val="20"/>
          <w:szCs w:val="20"/>
        </w:rPr>
        <w:t xml:space="preserve">Beyond this, there is need of better and more disaggregated data which can capture the intersection between economic inequality and inequality due to gender, ethnic, religious or disability discrimination. </w:t>
      </w:r>
    </w:p>
    <w:p w14:paraId="7A3DB993" w14:textId="77777777" w:rsidR="00737C43" w:rsidRDefault="00737C43" w:rsidP="00737C43">
      <w:pPr>
        <w:suppressAutoHyphens/>
        <w:spacing w:after="0" w:line="240" w:lineRule="auto"/>
        <w:jc w:val="both"/>
        <w:rPr>
          <w:rFonts w:ascii="Calibri" w:eastAsia="Times New Roman" w:hAnsi="Calibri" w:cs="Helvetica"/>
          <w:b/>
          <w:sz w:val="20"/>
          <w:szCs w:val="20"/>
          <w:lang w:eastAsia="en-GB"/>
        </w:rPr>
      </w:pPr>
    </w:p>
    <w:p w14:paraId="714401F5" w14:textId="77777777" w:rsidR="005F383F" w:rsidRDefault="0022592A" w:rsidP="005F383F">
      <w:pPr>
        <w:pStyle w:val="ListParagraph"/>
        <w:numPr>
          <w:ilvl w:val="1"/>
          <w:numId w:val="7"/>
        </w:numPr>
        <w:suppressAutoHyphens/>
        <w:spacing w:after="0" w:line="240" w:lineRule="auto"/>
        <w:jc w:val="both"/>
        <w:rPr>
          <w:rFonts w:ascii="Calibri" w:hAnsi="Calibri"/>
          <w:b/>
          <w:sz w:val="20"/>
          <w:szCs w:val="20"/>
        </w:rPr>
      </w:pPr>
      <w:bookmarkStart w:id="14" w:name="_Hlk7465257"/>
      <w:r w:rsidRPr="00737C43">
        <w:rPr>
          <w:rFonts w:ascii="Calibri" w:hAnsi="Calibri"/>
          <w:b/>
          <w:sz w:val="20"/>
          <w:szCs w:val="20"/>
        </w:rPr>
        <w:t xml:space="preserve">Beyond monitoring its targets, achieving Goal 10 requires endowing it with the </w:t>
      </w:r>
      <w:r w:rsidR="003B2149" w:rsidRPr="00737C43">
        <w:rPr>
          <w:rFonts w:ascii="Calibri" w:hAnsi="Calibri"/>
          <w:b/>
          <w:sz w:val="20"/>
          <w:szCs w:val="20"/>
        </w:rPr>
        <w:t>necessary institutional support to guarantee its implementation at the domestic</w:t>
      </w:r>
      <w:r w:rsidRPr="00737C43">
        <w:rPr>
          <w:rFonts w:ascii="Calibri" w:hAnsi="Calibri"/>
          <w:b/>
          <w:sz w:val="20"/>
          <w:szCs w:val="20"/>
        </w:rPr>
        <w:t>, multilateral</w:t>
      </w:r>
      <w:r w:rsidR="003B2149" w:rsidRPr="00737C43">
        <w:rPr>
          <w:rFonts w:ascii="Calibri" w:hAnsi="Calibri"/>
          <w:b/>
          <w:sz w:val="20"/>
          <w:szCs w:val="20"/>
        </w:rPr>
        <w:t xml:space="preserve"> and international level.</w:t>
      </w:r>
      <w:r w:rsidR="00393DAE" w:rsidRPr="00737C43">
        <w:rPr>
          <w:rFonts w:ascii="Calibri" w:hAnsi="Calibri"/>
          <w:b/>
          <w:sz w:val="20"/>
          <w:szCs w:val="20"/>
        </w:rPr>
        <w:t xml:space="preserve"> </w:t>
      </w:r>
    </w:p>
    <w:p w14:paraId="152CDD40" w14:textId="4C815094" w:rsidR="005F383F" w:rsidRDefault="00393DAE" w:rsidP="005F383F">
      <w:pPr>
        <w:pStyle w:val="ListParagraph"/>
        <w:suppressAutoHyphens/>
        <w:spacing w:after="0" w:line="240" w:lineRule="auto"/>
        <w:ind w:left="360"/>
        <w:jc w:val="both"/>
        <w:rPr>
          <w:rFonts w:ascii="Calibri" w:hAnsi="Calibri" w:cs="Arial"/>
          <w:sz w:val="20"/>
          <w:szCs w:val="20"/>
        </w:rPr>
      </w:pPr>
      <w:r w:rsidRPr="005F383F">
        <w:rPr>
          <w:rFonts w:ascii="Calibri" w:hAnsi="Calibri" w:cs="Arial"/>
          <w:sz w:val="20"/>
          <w:szCs w:val="20"/>
        </w:rPr>
        <w:lastRenderedPageBreak/>
        <w:t xml:space="preserve">An initiative in this sense could be the creation of </w:t>
      </w:r>
      <w:r w:rsidR="00AF095B" w:rsidRPr="005F383F">
        <w:rPr>
          <w:rFonts w:ascii="Calibri" w:hAnsi="Calibri" w:cs="Arial"/>
          <w:sz w:val="20"/>
          <w:szCs w:val="20"/>
        </w:rPr>
        <w:t xml:space="preserve">a permanent global forum with the mandate of fighting inequality and achieving Goal 10. This could either be an intergovernmental forum operating within the UN system like the Financing for Development forum), or a multi-stakeholder forum linked to but independent from the UN system, in which governments, civil society, international institutions (including the UN itself) and other stakeholders </w:t>
      </w:r>
      <w:r w:rsidR="002E0DA5">
        <w:rPr>
          <w:rFonts w:ascii="Calibri" w:hAnsi="Calibri" w:cs="Arial"/>
          <w:sz w:val="20"/>
          <w:szCs w:val="20"/>
        </w:rPr>
        <w:t>participate on equal footing</w:t>
      </w:r>
      <w:r w:rsidR="00AF095B" w:rsidRPr="005F383F">
        <w:rPr>
          <w:rFonts w:ascii="Calibri" w:hAnsi="Calibri" w:cs="Arial"/>
          <w:sz w:val="20"/>
          <w:szCs w:val="20"/>
        </w:rPr>
        <w:t xml:space="preserve"> (the Open Government Partnership or the Addis Tax Initiative).</w:t>
      </w:r>
    </w:p>
    <w:p w14:paraId="45EBA18D" w14:textId="77777777" w:rsidR="005F383F" w:rsidRDefault="00AF095B" w:rsidP="005F383F">
      <w:pPr>
        <w:pStyle w:val="ListParagraph"/>
        <w:suppressAutoHyphens/>
        <w:spacing w:after="0" w:line="240" w:lineRule="auto"/>
        <w:ind w:left="360"/>
        <w:jc w:val="both"/>
        <w:rPr>
          <w:rFonts w:ascii="Calibri" w:hAnsi="Calibri" w:cs="Arial"/>
          <w:sz w:val="20"/>
          <w:szCs w:val="20"/>
        </w:rPr>
      </w:pPr>
      <w:r>
        <w:rPr>
          <w:rFonts w:ascii="Calibri" w:hAnsi="Calibri" w:cs="Arial"/>
          <w:sz w:val="20"/>
          <w:szCs w:val="20"/>
        </w:rPr>
        <w:t xml:space="preserve">In both cases, the forum </w:t>
      </w:r>
      <w:r w:rsidR="00873A9B" w:rsidRPr="00AF095B">
        <w:rPr>
          <w:rFonts w:ascii="Calibri" w:hAnsi="Calibri" w:cs="Arial"/>
          <w:sz w:val="20"/>
          <w:szCs w:val="20"/>
        </w:rPr>
        <w:t>would focus on SDG10 and the gap between rich and poor, but also examine its relation</w:t>
      </w:r>
      <w:r w:rsidR="00C215CF">
        <w:rPr>
          <w:rFonts w:ascii="Calibri" w:hAnsi="Calibri" w:cs="Arial"/>
          <w:sz w:val="20"/>
          <w:szCs w:val="20"/>
        </w:rPr>
        <w:t>ship</w:t>
      </w:r>
      <w:r w:rsidR="00873A9B" w:rsidRPr="00AF095B">
        <w:rPr>
          <w:rFonts w:ascii="Calibri" w:hAnsi="Calibri" w:cs="Arial"/>
          <w:sz w:val="20"/>
          <w:szCs w:val="20"/>
        </w:rPr>
        <w:t xml:space="preserve"> with other inequalities and Sustainable Development Goals (e.g., SDG5 on gender, SDG13 on climate change). The Forum would discuss the global policies that hinder the fight against inequality, and make recommendations to relevant intergovernmental organizations to tackle them. Civil society, the private sector and academics would be </w:t>
      </w:r>
      <w:r w:rsidRPr="00AF095B">
        <w:rPr>
          <w:rFonts w:ascii="Calibri" w:hAnsi="Calibri" w:cs="Arial"/>
          <w:sz w:val="20"/>
          <w:szCs w:val="20"/>
        </w:rPr>
        <w:t>consulted</w:t>
      </w:r>
      <w:r w:rsidR="00873A9B" w:rsidRPr="00AF095B">
        <w:rPr>
          <w:rFonts w:ascii="Calibri" w:hAnsi="Calibri" w:cs="Arial"/>
          <w:sz w:val="20"/>
          <w:szCs w:val="20"/>
        </w:rPr>
        <w:t>. The forum would also serve as a learning platform and peer accountability mechanism to monitor progress in the fight against inequality at national level and take stock of the latest research on inequality. To this end, the forum would host an annual meeting at Ministerial or Heads of State level, where countries would report on their progress in tackling the gap between rich and poor, share experiences of successful policies to tackle inequality, and make commitments for further progress.</w:t>
      </w:r>
    </w:p>
    <w:p w14:paraId="5AE2DDB6" w14:textId="7BA176B6" w:rsidR="0054713B" w:rsidRDefault="00C215CF" w:rsidP="005F383F">
      <w:pPr>
        <w:pStyle w:val="ListParagraph"/>
        <w:suppressAutoHyphens/>
        <w:spacing w:after="0" w:line="240" w:lineRule="auto"/>
        <w:ind w:left="360"/>
        <w:jc w:val="both"/>
        <w:rPr>
          <w:rFonts w:ascii="Calibri" w:hAnsi="Calibri" w:cs="Arial"/>
          <w:sz w:val="20"/>
          <w:szCs w:val="20"/>
        </w:rPr>
      </w:pPr>
      <w:r>
        <w:rPr>
          <w:rFonts w:ascii="Calibri" w:hAnsi="Calibri" w:cs="Arial"/>
          <w:sz w:val="20"/>
          <w:szCs w:val="20"/>
        </w:rPr>
        <w:t xml:space="preserve">Existing international institutions </w:t>
      </w:r>
      <w:r w:rsidR="00EA3989">
        <w:rPr>
          <w:rFonts w:ascii="Calibri" w:hAnsi="Calibri" w:cs="Arial"/>
          <w:sz w:val="20"/>
          <w:szCs w:val="20"/>
        </w:rPr>
        <w:t>must also exercise leadership in fighting inequality,</w:t>
      </w:r>
      <w:r w:rsidR="003B2149" w:rsidRPr="00DA536D">
        <w:rPr>
          <w:rFonts w:ascii="Calibri" w:hAnsi="Calibri" w:cs="Arial"/>
          <w:sz w:val="20"/>
          <w:szCs w:val="20"/>
        </w:rPr>
        <w:t xml:space="preserve"> close the gap between words and action and help countries build the political will to make the right policy choices. The World Bank should more rigorously adhere to its Shared Prosperity Goal throughout its operations and advice in the public and private sector, making sure all efforts are coherently contributing to reducing inequality and not undermining those efforts in any way, (eg should stop any direct or indirect support of health user fees or securing wasteful tax incentives). The IMF must ramp up the operationalisation of its inequality agenda ensuring all its policy advice and loan programmes include the policy solutions we know help to reduce inequality rather than exacerbate it. The OECD should ensure inclusion of all countries on equal footing in BEPS’ second round of international tax forum negotiations.</w:t>
      </w:r>
      <w:r w:rsidR="0054713B">
        <w:rPr>
          <w:rFonts w:ascii="Calibri" w:hAnsi="Calibri" w:cs="Arial"/>
          <w:sz w:val="20"/>
          <w:szCs w:val="20"/>
        </w:rPr>
        <w:t xml:space="preserve"> </w:t>
      </w:r>
    </w:p>
    <w:bookmarkEnd w:id="14"/>
    <w:p w14:paraId="390B6AAD" w14:textId="450F0B76" w:rsidR="003B2149" w:rsidRPr="00DA536D" w:rsidRDefault="003B2149" w:rsidP="00DA536D">
      <w:pPr>
        <w:jc w:val="both"/>
        <w:rPr>
          <w:rFonts w:ascii="Calibri" w:hAnsi="Calibri"/>
          <w:sz w:val="20"/>
          <w:szCs w:val="20"/>
        </w:rPr>
      </w:pPr>
    </w:p>
    <w:sectPr w:rsidR="003B2149" w:rsidRPr="00DA53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42CB8" w14:textId="77777777" w:rsidR="00AE51A4" w:rsidRDefault="00AE51A4" w:rsidP="00D51ED6">
      <w:pPr>
        <w:spacing w:after="0" w:line="240" w:lineRule="auto"/>
      </w:pPr>
      <w:r>
        <w:separator/>
      </w:r>
    </w:p>
  </w:endnote>
  <w:endnote w:type="continuationSeparator" w:id="0">
    <w:p w14:paraId="0B0E46F3" w14:textId="77777777" w:rsidR="00AE51A4" w:rsidRDefault="00AE51A4" w:rsidP="00D51ED6">
      <w:pPr>
        <w:spacing w:after="0" w:line="240" w:lineRule="auto"/>
      </w:pPr>
      <w:r>
        <w:continuationSeparator/>
      </w:r>
    </w:p>
  </w:endnote>
  <w:endnote w:id="1">
    <w:p w14:paraId="36B10E1E" w14:textId="01A648A4"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 World Bank (2018). </w:t>
      </w:r>
      <w:r w:rsidRPr="00755748">
        <w:rPr>
          <w:rFonts w:ascii="Calibri" w:hAnsi="Calibri"/>
          <w:i/>
          <w:sz w:val="20"/>
          <w:szCs w:val="20"/>
        </w:rPr>
        <w:t>Poverty and Shared Prosperity 2018: Piecing Together the Poverty Puzzle</w:t>
      </w:r>
      <w:r w:rsidRPr="00755748">
        <w:rPr>
          <w:rFonts w:ascii="Calibri" w:hAnsi="Calibri"/>
          <w:sz w:val="20"/>
          <w:szCs w:val="20"/>
        </w:rPr>
        <w:t xml:space="preserve">. World Bank, Washington, DC. </w:t>
      </w:r>
      <w:hyperlink r:id="rId1">
        <w:r w:rsidRPr="00755748">
          <w:rPr>
            <w:rStyle w:val="InternetLink"/>
            <w:rFonts w:ascii="Calibri" w:hAnsi="Calibri"/>
            <w:sz w:val="20"/>
            <w:szCs w:val="20"/>
          </w:rPr>
          <w:t>https://openknowledge.worldbank.org/bitstream/handle/10986/30418/9781464813306.pdf</w:t>
        </w:r>
      </w:hyperlink>
    </w:p>
  </w:endnote>
  <w:endnote w:id="2">
    <w:p w14:paraId="21BD0C35" w14:textId="7ACFE27F"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World Bank (2018). </w:t>
      </w:r>
      <w:r w:rsidRPr="00755748">
        <w:rPr>
          <w:rFonts w:ascii="Calibri" w:hAnsi="Calibri"/>
          <w:i/>
          <w:sz w:val="20"/>
          <w:szCs w:val="20"/>
        </w:rPr>
        <w:t>Poverty and Shared Prosperity 2018</w:t>
      </w:r>
      <w:r w:rsidRPr="00755748">
        <w:rPr>
          <w:rFonts w:ascii="Calibri" w:hAnsi="Calibri"/>
          <w:sz w:val="20"/>
          <w:szCs w:val="20"/>
        </w:rPr>
        <w:t>, op. cit.</w:t>
      </w:r>
    </w:p>
  </w:endnote>
  <w:endnote w:id="3">
    <w:p w14:paraId="57C5D9E1" w14:textId="7ED2CDA9"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Oxfam (2019). </w:t>
      </w:r>
      <w:r w:rsidRPr="00755748">
        <w:rPr>
          <w:rFonts w:ascii="Calibri" w:hAnsi="Calibri"/>
          <w:i/>
          <w:sz w:val="20"/>
          <w:szCs w:val="20"/>
        </w:rPr>
        <w:t>Public Good or Private Wealth?</w:t>
      </w:r>
      <w:r w:rsidRPr="00755748">
        <w:rPr>
          <w:rFonts w:ascii="Calibri" w:hAnsi="Calibri"/>
          <w:sz w:val="20"/>
          <w:szCs w:val="20"/>
        </w:rPr>
        <w:t xml:space="preserve"> Oxfam Briefing Paper: Davos Report 2019. </w:t>
      </w:r>
      <w:hyperlink r:id="rId2">
        <w:r w:rsidRPr="00755748">
          <w:rPr>
            <w:rStyle w:val="InternetLink"/>
            <w:rFonts w:ascii="Calibri" w:hAnsi="Calibri"/>
            <w:sz w:val="20"/>
            <w:szCs w:val="20"/>
          </w:rPr>
          <w:t>https://www.oxfam.org/en/research/public-good-or-private-wealth</w:t>
        </w:r>
      </w:hyperlink>
    </w:p>
  </w:endnote>
  <w:endnote w:id="4">
    <w:p w14:paraId="6C8A1E19" w14:textId="764E867D" w:rsidR="00AE51A4" w:rsidRPr="00755748" w:rsidRDefault="00AE51A4" w:rsidP="00C26A07">
      <w:pPr>
        <w:spacing w:after="120" w:line="240" w:lineRule="auto"/>
        <w:ind w:left="284" w:hanging="284"/>
        <w:rPr>
          <w:rFonts w:ascii="Calibri" w:hAnsi="Calibri" w:cs="Arial"/>
          <w:sz w:val="20"/>
          <w:szCs w:val="20"/>
        </w:rPr>
      </w:pPr>
      <w:r w:rsidRPr="00755748">
        <w:rPr>
          <w:rStyle w:val="EndnoteReference"/>
          <w:rFonts w:ascii="Calibri" w:hAnsi="Calibri" w:cs="Arial"/>
          <w:sz w:val="20"/>
          <w:szCs w:val="20"/>
        </w:rPr>
        <w:endnoteRef/>
      </w:r>
      <w:r>
        <w:rPr>
          <w:rStyle w:val="EndnoteReference"/>
          <w:rFonts w:ascii="Calibri" w:hAnsi="Calibri" w:cs="Arial"/>
          <w:sz w:val="20"/>
          <w:szCs w:val="20"/>
        </w:rPr>
        <w:t xml:space="preserve"> </w:t>
      </w:r>
      <w:r w:rsidRPr="00755748">
        <w:rPr>
          <w:rFonts w:ascii="Calibri" w:hAnsi="Calibri" w:cs="Arial"/>
          <w:sz w:val="20"/>
          <w:szCs w:val="20"/>
        </w:rPr>
        <w:t xml:space="preserve">F. Alvaredo, L. Chancel, T. Piketty, E. Saez and G. Zucman (2017). </w:t>
      </w:r>
      <w:r w:rsidRPr="00755748">
        <w:rPr>
          <w:rFonts w:ascii="Calibri" w:hAnsi="Calibri" w:cs="Arial"/>
          <w:i/>
          <w:sz w:val="20"/>
          <w:szCs w:val="20"/>
        </w:rPr>
        <w:t>The World Inequality Report 2018</w:t>
      </w:r>
      <w:r w:rsidRPr="00755748">
        <w:rPr>
          <w:rFonts w:ascii="Calibri" w:hAnsi="Calibri" w:cs="Arial"/>
          <w:sz w:val="20"/>
          <w:szCs w:val="20"/>
        </w:rPr>
        <w:t xml:space="preserve">. </w:t>
      </w:r>
      <w:hyperlink r:id="rId3">
        <w:r w:rsidRPr="00755748">
          <w:rPr>
            <w:rStyle w:val="InternetLink"/>
            <w:rFonts w:ascii="Calibri" w:hAnsi="Calibri" w:cs="Arial"/>
            <w:sz w:val="20"/>
            <w:szCs w:val="20"/>
          </w:rPr>
          <w:t>https://wir2018.wid.world/</w:t>
        </w:r>
      </w:hyperlink>
    </w:p>
  </w:endnote>
  <w:endnote w:id="5">
    <w:p w14:paraId="529F6241" w14:textId="545AD240" w:rsidR="00AE51A4" w:rsidRPr="00755748" w:rsidRDefault="00AE51A4" w:rsidP="00C26A07">
      <w:pPr>
        <w:spacing w:afterLines="22" w:after="52" w:line="240" w:lineRule="auto"/>
        <w:rPr>
          <w:rFonts w:ascii="Calibri" w:hAnsi="Calibri"/>
          <w:bCs/>
          <w:sz w:val="20"/>
          <w:szCs w:val="20"/>
          <w:lang w:eastAsia="en-GB"/>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bCs/>
          <w:sz w:val="20"/>
          <w:szCs w:val="20"/>
          <w:lang w:eastAsia="en-GB"/>
        </w:rPr>
        <w:t>B. Milanovic</w:t>
      </w:r>
      <w:r w:rsidRPr="00755748">
        <w:rPr>
          <w:rFonts w:ascii="Calibri" w:hAnsi="Calibri"/>
          <w:i/>
          <w:iCs/>
          <w:sz w:val="20"/>
          <w:szCs w:val="20"/>
          <w:lang w:eastAsia="en-GB"/>
        </w:rPr>
        <w:t xml:space="preserve"> (2016) Global Inequality: A New Approach for the Age of Globalization</w:t>
      </w:r>
      <w:r w:rsidRPr="00755748">
        <w:rPr>
          <w:rFonts w:ascii="Calibri" w:hAnsi="Calibri"/>
          <w:bCs/>
          <w:sz w:val="20"/>
          <w:szCs w:val="20"/>
          <w:lang w:eastAsia="en-GB"/>
        </w:rPr>
        <w:t>. Harvard University Press. 2016</w:t>
      </w:r>
    </w:p>
  </w:endnote>
  <w:endnote w:id="6">
    <w:p w14:paraId="04F7F3B3" w14:textId="72B24464"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bCs/>
          <w:sz w:val="20"/>
          <w:szCs w:val="20"/>
        </w:rPr>
        <w:t>B. Milanovic</w:t>
      </w:r>
      <w:r w:rsidRPr="00755748">
        <w:rPr>
          <w:rFonts w:ascii="Calibri" w:hAnsi="Calibri"/>
          <w:sz w:val="20"/>
          <w:szCs w:val="20"/>
        </w:rPr>
        <w:t xml:space="preserve"> (2015) “</w:t>
      </w:r>
      <w:hyperlink r:id="rId4" w:history="1">
        <w:r w:rsidRPr="00755748">
          <w:rPr>
            <w:rFonts w:ascii="Calibri" w:hAnsi="Calibri"/>
            <w:sz w:val="20"/>
            <w:szCs w:val="20"/>
          </w:rPr>
          <w:t>Global Inequality of Opportunity: How Much of Our Income Is Determined by Where We Live?</w:t>
        </w:r>
      </w:hyperlink>
      <w:r w:rsidRPr="00755748">
        <w:rPr>
          <w:rFonts w:ascii="Calibri" w:hAnsi="Calibri"/>
          <w:sz w:val="20"/>
          <w:szCs w:val="20"/>
        </w:rPr>
        <w:t xml:space="preserve">”. </w:t>
      </w:r>
      <w:r w:rsidRPr="00755748">
        <w:rPr>
          <w:rFonts w:ascii="Calibri" w:hAnsi="Calibri"/>
          <w:i/>
          <w:sz w:val="20"/>
          <w:szCs w:val="20"/>
        </w:rPr>
        <w:t>The Review of Economics and Statistics</w:t>
      </w:r>
      <w:r w:rsidRPr="00755748">
        <w:rPr>
          <w:rFonts w:ascii="Calibri" w:hAnsi="Calibri"/>
          <w:sz w:val="20"/>
          <w:szCs w:val="20"/>
        </w:rPr>
        <w:t>, Vol. 97, 452-460</w:t>
      </w:r>
      <w:r w:rsidRPr="00755748">
        <w:rPr>
          <w:rStyle w:val="page"/>
          <w:rFonts w:ascii="Calibri" w:hAnsi="Calibri"/>
          <w:sz w:val="20"/>
          <w:szCs w:val="20"/>
        </w:rPr>
        <w:t> </w:t>
      </w:r>
    </w:p>
  </w:endnote>
  <w:endnote w:id="7">
    <w:p w14:paraId="394E4EB8" w14:textId="7336E9BB" w:rsidR="00AE51A4" w:rsidRPr="00755748" w:rsidRDefault="00AE51A4" w:rsidP="00C26A07">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World Bank. 2018. Poverty and Shared Prosperity 2018: Piecing Together the Poverty Puzzle. Washington, DC: World Bank.</w:t>
      </w:r>
    </w:p>
  </w:endnote>
  <w:endnote w:id="8">
    <w:p w14:paraId="3747750B" w14:textId="2AB84F16" w:rsidR="00AE51A4" w:rsidRPr="00755748" w:rsidRDefault="00AE51A4" w:rsidP="00C26A07">
      <w:pPr>
        <w:spacing w:afterLines="22" w:after="52" w:line="240" w:lineRule="auto"/>
        <w:rPr>
          <w:rFonts w:ascii="Calibri" w:eastAsia="Cambria"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eastAsia="Cambria" w:hAnsi="Calibri"/>
          <w:sz w:val="20"/>
          <w:szCs w:val="20"/>
        </w:rPr>
        <w:t>Development Initiatives (2017) “The P20 Initiative. Baseline Report”, March 2017</w:t>
      </w:r>
    </w:p>
  </w:endnote>
  <w:endnote w:id="9">
    <w:p w14:paraId="71E6A33C" w14:textId="6F306132"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A. Berg and J.D. Ostry (2011). </w:t>
      </w:r>
      <w:r w:rsidRPr="00755748">
        <w:rPr>
          <w:rFonts w:ascii="Calibri" w:hAnsi="Calibri"/>
          <w:i/>
          <w:sz w:val="20"/>
          <w:szCs w:val="20"/>
        </w:rPr>
        <w:t>Inequality and Unsustainable Growth: Two Sides of the Same Coin?</w:t>
      </w:r>
      <w:r w:rsidRPr="00755748">
        <w:rPr>
          <w:rFonts w:ascii="Calibri" w:hAnsi="Calibri"/>
          <w:sz w:val="20"/>
          <w:szCs w:val="20"/>
        </w:rPr>
        <w:t xml:space="preserve"> IMF Staff Discussion Note 11/08. Washington: International Monetary Fund. </w:t>
      </w:r>
      <w:hyperlink r:id="rId5">
        <w:r w:rsidRPr="00755748">
          <w:rPr>
            <w:rStyle w:val="InternetLink"/>
            <w:rFonts w:ascii="Calibri" w:hAnsi="Calibri"/>
            <w:sz w:val="20"/>
            <w:szCs w:val="20"/>
          </w:rPr>
          <w:t>https://www.imf.org/external/pubs/ft/sdn/2011/sdn1108.pdf</w:t>
        </w:r>
      </w:hyperlink>
    </w:p>
  </w:endnote>
  <w:endnote w:id="10">
    <w:p w14:paraId="3811348D" w14:textId="77777777" w:rsidR="00AE51A4" w:rsidRPr="00755748" w:rsidRDefault="00AE51A4" w:rsidP="00C26A07">
      <w:pPr>
        <w:shd w:val="clear" w:color="auto" w:fill="FFFFFF"/>
        <w:spacing w:after="120" w:line="240" w:lineRule="auto"/>
        <w:rPr>
          <w:rFonts w:ascii="Calibri" w:eastAsia="Arial Unicode MS" w:hAnsi="Calibri" w:cs="Arial Unicode MS"/>
          <w:color w:val="000000"/>
          <w:sz w:val="20"/>
          <w:szCs w:val="20"/>
          <w:lang w:eastAsia="en-GB"/>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cs="Arial"/>
          <w:sz w:val="20"/>
          <w:szCs w:val="20"/>
        </w:rPr>
        <w:t>Wilkinson, Richard G., and Kate Pickett (2010). </w:t>
      </w:r>
      <w:r w:rsidRPr="00755748">
        <w:rPr>
          <w:rFonts w:ascii="Calibri" w:hAnsi="Calibri" w:cs="Arial"/>
          <w:i/>
          <w:sz w:val="20"/>
          <w:szCs w:val="20"/>
        </w:rPr>
        <w:t>The spirit level: why greater equality makes societies stronger.</w:t>
      </w:r>
      <w:r w:rsidRPr="00755748">
        <w:rPr>
          <w:rFonts w:ascii="Calibri" w:hAnsi="Calibri" w:cs="Arial"/>
          <w:sz w:val="20"/>
          <w:szCs w:val="20"/>
        </w:rPr>
        <w:t xml:space="preserve"> New York: Bloomsbury Press.</w:t>
      </w:r>
    </w:p>
  </w:endnote>
  <w:endnote w:id="11">
    <w:p w14:paraId="011813BA" w14:textId="7AC6AFEA" w:rsidR="00AE51A4" w:rsidRPr="00755748" w:rsidRDefault="00AE51A4" w:rsidP="00C215CF">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UN Women (2015a) </w:t>
      </w:r>
      <w:r w:rsidRPr="00755748">
        <w:rPr>
          <w:rFonts w:ascii="Calibri" w:hAnsi="Calibri"/>
          <w:i/>
          <w:iCs/>
          <w:sz w:val="20"/>
          <w:szCs w:val="20"/>
        </w:rPr>
        <w:t>Summary Report: The Beijing Declaration and Platform For Action Turns 20</w:t>
      </w:r>
      <w:r w:rsidRPr="00755748">
        <w:rPr>
          <w:rFonts w:ascii="Calibri" w:hAnsi="Calibri"/>
          <w:sz w:val="20"/>
          <w:szCs w:val="20"/>
        </w:rPr>
        <w:t xml:space="preserve">, http://www2.unwomen.org/~/media/headquarters/attachments/sections/library/publications/2015/sg percent20report_synthesis-en_web.pdf?v=1&amp;d=20150226T215547  </w:t>
      </w:r>
    </w:p>
  </w:endnote>
  <w:endnote w:id="12">
    <w:p w14:paraId="7929FF37" w14:textId="1CCB262E" w:rsidR="00AE51A4" w:rsidRPr="00755748" w:rsidRDefault="00AE51A4" w:rsidP="00C215CF">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Oxfam (2019) ‘Public good or private wealth?’. Oxfam Report, January 2019</w:t>
      </w:r>
    </w:p>
  </w:endnote>
  <w:endnote w:id="13">
    <w:p w14:paraId="218C175B" w14:textId="0555332A" w:rsidR="00AE51A4" w:rsidRPr="00755748" w:rsidRDefault="00AE51A4" w:rsidP="00C215CF">
      <w:pPr>
        <w:spacing w:afterLines="22" w:after="52" w:line="240" w:lineRule="auto"/>
        <w:rPr>
          <w:rFonts w:ascii="Calibri" w:hAnsi="Calibri"/>
          <w:sz w:val="20"/>
          <w:szCs w:val="20"/>
          <w:lang w:val="pt-PT"/>
        </w:rPr>
      </w:pPr>
      <w:r w:rsidRPr="00755748">
        <w:rPr>
          <w:rStyle w:val="EndnoteReference"/>
          <w:rFonts w:ascii="Calibri" w:hAnsi="Calibri"/>
          <w:sz w:val="20"/>
          <w:szCs w:val="20"/>
        </w:rPr>
        <w:endnoteRef/>
      </w:r>
      <w:r w:rsidRPr="00755748">
        <w:rPr>
          <w:rFonts w:ascii="Calibri" w:hAnsi="Calibri"/>
          <w:sz w:val="20"/>
          <w:szCs w:val="20"/>
        </w:rPr>
        <w:t xml:space="preserve"> F. Rhodes. (2017) </w:t>
      </w:r>
      <w:r w:rsidRPr="00755748">
        <w:rPr>
          <w:rFonts w:ascii="Calibri" w:hAnsi="Calibri"/>
          <w:i/>
          <w:iCs/>
          <w:sz w:val="20"/>
          <w:szCs w:val="20"/>
        </w:rPr>
        <w:t>An economy that works for women: Achieving women’s economic empowerment in an increasingly unequal world</w:t>
      </w:r>
      <w:r w:rsidRPr="00755748">
        <w:rPr>
          <w:rFonts w:ascii="Calibri" w:hAnsi="Calibri"/>
          <w:sz w:val="20"/>
          <w:szCs w:val="20"/>
        </w:rPr>
        <w:t xml:space="preserve">. </w:t>
      </w:r>
      <w:r w:rsidRPr="00755748">
        <w:rPr>
          <w:rFonts w:ascii="Calibri" w:hAnsi="Calibri"/>
          <w:sz w:val="20"/>
          <w:szCs w:val="20"/>
          <w:lang w:val="pt-PT"/>
        </w:rPr>
        <w:t xml:space="preserve">Oxfam Report. </w:t>
      </w:r>
      <w:hyperlink r:id="rId6" w:history="1">
        <w:r w:rsidRPr="00755748">
          <w:rPr>
            <w:rStyle w:val="Hyperlink"/>
            <w:rFonts w:ascii="Calibri" w:hAnsi="Calibri"/>
            <w:sz w:val="20"/>
            <w:szCs w:val="20"/>
            <w:lang w:val="pt-PT"/>
          </w:rPr>
          <w:t>https://www.oxfam.org/sites/www.oxfam.org/files/file_attachments/bp-an-economy-that-works-for-women-020317-en.pdf</w:t>
        </w:r>
      </w:hyperlink>
    </w:p>
  </w:endnote>
  <w:endnote w:id="14">
    <w:p w14:paraId="759AB2EF" w14:textId="374810AC" w:rsidR="00AE51A4" w:rsidRPr="00755748" w:rsidRDefault="00AE51A4" w:rsidP="00C26A07">
      <w:pPr>
        <w:spacing w:afterLines="22" w:after="52" w:line="240" w:lineRule="auto"/>
        <w:jc w:val="both"/>
        <w:rPr>
          <w:rFonts w:ascii="Calibri" w:hAnsi="Calibri"/>
          <w:sz w:val="20"/>
          <w:szCs w:val="20"/>
        </w:rPr>
      </w:pPr>
      <w:r w:rsidRPr="00755748">
        <w:rPr>
          <w:rStyle w:val="EndnoteReference"/>
          <w:rFonts w:ascii="Calibri" w:hAnsi="Calibri"/>
          <w:sz w:val="20"/>
          <w:szCs w:val="20"/>
        </w:rPr>
        <w:endnoteRef/>
      </w:r>
      <w:r>
        <w:rPr>
          <w:rFonts w:ascii="Calibri" w:hAnsi="Calibri"/>
          <w:sz w:val="20"/>
          <w:szCs w:val="20"/>
        </w:rPr>
        <w:t xml:space="preserve"> </w:t>
      </w:r>
      <w:r w:rsidRPr="00755748">
        <w:rPr>
          <w:rFonts w:ascii="Calibri" w:hAnsi="Calibri"/>
          <w:sz w:val="20"/>
          <w:szCs w:val="20"/>
        </w:rPr>
        <w:t xml:space="preserve">A. Shorrocks, J. Davies and R. Lluberas. (2018). Global Wealth Report. https://www.credit-suisse.com/corporate/en/research/research-institute/global-wealth-report.html  Sustainable </w:t>
      </w:r>
    </w:p>
  </w:endnote>
  <w:endnote w:id="15">
    <w:p w14:paraId="6BB6E59A" w14:textId="11864B12" w:rsidR="00AE51A4" w:rsidRPr="00755748" w:rsidRDefault="00AE51A4" w:rsidP="00C26A07">
      <w:pPr>
        <w:pStyle w:val="Default"/>
        <w:spacing w:after="120"/>
        <w:jc w:val="both"/>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UN Women. (2018). </w:t>
      </w:r>
      <w:r w:rsidRPr="00755748">
        <w:rPr>
          <w:rFonts w:ascii="Calibri" w:hAnsi="Calibri"/>
          <w:i/>
          <w:iCs/>
          <w:sz w:val="20"/>
          <w:szCs w:val="20"/>
        </w:rPr>
        <w:t>Turning Promises Into Action: Gender equality in the 2030 Agenda For Sustainable Development</w:t>
      </w:r>
      <w:r w:rsidRPr="00755748">
        <w:rPr>
          <w:rFonts w:ascii="Calibri" w:hAnsi="Calibri"/>
          <w:sz w:val="20"/>
          <w:szCs w:val="20"/>
        </w:rPr>
        <w:t xml:space="preserve">. http://www.unwomen.org/-/media/headquarters/attachments/sections/library/publications/2018/sdg-report-gender-equality-in-the-2030-agenda-for-sustainable-development-2018-en.pdf?la=en&amp;vs=5653  </w:t>
      </w:r>
    </w:p>
  </w:endnote>
  <w:endnote w:id="16">
    <w:p w14:paraId="096968AB" w14:textId="41202749"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i/>
          <w:sz w:val="20"/>
          <w:szCs w:val="20"/>
        </w:rPr>
        <w:t>Ibidem</w:t>
      </w:r>
    </w:p>
  </w:endnote>
  <w:endnote w:id="17">
    <w:p w14:paraId="5B64DA8D" w14:textId="772F8015"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T. Gore (2015). </w:t>
      </w:r>
      <w:r w:rsidRPr="00755748">
        <w:rPr>
          <w:rFonts w:ascii="Calibri" w:hAnsi="Calibri"/>
          <w:i/>
          <w:sz w:val="20"/>
          <w:szCs w:val="20"/>
        </w:rPr>
        <w:t>Extreme Carbon Inequality: Why the Paris climate deal must put the poorest, lowest emitting and most vulnerable people first</w:t>
      </w:r>
      <w:r w:rsidRPr="00755748">
        <w:rPr>
          <w:rFonts w:ascii="Calibri" w:hAnsi="Calibri"/>
          <w:sz w:val="20"/>
          <w:szCs w:val="20"/>
        </w:rPr>
        <w:t xml:space="preserve">. Oxfam. </w:t>
      </w:r>
      <w:hyperlink r:id="rId7" w:history="1">
        <w:r w:rsidRPr="00755748">
          <w:rPr>
            <w:rStyle w:val="Hyperlink"/>
            <w:rFonts w:ascii="Calibri" w:hAnsi="Calibri"/>
            <w:color w:val="auto"/>
            <w:sz w:val="20"/>
            <w:szCs w:val="20"/>
          </w:rPr>
          <w:t>https://policy-practice.oxfam.org.uk/publications/extreme-carbon-inequality-why-the-paris-climate-deal-must-put-the-poorest-lowes-582545</w:t>
        </w:r>
      </w:hyperlink>
    </w:p>
  </w:endnote>
  <w:endnote w:id="18">
    <w:p w14:paraId="74AEFA02" w14:textId="16DB4ADC" w:rsidR="00AE51A4" w:rsidRPr="00755748" w:rsidRDefault="00AE51A4" w:rsidP="00C26A07">
      <w:pPr>
        <w:pStyle w:val="EndnoteText"/>
        <w:rPr>
          <w:rFonts w:ascii="Calibri" w:hAnsi="Calibri"/>
          <w:sz w:val="20"/>
          <w:szCs w:val="20"/>
        </w:rPr>
      </w:pPr>
      <w:r w:rsidRPr="00755748">
        <w:rPr>
          <w:rStyle w:val="EndnoteReference"/>
          <w:rFonts w:ascii="Calibri" w:hAnsi="Calibri"/>
          <w:color w:val="auto"/>
          <w:sz w:val="20"/>
          <w:szCs w:val="20"/>
        </w:rPr>
        <w:endnoteRef/>
      </w:r>
      <w:r>
        <w:rPr>
          <w:rStyle w:val="EndnoteReference"/>
          <w:rFonts w:ascii="Calibri" w:hAnsi="Calibri"/>
          <w:color w:val="auto"/>
          <w:sz w:val="20"/>
          <w:szCs w:val="20"/>
        </w:rPr>
        <w:t xml:space="preserve"> </w:t>
      </w:r>
      <w:r w:rsidRPr="00755748">
        <w:rPr>
          <w:rFonts w:ascii="Calibri" w:hAnsi="Calibri"/>
          <w:sz w:val="20"/>
          <w:szCs w:val="20"/>
        </w:rPr>
        <w:t xml:space="preserve"> S. Klein (2012). </w:t>
      </w:r>
      <w:r w:rsidRPr="00755748">
        <w:rPr>
          <w:rFonts w:ascii="Calibri" w:hAnsi="Calibri"/>
          <w:i/>
          <w:sz w:val="20"/>
          <w:szCs w:val="20"/>
        </w:rPr>
        <w:t>Moving Towards Climate Justice: Overcoming Barriers to Change</w:t>
      </w:r>
      <w:r w:rsidRPr="00755748">
        <w:rPr>
          <w:rFonts w:ascii="Calibri" w:hAnsi="Calibri"/>
          <w:sz w:val="20"/>
          <w:szCs w:val="20"/>
        </w:rPr>
        <w:t xml:space="preserve">. Canadian Centre for Policy Alternatives. Paper prepared for INET Annual Conference, ‘Paradise Lost’, April 2012. </w:t>
      </w:r>
      <w:hyperlink r:id="rId8">
        <w:r w:rsidRPr="00755748">
          <w:rPr>
            <w:rStyle w:val="InternetLink"/>
            <w:rFonts w:ascii="Calibri" w:hAnsi="Calibri"/>
            <w:sz w:val="20"/>
            <w:szCs w:val="20"/>
          </w:rPr>
          <w:t>https://www.ineteconomics.org/uploads/papers/klein-seth-berlin-paper-FINAL.pdf</w:t>
        </w:r>
      </w:hyperlink>
    </w:p>
  </w:endnote>
  <w:endnote w:id="19">
    <w:p w14:paraId="77BA0BBF" w14:textId="6166ED91"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G. Zachmann (2018). </w:t>
      </w:r>
      <w:r w:rsidRPr="00755748">
        <w:rPr>
          <w:rFonts w:ascii="Calibri" w:hAnsi="Calibri"/>
          <w:i/>
          <w:sz w:val="20"/>
          <w:szCs w:val="20"/>
        </w:rPr>
        <w:t>Climate policies risk increasing social inequality</w:t>
      </w:r>
      <w:r w:rsidRPr="00755748">
        <w:rPr>
          <w:rFonts w:ascii="Calibri" w:hAnsi="Calibri"/>
          <w:sz w:val="20"/>
          <w:szCs w:val="20"/>
        </w:rPr>
        <w:t xml:space="preserve">. Bruegel. </w:t>
      </w:r>
      <w:hyperlink r:id="rId9">
        <w:r w:rsidRPr="00755748">
          <w:rPr>
            <w:rStyle w:val="InternetLink"/>
            <w:rFonts w:ascii="Calibri" w:hAnsi="Calibri"/>
            <w:sz w:val="20"/>
            <w:szCs w:val="20"/>
          </w:rPr>
          <w:t>http://bruegel.org/2018/02/climate-policies-risk-increasing-social-inequality/</w:t>
        </w:r>
      </w:hyperlink>
    </w:p>
  </w:endnote>
  <w:endnote w:id="20">
    <w:p w14:paraId="582E4E40" w14:textId="7DF55CE8"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See for example: A. Evans (2018). </w:t>
      </w:r>
      <w:r w:rsidRPr="00755748">
        <w:rPr>
          <w:rFonts w:ascii="Calibri" w:hAnsi="Calibri"/>
          <w:i/>
          <w:sz w:val="20"/>
          <w:szCs w:val="20"/>
        </w:rPr>
        <w:t>Politicising Inequality: The Power of Ideas</w:t>
      </w:r>
      <w:r w:rsidRPr="00755748">
        <w:rPr>
          <w:rFonts w:ascii="Calibri" w:hAnsi="Calibri"/>
          <w:sz w:val="20"/>
          <w:szCs w:val="20"/>
        </w:rPr>
        <w:t xml:space="preserve">. </w:t>
      </w:r>
      <w:r w:rsidRPr="00755748">
        <w:rPr>
          <w:rFonts w:ascii="Calibri" w:hAnsi="Calibri"/>
          <w:i/>
          <w:sz w:val="20"/>
          <w:szCs w:val="20"/>
        </w:rPr>
        <w:t>World Development</w:t>
      </w:r>
      <w:r w:rsidRPr="00755748">
        <w:rPr>
          <w:rFonts w:ascii="Calibri" w:hAnsi="Calibri"/>
          <w:sz w:val="20"/>
          <w:szCs w:val="20"/>
        </w:rPr>
        <w:t xml:space="preserve">, 110. </w:t>
      </w:r>
      <w:hyperlink r:id="rId10">
        <w:r w:rsidRPr="00755748">
          <w:rPr>
            <w:rStyle w:val="InternetLink"/>
            <w:rFonts w:ascii="Calibri" w:hAnsi="Calibri"/>
            <w:sz w:val="20"/>
            <w:szCs w:val="20"/>
          </w:rPr>
          <w:t>https://www.researchgate.net/publication/321807746_Politicising_Inequality_The_Power_of_Ideas</w:t>
        </w:r>
      </w:hyperlink>
      <w:r w:rsidRPr="00755748">
        <w:rPr>
          <w:rFonts w:ascii="Calibri" w:hAnsi="Calibri"/>
          <w:sz w:val="20"/>
          <w:szCs w:val="20"/>
        </w:rPr>
        <w:t xml:space="preserve">; and V.P. Arauco et al. (2014). </w:t>
      </w:r>
      <w:r w:rsidRPr="00755748">
        <w:rPr>
          <w:rFonts w:ascii="Calibri" w:hAnsi="Calibri"/>
          <w:i/>
          <w:sz w:val="20"/>
          <w:szCs w:val="20"/>
        </w:rPr>
        <w:t>Strengthening social justice to address intersecting inequalities post-2015</w:t>
      </w:r>
      <w:r w:rsidRPr="00755748">
        <w:rPr>
          <w:rFonts w:ascii="Calibri" w:hAnsi="Calibri"/>
          <w:sz w:val="20"/>
          <w:szCs w:val="20"/>
        </w:rPr>
        <w:t xml:space="preserve">. London: Overseas Development Institute (ODI). </w:t>
      </w:r>
      <w:hyperlink r:id="rId11">
        <w:r w:rsidRPr="00755748">
          <w:rPr>
            <w:rStyle w:val="InternetLink"/>
            <w:rFonts w:ascii="Calibri" w:hAnsi="Calibri"/>
            <w:sz w:val="20"/>
            <w:szCs w:val="20"/>
          </w:rPr>
          <w:t>https://www.sdgfund.org/sites/default/files/Intersecting inequalities post2015 ODI SDGF.pdf</w:t>
        </w:r>
      </w:hyperlink>
    </w:p>
  </w:endnote>
  <w:endnote w:id="21">
    <w:p w14:paraId="5542F60F" w14:textId="188AFAFB"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International Center for Not-For-Profit Law. (2016). </w:t>
      </w:r>
      <w:r w:rsidRPr="00755748">
        <w:rPr>
          <w:rFonts w:ascii="Calibri" w:hAnsi="Calibri"/>
          <w:i/>
          <w:sz w:val="20"/>
          <w:szCs w:val="20"/>
        </w:rPr>
        <w:t>Survey of Trends Affecting Civic Space: 2015–16</w:t>
      </w:r>
      <w:r w:rsidRPr="00755748">
        <w:rPr>
          <w:rFonts w:ascii="Calibri" w:hAnsi="Calibri"/>
          <w:sz w:val="20"/>
          <w:szCs w:val="20"/>
        </w:rPr>
        <w:t xml:space="preserve">. </w:t>
      </w:r>
      <w:r w:rsidRPr="00755748">
        <w:rPr>
          <w:rFonts w:ascii="Calibri" w:hAnsi="Calibri"/>
          <w:i/>
          <w:sz w:val="20"/>
          <w:szCs w:val="20"/>
        </w:rPr>
        <w:t>Global Trends in NGO Law</w:t>
      </w:r>
      <w:r w:rsidRPr="00755748">
        <w:rPr>
          <w:rFonts w:ascii="Calibri" w:hAnsi="Calibri"/>
          <w:sz w:val="20"/>
          <w:szCs w:val="20"/>
        </w:rPr>
        <w:t xml:space="preserve">, Vol. 7, Issue 4, September 2016. </w:t>
      </w:r>
      <w:hyperlink r:id="rId12">
        <w:r w:rsidRPr="00755748">
          <w:rPr>
            <w:rStyle w:val="InternetLink"/>
            <w:rFonts w:ascii="Calibri" w:hAnsi="Calibri"/>
            <w:sz w:val="20"/>
            <w:szCs w:val="20"/>
          </w:rPr>
          <w:t>http://www.icnl.org/research/trends/trends7-4.pdf</w:t>
        </w:r>
      </w:hyperlink>
    </w:p>
  </w:endnote>
  <w:endnote w:id="22">
    <w:p w14:paraId="04E6806F" w14:textId="057F2880"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D. Sriskandarajah (2017). </w:t>
      </w:r>
      <w:r w:rsidRPr="00755748">
        <w:rPr>
          <w:rFonts w:ascii="Calibri" w:hAnsi="Calibri"/>
          <w:i/>
          <w:sz w:val="20"/>
          <w:szCs w:val="20"/>
        </w:rPr>
        <w:t>Under Threat: Five Countries in which Civic Space is Rapidly Closing</w:t>
      </w:r>
      <w:r w:rsidRPr="00755748">
        <w:rPr>
          <w:rFonts w:ascii="Calibri" w:hAnsi="Calibri"/>
          <w:sz w:val="20"/>
          <w:szCs w:val="20"/>
        </w:rPr>
        <w:t xml:space="preserve">. OpenDemocracy.net. </w:t>
      </w:r>
      <w:hyperlink r:id="rId13">
        <w:r w:rsidRPr="00755748">
          <w:rPr>
            <w:rStyle w:val="InternetLink"/>
            <w:rFonts w:ascii="Calibri" w:hAnsi="Calibri"/>
            <w:sz w:val="20"/>
            <w:szCs w:val="20"/>
          </w:rPr>
          <w:t>https://www.openglobalrights.org/under-threat-five-countries-in-which-civic-space-is-rapi/</w:t>
        </w:r>
      </w:hyperlink>
    </w:p>
  </w:endnote>
  <w:endnote w:id="23">
    <w:p w14:paraId="549E4EA3" w14:textId="5965044C"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R. Fuentes-Nieva and N. Galasso (2014). </w:t>
      </w:r>
      <w:r w:rsidRPr="00755748">
        <w:rPr>
          <w:rFonts w:ascii="Calibri" w:hAnsi="Calibri"/>
          <w:i/>
          <w:sz w:val="20"/>
          <w:szCs w:val="20"/>
        </w:rPr>
        <w:t>Working for the Few: Political capture and economic inequality</w:t>
      </w:r>
      <w:r w:rsidRPr="00755748">
        <w:rPr>
          <w:rFonts w:ascii="Calibri" w:hAnsi="Calibri"/>
          <w:sz w:val="20"/>
          <w:szCs w:val="20"/>
        </w:rPr>
        <w:t xml:space="preserve">. Oxfam. </w:t>
      </w:r>
      <w:hyperlink r:id="rId14">
        <w:r w:rsidRPr="00755748">
          <w:rPr>
            <w:rStyle w:val="InternetLink"/>
            <w:rFonts w:ascii="Calibri" w:hAnsi="Calibri"/>
            <w:sz w:val="20"/>
            <w:szCs w:val="20"/>
          </w:rPr>
          <w:t>https://policy-practice.oxfam.org.uk/publications/working-for-the-few-political-capture-and-economic-inequality-311312</w:t>
        </w:r>
      </w:hyperlink>
    </w:p>
  </w:endnote>
  <w:endnote w:id="24">
    <w:p w14:paraId="583B98C8" w14:textId="3ECD0A34"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The cycle is described as an institutional framework in D. Acemoglu and J. Robinson (2014). </w:t>
      </w:r>
      <w:r w:rsidRPr="00755748">
        <w:rPr>
          <w:rFonts w:ascii="Calibri" w:hAnsi="Calibri"/>
          <w:i/>
          <w:sz w:val="20"/>
          <w:szCs w:val="20"/>
        </w:rPr>
        <w:t>The Rise and Decline of General Laws of Capitalism</w:t>
      </w:r>
      <w:r w:rsidRPr="00755748">
        <w:rPr>
          <w:rFonts w:ascii="Calibri" w:hAnsi="Calibri"/>
          <w:sz w:val="20"/>
          <w:szCs w:val="20"/>
        </w:rPr>
        <w:t xml:space="preserve">. </w:t>
      </w:r>
      <w:hyperlink r:id="rId15">
        <w:r w:rsidRPr="00755748">
          <w:rPr>
            <w:rStyle w:val="InternetLink"/>
            <w:rFonts w:ascii="Calibri" w:hAnsi="Calibri"/>
            <w:sz w:val="20"/>
            <w:szCs w:val="20"/>
          </w:rPr>
          <w:t>http://economics.mit.edu/files/10422</w:t>
        </w:r>
      </w:hyperlink>
    </w:p>
  </w:endnote>
  <w:endnote w:id="25">
    <w:p w14:paraId="1FE6D376" w14:textId="77777777" w:rsidR="00AE51A4" w:rsidRPr="00755748" w:rsidRDefault="00AE51A4" w:rsidP="00C26A07">
      <w:pPr>
        <w:autoSpaceDE w:val="0"/>
        <w:autoSpaceDN w:val="0"/>
        <w:adjustRightInd w:val="0"/>
        <w:spacing w:after="120" w:line="240" w:lineRule="auto"/>
        <w:rPr>
          <w:rFonts w:ascii="Calibri" w:hAnsi="Calibri" w:cs="Arial"/>
          <w:i/>
          <w:iCs/>
          <w:sz w:val="20"/>
          <w:szCs w:val="20"/>
          <w:lang w:eastAsia="en-GB"/>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cs="Arial"/>
          <w:sz w:val="20"/>
          <w:szCs w:val="20"/>
          <w:lang w:eastAsia="en-GB"/>
        </w:rPr>
        <w:t xml:space="preserve">F. Jaumotte, S. Lall and C. Papageorgiou (2008). </w:t>
      </w:r>
      <w:r w:rsidRPr="00755748">
        <w:rPr>
          <w:rFonts w:ascii="Calibri" w:hAnsi="Calibri" w:cs="Arial"/>
          <w:i/>
          <w:iCs/>
          <w:sz w:val="20"/>
          <w:szCs w:val="20"/>
          <w:lang w:eastAsia="en-GB"/>
        </w:rPr>
        <w:t xml:space="preserve">Rising Income Inequality: Technology, or Trade and Financial Globalization? </w:t>
      </w:r>
      <w:r w:rsidRPr="00755748">
        <w:rPr>
          <w:rFonts w:ascii="Calibri" w:hAnsi="Calibri" w:cs="Arial"/>
          <w:sz w:val="20"/>
          <w:szCs w:val="20"/>
          <w:lang w:eastAsia="en-GB"/>
        </w:rPr>
        <w:t xml:space="preserve">IMF Working Paper WP/08/185; and E. Dabla Norris, K. Kochhar, N. Suphaphiphat, F. Ricka and E. Tsounta (2015). </w:t>
      </w:r>
      <w:r w:rsidRPr="00755748">
        <w:rPr>
          <w:rFonts w:ascii="Calibri" w:hAnsi="Calibri" w:cs="Arial"/>
          <w:i/>
          <w:iCs/>
          <w:sz w:val="20"/>
          <w:szCs w:val="20"/>
          <w:lang w:eastAsia="en-GB"/>
        </w:rPr>
        <w:t>Causes and Consequences of Income Inequality: A Global Perspective</w:t>
      </w:r>
      <w:r w:rsidRPr="00755748">
        <w:rPr>
          <w:rFonts w:ascii="Calibri" w:hAnsi="Calibri" w:cs="Arial"/>
          <w:sz w:val="20"/>
          <w:szCs w:val="20"/>
          <w:lang w:eastAsia="en-GB"/>
        </w:rPr>
        <w:t>. IMF Discussion Note</w:t>
      </w:r>
    </w:p>
  </w:endnote>
  <w:endnote w:id="26">
    <w:p w14:paraId="5AD7A4F5" w14:textId="112121D0"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A. Berg, E.F. Buffie and L.-F. Zanna (2016). </w:t>
      </w:r>
      <w:r w:rsidRPr="00755748">
        <w:rPr>
          <w:rFonts w:ascii="Calibri" w:hAnsi="Calibri"/>
          <w:i/>
          <w:sz w:val="20"/>
          <w:szCs w:val="20"/>
        </w:rPr>
        <w:t>Robots, Growth, and Inequality</w:t>
      </w:r>
      <w:r w:rsidRPr="00755748">
        <w:rPr>
          <w:rFonts w:ascii="Calibri" w:hAnsi="Calibri"/>
          <w:sz w:val="20"/>
          <w:szCs w:val="20"/>
        </w:rPr>
        <w:t xml:space="preserve">. </w:t>
      </w:r>
      <w:r w:rsidRPr="00755748">
        <w:rPr>
          <w:rFonts w:ascii="Calibri" w:hAnsi="Calibri"/>
          <w:i/>
          <w:sz w:val="20"/>
          <w:szCs w:val="20"/>
        </w:rPr>
        <w:t>Finance &amp; Development</w:t>
      </w:r>
      <w:r w:rsidRPr="00755748">
        <w:rPr>
          <w:rFonts w:ascii="Calibri" w:hAnsi="Calibri"/>
          <w:sz w:val="20"/>
          <w:szCs w:val="20"/>
        </w:rPr>
        <w:t xml:space="preserve">, September 2016, Vol. 53, No. 3. </w:t>
      </w:r>
      <w:hyperlink r:id="rId16">
        <w:r w:rsidRPr="00755748">
          <w:rPr>
            <w:rStyle w:val="InternetLink"/>
            <w:rFonts w:ascii="Calibri" w:hAnsi="Calibri"/>
            <w:sz w:val="20"/>
            <w:szCs w:val="20"/>
          </w:rPr>
          <w:t>https://www.imf.org/external/pubs/ft/fandd/2016/09/berg.htm</w:t>
        </w:r>
      </w:hyperlink>
    </w:p>
  </w:endnote>
  <w:endnote w:id="27">
    <w:p w14:paraId="449A07F0" w14:textId="74EF59D6" w:rsidR="00AE51A4" w:rsidRPr="00D32571" w:rsidRDefault="00AE51A4" w:rsidP="00D32571">
      <w:pPr>
        <w:spacing w:afterLines="22" w:after="52" w:line="240" w:lineRule="auto"/>
        <w:jc w:val="both"/>
        <w:rPr>
          <w:rFonts w:eastAsia="Calibri" w:cs="Calibri"/>
        </w:rPr>
      </w:pPr>
      <w:r>
        <w:rPr>
          <w:rStyle w:val="EndnoteReference"/>
        </w:rPr>
        <w:endnoteRef/>
      </w:r>
      <w:r>
        <w:t xml:space="preserve"> </w:t>
      </w:r>
      <w:r w:rsidRPr="00D32571">
        <w:rPr>
          <w:sz w:val="20"/>
          <w:szCs w:val="20"/>
        </w:rPr>
        <w:t>M. Brussevich, Era Dabla-Norris, Christine Kamunge, Pooja Karnane, Salma Khalid, and Kalpana Kochhar (2018) ‘Gender, Technology, and the Future of Work’. Staff Discussion Note SDN/18/07. The International Monetary Fund</w:t>
      </w:r>
    </w:p>
  </w:endnote>
  <w:endnote w:id="28">
    <w:p w14:paraId="1DE03BA0" w14:textId="2B23F55E"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Pr>
          <w:rStyle w:val="EndnoteReference"/>
          <w:rFonts w:ascii="Calibri" w:hAnsi="Calibri"/>
          <w:sz w:val="20"/>
          <w:szCs w:val="20"/>
        </w:rPr>
        <w:t xml:space="preserve"> </w:t>
      </w:r>
      <w:r w:rsidRPr="00755748">
        <w:rPr>
          <w:rFonts w:ascii="Calibri" w:hAnsi="Calibri"/>
          <w:sz w:val="20"/>
          <w:szCs w:val="20"/>
        </w:rPr>
        <w:t xml:space="preserve">See, for example, J. Felipe and A. Mehta (2016). </w:t>
      </w:r>
      <w:r w:rsidRPr="00755748">
        <w:rPr>
          <w:rFonts w:ascii="Calibri" w:hAnsi="Calibri"/>
          <w:i/>
          <w:sz w:val="20"/>
          <w:szCs w:val="20"/>
        </w:rPr>
        <w:t>Deindustrialization? A global perspective</w:t>
      </w:r>
      <w:r w:rsidRPr="00755748">
        <w:rPr>
          <w:rFonts w:ascii="Calibri" w:hAnsi="Calibri"/>
          <w:sz w:val="20"/>
          <w:szCs w:val="20"/>
        </w:rPr>
        <w:t xml:space="preserve">. </w:t>
      </w:r>
      <w:r w:rsidRPr="00755748">
        <w:rPr>
          <w:rFonts w:ascii="Calibri" w:hAnsi="Calibri"/>
          <w:i/>
          <w:sz w:val="20"/>
          <w:szCs w:val="20"/>
        </w:rPr>
        <w:t>Economics Letters</w:t>
      </w:r>
      <w:r w:rsidRPr="00755748">
        <w:rPr>
          <w:rFonts w:ascii="Calibri" w:hAnsi="Calibri"/>
          <w:sz w:val="20"/>
          <w:szCs w:val="20"/>
        </w:rPr>
        <w:t xml:space="preserve">, 149, Issue C, pp.148-151. </w:t>
      </w:r>
      <w:hyperlink r:id="rId17">
        <w:r w:rsidRPr="00755748">
          <w:rPr>
            <w:rStyle w:val="InternetLink"/>
            <w:rFonts w:ascii="Calibri" w:hAnsi="Calibri"/>
            <w:sz w:val="20"/>
            <w:szCs w:val="20"/>
          </w:rPr>
          <w:t>https://econpapers.repec.org/article/eeeecolet/v_3a149_3ay_3a2016_3ai_3ac_3ap_3a148-151.htm</w:t>
        </w:r>
      </w:hyperlink>
      <w:r w:rsidRPr="00755748">
        <w:rPr>
          <w:rFonts w:ascii="Calibri" w:hAnsi="Calibri"/>
          <w:sz w:val="20"/>
          <w:szCs w:val="20"/>
        </w:rPr>
        <w:t xml:space="preserve">; D. Rodrik (2016). </w:t>
      </w:r>
      <w:r w:rsidRPr="00755748">
        <w:rPr>
          <w:rFonts w:ascii="Calibri" w:hAnsi="Calibri"/>
          <w:i/>
          <w:sz w:val="20"/>
          <w:szCs w:val="20"/>
        </w:rPr>
        <w:t>Premature deindustrialization</w:t>
      </w:r>
      <w:r w:rsidRPr="00755748">
        <w:rPr>
          <w:rFonts w:ascii="Calibri" w:hAnsi="Calibri"/>
          <w:sz w:val="20"/>
          <w:szCs w:val="20"/>
        </w:rPr>
        <w:t xml:space="preserve">. </w:t>
      </w:r>
      <w:r w:rsidRPr="00755748">
        <w:rPr>
          <w:rFonts w:ascii="Calibri" w:hAnsi="Calibri"/>
          <w:i/>
          <w:sz w:val="20"/>
          <w:szCs w:val="20"/>
        </w:rPr>
        <w:t>Journal of Economic Growth</w:t>
      </w:r>
      <w:r w:rsidRPr="00755748">
        <w:rPr>
          <w:rFonts w:ascii="Calibri" w:hAnsi="Calibri"/>
          <w:sz w:val="20"/>
          <w:szCs w:val="20"/>
        </w:rPr>
        <w:t xml:space="preserve">, Vol. 21(1), pp.1-33. </w:t>
      </w:r>
      <w:hyperlink r:id="rId18">
        <w:r w:rsidRPr="00755748">
          <w:rPr>
            <w:rStyle w:val="InternetLink"/>
            <w:rFonts w:ascii="Calibri" w:hAnsi="Calibri"/>
            <w:sz w:val="20"/>
            <w:szCs w:val="20"/>
          </w:rPr>
          <w:t>https://econpapers.repec.org/article/kapjecgro/v_3a21_3ay_3a2016_3ai_3a1_3ad_3a10.1007_5fs10887-015-9122-3.htm</w:t>
        </w:r>
      </w:hyperlink>
      <w:r w:rsidRPr="00755748">
        <w:rPr>
          <w:rFonts w:ascii="Calibri" w:hAnsi="Calibri"/>
          <w:sz w:val="20"/>
          <w:szCs w:val="20"/>
        </w:rPr>
        <w:t xml:space="preserve">; K. Sen (2018). </w:t>
      </w:r>
      <w:r w:rsidRPr="00755748">
        <w:rPr>
          <w:rFonts w:ascii="Calibri" w:hAnsi="Calibri"/>
          <w:i/>
          <w:sz w:val="20"/>
          <w:szCs w:val="20"/>
        </w:rPr>
        <w:t>Does structural transformation lead to higher inequality?</w:t>
      </w:r>
      <w:r w:rsidRPr="00755748">
        <w:rPr>
          <w:rFonts w:ascii="Calibri" w:hAnsi="Calibri"/>
          <w:sz w:val="20"/>
          <w:szCs w:val="20"/>
        </w:rPr>
        <w:t xml:space="preserve"> </w:t>
      </w:r>
      <w:hyperlink r:id="rId19">
        <w:r w:rsidRPr="00755748">
          <w:rPr>
            <w:rStyle w:val="InternetLink"/>
            <w:rFonts w:ascii="Calibri" w:hAnsi="Calibri"/>
            <w:sz w:val="20"/>
            <w:szCs w:val="20"/>
          </w:rPr>
          <w:t>http://blog.gdi.manchester.ac.uk/dsa2018/</w:t>
        </w:r>
      </w:hyperlink>
    </w:p>
  </w:endnote>
  <w:endnote w:id="29">
    <w:p w14:paraId="5E3CB239" w14:textId="170D3774" w:rsidR="00AE51A4" w:rsidRPr="006C7208" w:rsidRDefault="00AE51A4" w:rsidP="006C7208">
      <w:pPr>
        <w:spacing w:afterLines="22" w:after="52" w:line="240" w:lineRule="auto"/>
        <w:rPr>
          <w:sz w:val="20"/>
          <w:szCs w:val="20"/>
          <w:lang w:eastAsia="en-GB"/>
        </w:rPr>
      </w:pPr>
      <w:r>
        <w:rPr>
          <w:rStyle w:val="EndnoteReference"/>
        </w:rPr>
        <w:endnoteRef/>
      </w:r>
      <w:r>
        <w:t xml:space="preserve"> </w:t>
      </w:r>
      <w:r w:rsidRPr="006C7208">
        <w:rPr>
          <w:sz w:val="20"/>
          <w:szCs w:val="20"/>
        </w:rPr>
        <w:t xml:space="preserve">R. Fuentes-Nieva and N. Galasso (2014) </w:t>
      </w:r>
      <w:r w:rsidRPr="006C7208">
        <w:rPr>
          <w:i/>
          <w:sz w:val="20"/>
          <w:szCs w:val="20"/>
        </w:rPr>
        <w:t>Working for the Few. Political capture and economic inequality</w:t>
      </w:r>
      <w:r w:rsidRPr="006C7208">
        <w:rPr>
          <w:sz w:val="20"/>
          <w:szCs w:val="20"/>
        </w:rPr>
        <w:t xml:space="preserve">. Oxford: Oxfam. </w:t>
      </w:r>
      <w:hyperlink r:id="rId20" w:history="1">
        <w:r w:rsidRPr="006C7208">
          <w:rPr>
            <w:rStyle w:val="Hyperlink"/>
            <w:sz w:val="20"/>
            <w:szCs w:val="20"/>
          </w:rPr>
          <w:t>https://www.oxfam.org/en/research/working-few</w:t>
        </w:r>
      </w:hyperlink>
    </w:p>
  </w:endnote>
  <w:endnote w:id="30">
    <w:p w14:paraId="6C37BD27" w14:textId="7B3B75FC" w:rsidR="00AE51A4" w:rsidRPr="00755748" w:rsidRDefault="00AE51A4" w:rsidP="00C26A07">
      <w:pPr>
        <w:spacing w:afterLines="22" w:after="52" w:line="240" w:lineRule="auto"/>
        <w:jc w:val="both"/>
        <w:rPr>
          <w:rFonts w:ascii="Calibri" w:hAnsi="Calibri"/>
          <w:sz w:val="20"/>
          <w:szCs w:val="20"/>
        </w:rPr>
      </w:pPr>
      <w:r w:rsidRPr="006C7208">
        <w:rPr>
          <w:rStyle w:val="EndnoteReference"/>
          <w:rFonts w:ascii="Calibri" w:hAnsi="Calibri"/>
          <w:sz w:val="20"/>
          <w:szCs w:val="20"/>
        </w:rPr>
        <w:endnoteRef/>
      </w:r>
      <w:r w:rsidRPr="006C7208">
        <w:rPr>
          <w:rFonts w:ascii="Calibri" w:hAnsi="Calibri"/>
          <w:sz w:val="20"/>
          <w:szCs w:val="20"/>
        </w:rPr>
        <w:t xml:space="preserve"> Figures from T. Piketty. (2014). </w:t>
      </w:r>
      <w:r w:rsidRPr="006C7208">
        <w:rPr>
          <w:rFonts w:ascii="Calibri" w:hAnsi="Calibri"/>
          <w:i/>
          <w:iCs/>
          <w:sz w:val="20"/>
          <w:szCs w:val="20"/>
        </w:rPr>
        <w:t>Capital in the Twenty</w:t>
      </w:r>
      <w:r w:rsidRPr="00755748">
        <w:rPr>
          <w:rFonts w:ascii="Calibri" w:hAnsi="Calibri"/>
          <w:i/>
          <w:iCs/>
          <w:sz w:val="20"/>
          <w:szCs w:val="20"/>
        </w:rPr>
        <w:t>-First Century</w:t>
      </w:r>
      <w:r w:rsidRPr="00755748">
        <w:rPr>
          <w:rFonts w:ascii="Calibri" w:hAnsi="Calibri"/>
          <w:sz w:val="20"/>
          <w:szCs w:val="20"/>
        </w:rPr>
        <w:t xml:space="preserve">. A. Goldhammer, transl. Cambridge Massachusetts: The Belknap Press of Harvard University Press. https://doi.org/10.4159/9780674369542  </w:t>
      </w:r>
    </w:p>
  </w:endnote>
  <w:endnote w:id="31">
    <w:p w14:paraId="0A16DA09" w14:textId="02AD0BEC" w:rsidR="00AE51A4" w:rsidRPr="00755748" w:rsidRDefault="00AE51A4" w:rsidP="00C26A07">
      <w:pPr>
        <w:spacing w:afterLines="22" w:after="52" w:line="240" w:lineRule="auto"/>
        <w:jc w:val="both"/>
        <w:rPr>
          <w:rFonts w:ascii="Calibri" w:eastAsia="Calibri" w:hAnsi="Calibri" w:cs="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Development Finance International and Oxfam (2018) </w:t>
      </w:r>
      <w:r w:rsidRPr="00755748">
        <w:rPr>
          <w:rFonts w:ascii="Calibri" w:hAnsi="Calibri"/>
          <w:i/>
          <w:sz w:val="20"/>
          <w:szCs w:val="20"/>
        </w:rPr>
        <w:t xml:space="preserve">The Commitment to Reducing Inequality Index 2018. </w:t>
      </w:r>
      <w:r w:rsidRPr="00755748">
        <w:rPr>
          <w:rFonts w:ascii="Calibri" w:eastAsia="Calibri" w:hAnsi="Calibri" w:cs="Calibri"/>
          <w:sz w:val="20"/>
          <w:szCs w:val="20"/>
        </w:rPr>
        <w:t xml:space="preserve">https://policy-practice.oxfam.org.uk/publications/the-commitment-to-reducing-inequality-index-2018-a-global-ranking-of-government-620553 </w:t>
      </w:r>
    </w:p>
  </w:endnote>
  <w:endnote w:id="32">
    <w:p w14:paraId="408D426A" w14:textId="6537E871" w:rsidR="00AE51A4" w:rsidRPr="00755748" w:rsidRDefault="00AE51A4" w:rsidP="00C26A07">
      <w:pPr>
        <w:spacing w:afterLines="22" w:after="52" w:line="240" w:lineRule="auto"/>
        <w:jc w:val="both"/>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G. Zucman. (2015). </w:t>
      </w:r>
      <w:r w:rsidRPr="00755748">
        <w:rPr>
          <w:rFonts w:ascii="Calibri" w:hAnsi="Calibri"/>
          <w:i/>
          <w:iCs/>
          <w:sz w:val="20"/>
          <w:szCs w:val="20"/>
        </w:rPr>
        <w:t xml:space="preserve">The Hidden Wealth of Nations. </w:t>
      </w:r>
      <w:r w:rsidRPr="00755748">
        <w:rPr>
          <w:rFonts w:ascii="Calibri" w:hAnsi="Calibri"/>
          <w:sz w:val="20"/>
          <w:szCs w:val="20"/>
        </w:rPr>
        <w:t xml:space="preserve">Chicago University Press  </w:t>
      </w:r>
    </w:p>
  </w:endnote>
  <w:endnote w:id="33">
    <w:p w14:paraId="375E5BA6" w14:textId="39621EA3" w:rsidR="00AE51A4" w:rsidRPr="00755748" w:rsidRDefault="00AE51A4" w:rsidP="00C26A07">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D. Hardoon et al. (2018). </w:t>
      </w:r>
      <w:r w:rsidRPr="00755748">
        <w:rPr>
          <w:rFonts w:ascii="Calibri" w:hAnsi="Calibri"/>
          <w:i/>
          <w:iCs/>
          <w:sz w:val="20"/>
          <w:szCs w:val="20"/>
        </w:rPr>
        <w:t>Reward Work, Not Wealth. Methodology Note</w:t>
      </w:r>
      <w:r w:rsidRPr="00755748">
        <w:rPr>
          <w:rFonts w:ascii="Calibri" w:hAnsi="Calibri"/>
          <w:sz w:val="20"/>
          <w:szCs w:val="20"/>
        </w:rPr>
        <w:t xml:space="preserve">. http://dx.doi.org/10.21201/2017.1350 </w:t>
      </w:r>
    </w:p>
  </w:endnote>
  <w:endnote w:id="34">
    <w:p w14:paraId="31A87A03" w14:textId="5F2EE403"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Zucman (2015), Op. Cit.</w:t>
      </w:r>
    </w:p>
  </w:endnote>
  <w:endnote w:id="35">
    <w:p w14:paraId="7121CDD2" w14:textId="0DB2EC62" w:rsidR="00AE51A4" w:rsidRPr="00755748" w:rsidRDefault="00AE51A4" w:rsidP="00C26A07">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UNCTAD (2015). </w:t>
      </w:r>
      <w:r w:rsidRPr="00755748">
        <w:rPr>
          <w:rFonts w:ascii="Calibri" w:hAnsi="Calibri"/>
          <w:i/>
          <w:iCs/>
          <w:sz w:val="20"/>
          <w:szCs w:val="20"/>
        </w:rPr>
        <w:t>World Investment Report 2015</w:t>
      </w:r>
      <w:r w:rsidRPr="00755748">
        <w:rPr>
          <w:rFonts w:ascii="Calibri" w:hAnsi="Calibri"/>
          <w:sz w:val="20"/>
          <w:szCs w:val="20"/>
        </w:rPr>
        <w:t>. http://unctad.org/en/PublicationsLibrary/wir2015_en.pdf</w:t>
      </w:r>
    </w:p>
  </w:endnote>
  <w:endnote w:id="36">
    <w:p w14:paraId="67A42E89" w14:textId="1C1CA586" w:rsidR="0073392C" w:rsidRDefault="0073392C">
      <w:pPr>
        <w:pStyle w:val="EndnoteText"/>
      </w:pPr>
      <w:r>
        <w:rPr>
          <w:rStyle w:val="EndnoteReference"/>
        </w:rPr>
        <w:endnoteRef/>
      </w:r>
      <w:r>
        <w:t xml:space="preserve"> </w:t>
      </w:r>
      <w:hyperlink r:id="rId21" w:history="1">
        <w:r>
          <w:rPr>
            <w:rStyle w:val="Hyperlink"/>
          </w:rPr>
          <w:t>https://blogs.imf.org/2019/03/25/corporate-taxation-in-the-global-economy/</w:t>
        </w:r>
      </w:hyperlink>
    </w:p>
  </w:endnote>
  <w:endnote w:id="37">
    <w:p w14:paraId="627D20CA" w14:textId="03D87985" w:rsidR="00AE51A4" w:rsidRPr="006C7208" w:rsidRDefault="00AE51A4">
      <w:pPr>
        <w:pStyle w:val="EndnoteText"/>
        <w:rPr>
          <w:rFonts w:ascii="Calibri" w:hAnsi="Calibri"/>
          <w:sz w:val="20"/>
          <w:szCs w:val="20"/>
        </w:rPr>
      </w:pPr>
      <w:r w:rsidRPr="006C7208">
        <w:rPr>
          <w:rStyle w:val="EndnoteReference"/>
          <w:rFonts w:ascii="Calibri" w:hAnsi="Calibri"/>
          <w:sz w:val="20"/>
          <w:szCs w:val="20"/>
        </w:rPr>
        <w:endnoteRef/>
      </w:r>
      <w:r w:rsidRPr="006C7208">
        <w:rPr>
          <w:rFonts w:ascii="Calibri" w:hAnsi="Calibri"/>
          <w:sz w:val="20"/>
          <w:szCs w:val="20"/>
        </w:rPr>
        <w:t xml:space="preserve"> Oxfam (2019), Op.Cit.</w:t>
      </w:r>
    </w:p>
  </w:endnote>
  <w:endnote w:id="38">
    <w:p w14:paraId="7B0AC75A" w14:textId="77777777" w:rsidR="00AE51A4" w:rsidRPr="00755748" w:rsidRDefault="00AE51A4" w:rsidP="000D0599">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hyperlink r:id="rId22" w:history="1">
        <w:r w:rsidRPr="00755748">
          <w:rPr>
            <w:rStyle w:val="Hyperlink"/>
            <w:rFonts w:ascii="Calibri" w:eastAsia="Times New Roman" w:hAnsi="Calibri" w:cs="Helvetica"/>
            <w:color w:val="auto"/>
            <w:sz w:val="20"/>
            <w:szCs w:val="20"/>
            <w:lang w:eastAsia="en-GB"/>
          </w:rPr>
          <w:t>https://sustainabledevelopment.un.org/content/unsurvey/index.html</w:t>
        </w:r>
      </w:hyperlink>
    </w:p>
  </w:endnote>
  <w:endnote w:id="39">
    <w:p w14:paraId="678ECEB7" w14:textId="77777777" w:rsidR="00AE51A4" w:rsidRPr="00755748" w:rsidRDefault="00AE51A4" w:rsidP="000D0599">
      <w:pPr>
        <w:spacing w:afterLines="22" w:after="52" w:line="240" w:lineRule="auto"/>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eastAsia="Times New Roman" w:hAnsi="Calibri" w:cs="Helvetica"/>
          <w:sz w:val="20"/>
          <w:szCs w:val="20"/>
          <w:lang w:eastAsia="en-GB"/>
        </w:rPr>
        <w:t xml:space="preserve">For a discussion of strengths and limitations of this approach, see </w:t>
      </w:r>
      <w:r w:rsidRPr="00755748">
        <w:rPr>
          <w:rFonts w:ascii="Calibri" w:hAnsi="Calibri"/>
          <w:sz w:val="20"/>
          <w:szCs w:val="20"/>
        </w:rPr>
        <w:t>C. Mariotti., N. Galasso and N. Daar (2017</w:t>
      </w:r>
      <w:r w:rsidRPr="00755748">
        <w:rPr>
          <w:rFonts w:ascii="Calibri" w:hAnsi="Calibri"/>
          <w:i/>
          <w:sz w:val="20"/>
          <w:szCs w:val="20"/>
        </w:rPr>
        <w:t xml:space="preserve">) Great Expectations: Is the IMF turning words into action on inequality?. </w:t>
      </w:r>
      <w:r w:rsidRPr="00755748">
        <w:rPr>
          <w:rFonts w:ascii="Calibri" w:hAnsi="Calibri"/>
          <w:sz w:val="20"/>
          <w:szCs w:val="20"/>
        </w:rPr>
        <w:t xml:space="preserve">Oxfam Briefing Paper. https://policy-practice.oxfam.org.uk/publications/great-expectations-is-the-imf-turning-words-into-action-on-inequality-620349  </w:t>
      </w:r>
    </w:p>
  </w:endnote>
  <w:endnote w:id="40">
    <w:p w14:paraId="1D14415D" w14:textId="51B5C572" w:rsidR="00AE51A4" w:rsidRDefault="00AE51A4">
      <w:pPr>
        <w:pStyle w:val="EndnoteText"/>
      </w:pPr>
      <w:r>
        <w:rPr>
          <w:rStyle w:val="EndnoteReference"/>
        </w:rPr>
        <w:endnoteRef/>
      </w:r>
      <w:r>
        <w:t xml:space="preserve"> </w:t>
      </w:r>
      <w:hyperlink r:id="rId23" w:history="1">
        <w:r>
          <w:rPr>
            <w:rStyle w:val="Hyperlink"/>
          </w:rPr>
          <w:t>https://documents-dds-ny.un.org/doc/UNDOC/LTD/G19/070/21/PDF/G1907021.pdf?OpenElement</w:t>
        </w:r>
      </w:hyperlink>
    </w:p>
  </w:endnote>
  <w:endnote w:id="41">
    <w:p w14:paraId="3A236019" w14:textId="6447F181" w:rsidR="00AE51A4" w:rsidRDefault="00AE51A4">
      <w:pPr>
        <w:pStyle w:val="EndnoteText"/>
      </w:pPr>
      <w:r>
        <w:rPr>
          <w:rStyle w:val="EndnoteReference"/>
        </w:rPr>
        <w:endnoteRef/>
      </w:r>
      <w:r>
        <w:t xml:space="preserve"> </w:t>
      </w:r>
      <w:hyperlink r:id="rId24" w:history="1">
        <w:r>
          <w:rPr>
            <w:rStyle w:val="Hyperlink"/>
          </w:rPr>
          <w:t>https://documents-dds-ny.un.org/doc/UNDOC/GEN/G18/443/52/PDF/G1844352.pdf?OpenElement</w:t>
        </w:r>
      </w:hyperlink>
    </w:p>
  </w:endnote>
  <w:endnote w:id="42">
    <w:p w14:paraId="6EDB69FF" w14:textId="77777777" w:rsidR="00AE51A4" w:rsidRDefault="00AE51A4" w:rsidP="000D0599">
      <w:pPr>
        <w:pStyle w:val="EndnoteText"/>
      </w:pPr>
      <w:r>
        <w:rPr>
          <w:rStyle w:val="EndnoteReference"/>
        </w:rPr>
        <w:endnoteRef/>
      </w:r>
      <w:r>
        <w:t xml:space="preserve"> </w:t>
      </w:r>
      <w:hyperlink r:id="rId25" w:history="1">
        <w:r w:rsidRPr="000D0599">
          <w:rPr>
            <w:rStyle w:val="Hyperlink"/>
            <w:rFonts w:ascii="Calibri" w:hAnsi="Calibri"/>
            <w:sz w:val="20"/>
            <w:szCs w:val="20"/>
          </w:rPr>
          <w:t>https://www.publicfinanceinternational.org/opinion/2019/04/eu-leadership-needs-embed-human-rights-economic-policy-making</w:t>
        </w:r>
      </w:hyperlink>
    </w:p>
  </w:endnote>
  <w:endnote w:id="43">
    <w:p w14:paraId="6951EE8A" w14:textId="2B418AF4" w:rsidR="00AE51A4" w:rsidRDefault="00AE51A4">
      <w:pPr>
        <w:pStyle w:val="EndnoteText"/>
      </w:pPr>
      <w:r>
        <w:rPr>
          <w:rStyle w:val="EndnoteReference"/>
        </w:rPr>
        <w:endnoteRef/>
      </w:r>
      <w:r>
        <w:t xml:space="preserve"> </w:t>
      </w:r>
      <w:hyperlink r:id="rId26" w:history="1">
        <w:r>
          <w:rPr>
            <w:rStyle w:val="Hyperlink"/>
          </w:rPr>
          <w:t>https://www.imf.org/en/Publications/Policy-Papers/Issues/2018/06/13/pp060118howto-note-on-inequality</w:t>
        </w:r>
      </w:hyperlink>
    </w:p>
  </w:endnote>
  <w:endnote w:id="44">
    <w:p w14:paraId="41EFF6C4" w14:textId="06B9000B" w:rsidR="00AE51A4" w:rsidRPr="00755748" w:rsidRDefault="00AE51A4" w:rsidP="00C26A07">
      <w:pPr>
        <w:pStyle w:val="EndnoteText"/>
        <w:rPr>
          <w:rFonts w:ascii="Calibri" w:hAnsi="Calibri"/>
          <w:sz w:val="20"/>
          <w:szCs w:val="20"/>
        </w:rPr>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hAnsi="Calibri" w:cs="Tahoma"/>
          <w:sz w:val="20"/>
          <w:szCs w:val="20"/>
          <w:lang w:val="en-US"/>
        </w:rPr>
        <w:t>N., Galasso (</w:t>
      </w:r>
      <w:r w:rsidRPr="00755748">
        <w:rPr>
          <w:rFonts w:ascii="Calibri" w:hAnsi="Calibri" w:cs="Tahoma"/>
          <w:spacing w:val="-2"/>
          <w:sz w:val="20"/>
          <w:szCs w:val="20"/>
          <w:lang w:val="en-US"/>
        </w:rPr>
        <w:t xml:space="preserve">2015) “The World Bank is Getting ‘Shared Prosperity’ Wrong: The Bank Should Measure the Tails, Not the Average”. </w:t>
      </w:r>
      <w:r w:rsidRPr="00755748">
        <w:rPr>
          <w:rFonts w:ascii="Calibri" w:hAnsi="Calibri" w:cs="Tahoma"/>
          <w:i/>
          <w:spacing w:val="-2"/>
          <w:sz w:val="20"/>
          <w:szCs w:val="20"/>
          <w:lang w:val="en-US"/>
        </w:rPr>
        <w:t>Global Policy</w:t>
      </w:r>
      <w:r w:rsidRPr="00755748">
        <w:rPr>
          <w:rFonts w:ascii="Calibri" w:hAnsi="Calibri" w:cs="Tahoma"/>
          <w:spacing w:val="-2"/>
          <w:sz w:val="20"/>
          <w:szCs w:val="20"/>
          <w:lang w:val="en-US"/>
        </w:rPr>
        <w:t xml:space="preserve"> doi: 10.1111/1758-5899.12240</w:t>
      </w:r>
    </w:p>
  </w:endnote>
  <w:endnote w:id="45">
    <w:p w14:paraId="7654D125" w14:textId="77777777" w:rsidR="00AE51A4" w:rsidRPr="007D685E" w:rsidRDefault="00AE51A4" w:rsidP="007D685E">
      <w:pPr>
        <w:pStyle w:val="EndnoteText"/>
        <w:spacing w:after="0"/>
        <w:rPr>
          <w:rFonts w:ascii="Calibri" w:eastAsia="Calibri" w:hAnsi="Calibri" w:cs="Calibri"/>
          <w:sz w:val="20"/>
          <w:szCs w:val="20"/>
        </w:rPr>
      </w:pPr>
      <w:r>
        <w:rPr>
          <w:rStyle w:val="EndnoteReference"/>
        </w:rPr>
        <w:endnoteRef/>
      </w:r>
      <w:r>
        <w:t xml:space="preserve"> </w:t>
      </w:r>
      <w:r w:rsidRPr="007D685E">
        <w:rPr>
          <w:rFonts w:ascii="Calibri" w:eastAsia="Calibri" w:hAnsi="Calibri" w:cs="Calibri"/>
          <w:sz w:val="20"/>
          <w:szCs w:val="20"/>
        </w:rPr>
        <w:t>For a discussion of the advantages of using the Palma ratio to measure inequality see:</w:t>
      </w:r>
    </w:p>
    <w:p w14:paraId="2EE87772" w14:textId="77777777" w:rsidR="00AE51A4" w:rsidRPr="007D685E" w:rsidRDefault="00AE51A4" w:rsidP="007D685E">
      <w:pPr>
        <w:spacing w:afterLines="22" w:after="52" w:line="240" w:lineRule="auto"/>
        <w:rPr>
          <w:rFonts w:cs="Tahoma"/>
          <w:spacing w:val="-2"/>
          <w:sz w:val="20"/>
          <w:szCs w:val="20"/>
          <w:lang w:val="en-US"/>
        </w:rPr>
      </w:pPr>
      <w:r w:rsidRPr="007D685E">
        <w:rPr>
          <w:rFonts w:cs="Tahoma"/>
          <w:spacing w:val="-2"/>
          <w:sz w:val="20"/>
          <w:szCs w:val="20"/>
          <w:lang w:val="en-US"/>
        </w:rPr>
        <w:t xml:space="preserve">M., Doyle and Stiglitz, J. (2014) “Eliminating extreme inequality a sustainable development goal.” </w:t>
      </w:r>
      <w:r w:rsidRPr="007D685E">
        <w:rPr>
          <w:rFonts w:cs="Tahoma"/>
          <w:i/>
          <w:spacing w:val="-2"/>
          <w:sz w:val="20"/>
          <w:szCs w:val="20"/>
          <w:lang w:val="en-US"/>
        </w:rPr>
        <w:t>Ethics and International Affairs</w:t>
      </w:r>
      <w:r w:rsidRPr="007D685E">
        <w:rPr>
          <w:rFonts w:cs="Tahoma"/>
          <w:spacing w:val="-2"/>
          <w:sz w:val="20"/>
          <w:szCs w:val="20"/>
          <w:lang w:val="en-US"/>
        </w:rPr>
        <w:t xml:space="preserve">, </w:t>
      </w:r>
      <w:hyperlink r:id="rId27" w:history="1">
        <w:r w:rsidRPr="007D685E">
          <w:rPr>
            <w:rStyle w:val="Hyperlink"/>
            <w:rFonts w:cs="Tahoma"/>
            <w:spacing w:val="-2"/>
            <w:sz w:val="20"/>
            <w:szCs w:val="20"/>
            <w:lang w:val="en-US"/>
          </w:rPr>
          <w:t>http://www.ethicsandinternationalaffairs.org/2014/eliminating-extreme-inequality-a-sustainable-development-goal-2015-2030/</w:t>
        </w:r>
      </w:hyperlink>
    </w:p>
    <w:p w14:paraId="46875A2A" w14:textId="688F7A9F" w:rsidR="00AE51A4" w:rsidRPr="007D685E" w:rsidRDefault="00AE51A4" w:rsidP="007D685E">
      <w:pPr>
        <w:spacing w:afterLines="22" w:after="52" w:line="240" w:lineRule="auto"/>
        <w:rPr>
          <w:rFonts w:cs="Tahoma"/>
          <w:spacing w:val="-2"/>
          <w:sz w:val="20"/>
          <w:szCs w:val="20"/>
          <w:lang w:val="en-US"/>
        </w:rPr>
      </w:pPr>
      <w:r w:rsidRPr="007D685E">
        <w:rPr>
          <w:rFonts w:cs="Tahoma"/>
          <w:spacing w:val="-2"/>
          <w:sz w:val="20"/>
          <w:szCs w:val="20"/>
          <w:lang w:val="en-US"/>
        </w:rPr>
        <w:t xml:space="preserve">Cobham, A., Sumner, A. (2013) ”It’s all about the tails, the Plama measure of income inequality.” </w:t>
      </w:r>
      <w:hyperlink r:id="rId28" w:history="1">
        <w:r w:rsidRPr="007D685E">
          <w:rPr>
            <w:rStyle w:val="Hyperlink"/>
            <w:rFonts w:cs="Tahoma"/>
            <w:spacing w:val="-2"/>
            <w:sz w:val="20"/>
            <w:szCs w:val="20"/>
            <w:lang w:val="en-US"/>
          </w:rPr>
          <w:t>http://www.cgdev.org/sites/default/files/it-all-about-tails-palma-measure-income-inequality.pdf</w:t>
        </w:r>
      </w:hyperlink>
    </w:p>
  </w:endnote>
  <w:endnote w:id="46">
    <w:p w14:paraId="0EE8F2A9" w14:textId="73AE39B6" w:rsidR="00AE51A4" w:rsidRDefault="00AE51A4" w:rsidP="00C26A07">
      <w:pPr>
        <w:pStyle w:val="EndnoteText"/>
      </w:pPr>
      <w:r w:rsidRPr="00755748">
        <w:rPr>
          <w:rStyle w:val="EndnoteReference"/>
          <w:rFonts w:ascii="Calibri" w:hAnsi="Calibri"/>
          <w:sz w:val="20"/>
          <w:szCs w:val="20"/>
        </w:rPr>
        <w:endnoteRef/>
      </w:r>
      <w:r w:rsidRPr="00755748">
        <w:rPr>
          <w:rFonts w:ascii="Calibri" w:hAnsi="Calibri"/>
          <w:sz w:val="20"/>
          <w:szCs w:val="20"/>
        </w:rPr>
        <w:t xml:space="preserve"> </w:t>
      </w:r>
      <w:r w:rsidRPr="00755748">
        <w:rPr>
          <w:rFonts w:ascii="Calibri" w:eastAsia="Times New Roman" w:hAnsi="Calibri" w:cs="Helvetica"/>
          <w:sz w:val="20"/>
          <w:szCs w:val="20"/>
          <w:lang w:eastAsia="en-GB"/>
        </w:rPr>
        <w:t>http://commitmentoequity.org/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08E37" w14:textId="77777777" w:rsidR="00AE51A4" w:rsidRDefault="00AE51A4" w:rsidP="00D51ED6">
      <w:pPr>
        <w:spacing w:after="0" w:line="240" w:lineRule="auto"/>
      </w:pPr>
      <w:r>
        <w:separator/>
      </w:r>
    </w:p>
  </w:footnote>
  <w:footnote w:type="continuationSeparator" w:id="0">
    <w:p w14:paraId="52DD51D1" w14:textId="77777777" w:rsidR="00AE51A4" w:rsidRDefault="00AE51A4" w:rsidP="00D51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19E"/>
    <w:multiLevelType w:val="hybridMultilevel"/>
    <w:tmpl w:val="6ADE4EEA"/>
    <w:lvl w:ilvl="0" w:tplc="09D2FB7C">
      <w:start w:val="1"/>
      <w:numFmt w:val="decimal"/>
      <w:lvlText w:val="%1)"/>
      <w:lvlJc w:val="left"/>
      <w:pPr>
        <w:ind w:left="720" w:hanging="360"/>
      </w:pPr>
      <w:rPr>
        <w:rFonts w:ascii="Arial" w:hAnsi="Arial"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16BE2"/>
    <w:multiLevelType w:val="multilevel"/>
    <w:tmpl w:val="2714A1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8823B89"/>
    <w:multiLevelType w:val="hybridMultilevel"/>
    <w:tmpl w:val="FAFADC48"/>
    <w:lvl w:ilvl="0" w:tplc="6980E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8C24E6"/>
    <w:multiLevelType w:val="hybridMultilevel"/>
    <w:tmpl w:val="9D9AAB4A"/>
    <w:lvl w:ilvl="0" w:tplc="08481C9C">
      <w:start w:val="1"/>
      <w:numFmt w:val="decimal"/>
      <w:lvlText w:val="%1)"/>
      <w:lvlJc w:val="left"/>
      <w:pPr>
        <w:ind w:left="930" w:hanging="570"/>
      </w:pPr>
      <w:rPr>
        <w:rFonts w:hint="default"/>
        <w:color w:val="2F2F2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62F29"/>
    <w:multiLevelType w:val="multilevel"/>
    <w:tmpl w:val="63868CC6"/>
    <w:lvl w:ilvl="0">
      <w:start w:val="1"/>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3334047D"/>
    <w:multiLevelType w:val="hybridMultilevel"/>
    <w:tmpl w:val="5D26EF56"/>
    <w:lvl w:ilvl="0" w:tplc="08090003">
      <w:start w:val="1"/>
      <w:numFmt w:val="bullet"/>
      <w:lvlText w:val="o"/>
      <w:lvlJc w:val="left"/>
      <w:pPr>
        <w:ind w:left="720" w:hanging="360"/>
      </w:pPr>
      <w:rPr>
        <w:rFonts w:ascii="Courier New" w:hAnsi="Courier New" w:cs="Courier New" w:hint="default"/>
      </w:rPr>
    </w:lvl>
    <w:lvl w:ilvl="1" w:tplc="526A0062">
      <w:numFmt w:val="bullet"/>
      <w:lvlText w:val="•"/>
      <w:lvlJc w:val="left"/>
      <w:pPr>
        <w:ind w:left="1440" w:hanging="360"/>
      </w:pPr>
      <w:rPr>
        <w:rFonts w:ascii="Calibri Light" w:eastAsiaTheme="minorHAnsi" w:hAnsi="Calibri Ligh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E6DD4"/>
    <w:multiLevelType w:val="multilevel"/>
    <w:tmpl w:val="54DC1200"/>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FD2B12"/>
    <w:multiLevelType w:val="hybridMultilevel"/>
    <w:tmpl w:val="09F8E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3050AE"/>
    <w:multiLevelType w:val="hybridMultilevel"/>
    <w:tmpl w:val="E800EE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F92389"/>
    <w:multiLevelType w:val="multilevel"/>
    <w:tmpl w:val="C43E28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asciiTheme="minorHAnsi" w:eastAsiaTheme="minorHAnsi" w:hAnsiTheme="minorHAnsi" w:cstheme="minorBidi" w:hint="default"/>
      </w:rPr>
    </w:lvl>
    <w:lvl w:ilvl="3">
      <w:start w:val="1"/>
      <w:numFmt w:val="decimal"/>
      <w:isLgl/>
      <w:lvlText w:val="%1.%2.%3.%4."/>
      <w:lvlJc w:val="left"/>
      <w:pPr>
        <w:ind w:left="720" w:hanging="720"/>
      </w:pPr>
      <w:rPr>
        <w:rFonts w:asciiTheme="minorHAnsi" w:eastAsiaTheme="minorHAnsi" w:hAnsiTheme="minorHAnsi" w:cstheme="minorBidi" w:hint="default"/>
      </w:rPr>
    </w:lvl>
    <w:lvl w:ilvl="4">
      <w:start w:val="1"/>
      <w:numFmt w:val="decimal"/>
      <w:isLgl/>
      <w:lvlText w:val="%1.%2.%3.%4.%5."/>
      <w:lvlJc w:val="left"/>
      <w:pPr>
        <w:ind w:left="1080" w:hanging="1080"/>
      </w:pPr>
      <w:rPr>
        <w:rFonts w:asciiTheme="minorHAnsi" w:eastAsiaTheme="minorHAnsi" w:hAnsiTheme="minorHAnsi" w:cstheme="minorBidi" w:hint="default"/>
      </w:rPr>
    </w:lvl>
    <w:lvl w:ilvl="5">
      <w:start w:val="1"/>
      <w:numFmt w:val="decimal"/>
      <w:isLgl/>
      <w:lvlText w:val="%1.%2.%3.%4.%5.%6."/>
      <w:lvlJc w:val="left"/>
      <w:pPr>
        <w:ind w:left="1080" w:hanging="1080"/>
      </w:pPr>
      <w:rPr>
        <w:rFonts w:asciiTheme="minorHAnsi" w:eastAsiaTheme="minorHAnsi" w:hAnsiTheme="minorHAnsi" w:cstheme="minorBidi" w:hint="default"/>
      </w:rPr>
    </w:lvl>
    <w:lvl w:ilvl="6">
      <w:start w:val="1"/>
      <w:numFmt w:val="decimal"/>
      <w:isLgl/>
      <w:lvlText w:val="%1.%2.%3.%4.%5.%6.%7."/>
      <w:lvlJc w:val="left"/>
      <w:pPr>
        <w:ind w:left="1080" w:hanging="1080"/>
      </w:pPr>
      <w:rPr>
        <w:rFonts w:asciiTheme="minorHAnsi" w:eastAsiaTheme="minorHAnsi" w:hAnsiTheme="minorHAnsi" w:cstheme="minorBidi" w:hint="default"/>
      </w:rPr>
    </w:lvl>
    <w:lvl w:ilvl="7">
      <w:start w:val="1"/>
      <w:numFmt w:val="decimal"/>
      <w:isLgl/>
      <w:lvlText w:val="%1.%2.%3.%4.%5.%6.%7.%8."/>
      <w:lvlJc w:val="left"/>
      <w:pPr>
        <w:ind w:left="1440" w:hanging="1440"/>
      </w:pPr>
      <w:rPr>
        <w:rFonts w:asciiTheme="minorHAnsi" w:eastAsiaTheme="minorHAnsi" w:hAnsiTheme="minorHAnsi" w:cstheme="minorBidi" w:hint="default"/>
      </w:rPr>
    </w:lvl>
    <w:lvl w:ilvl="8">
      <w:start w:val="1"/>
      <w:numFmt w:val="decimal"/>
      <w:isLgl/>
      <w:lvlText w:val="%1.%2.%3.%4.%5.%6.%7.%8.%9."/>
      <w:lvlJc w:val="left"/>
      <w:pPr>
        <w:ind w:left="1440" w:hanging="1440"/>
      </w:pPr>
      <w:rPr>
        <w:rFonts w:asciiTheme="minorHAnsi" w:eastAsiaTheme="minorHAnsi" w:hAnsiTheme="minorHAnsi" w:cstheme="minorBidi" w:hint="default"/>
      </w:rPr>
    </w:lvl>
  </w:abstractNum>
  <w:num w:numId="1">
    <w:abstractNumId w:val="0"/>
  </w:num>
  <w:num w:numId="2">
    <w:abstractNumId w:val="1"/>
  </w:num>
  <w:num w:numId="3">
    <w:abstractNumId w:val="7"/>
  </w:num>
  <w:num w:numId="4">
    <w:abstractNumId w:val="5"/>
  </w:num>
  <w:num w:numId="5">
    <w:abstractNumId w:val="8"/>
  </w:num>
  <w:num w:numId="6">
    <w:abstractNumId w:val="2"/>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9A"/>
    <w:rsid w:val="00062439"/>
    <w:rsid w:val="00093C10"/>
    <w:rsid w:val="000B65C5"/>
    <w:rsid w:val="000D0599"/>
    <w:rsid w:val="001075C8"/>
    <w:rsid w:val="0011228E"/>
    <w:rsid w:val="00114525"/>
    <w:rsid w:val="00135B01"/>
    <w:rsid w:val="00165EED"/>
    <w:rsid w:val="001B535E"/>
    <w:rsid w:val="001D7FA9"/>
    <w:rsid w:val="0022592A"/>
    <w:rsid w:val="0022683C"/>
    <w:rsid w:val="00283EEC"/>
    <w:rsid w:val="0028516A"/>
    <w:rsid w:val="002967F8"/>
    <w:rsid w:val="002C4445"/>
    <w:rsid w:val="002C4ECA"/>
    <w:rsid w:val="002E0DA5"/>
    <w:rsid w:val="002F3DBF"/>
    <w:rsid w:val="002F3EBD"/>
    <w:rsid w:val="003120F5"/>
    <w:rsid w:val="00312593"/>
    <w:rsid w:val="0031451A"/>
    <w:rsid w:val="0032112F"/>
    <w:rsid w:val="003454E3"/>
    <w:rsid w:val="00360F2D"/>
    <w:rsid w:val="003776CA"/>
    <w:rsid w:val="0039002E"/>
    <w:rsid w:val="00393DAE"/>
    <w:rsid w:val="003A3230"/>
    <w:rsid w:val="003B2149"/>
    <w:rsid w:val="003C3D03"/>
    <w:rsid w:val="003F70DC"/>
    <w:rsid w:val="0040196C"/>
    <w:rsid w:val="00402752"/>
    <w:rsid w:val="00414B37"/>
    <w:rsid w:val="004358D9"/>
    <w:rsid w:val="00435C99"/>
    <w:rsid w:val="0044089F"/>
    <w:rsid w:val="004705B6"/>
    <w:rsid w:val="004730F5"/>
    <w:rsid w:val="00477EF9"/>
    <w:rsid w:val="004C1599"/>
    <w:rsid w:val="004C4E2D"/>
    <w:rsid w:val="004C584B"/>
    <w:rsid w:val="004C68CB"/>
    <w:rsid w:val="004F2194"/>
    <w:rsid w:val="005067D7"/>
    <w:rsid w:val="00513540"/>
    <w:rsid w:val="0054713B"/>
    <w:rsid w:val="00577CEB"/>
    <w:rsid w:val="005B11AC"/>
    <w:rsid w:val="005C2BEE"/>
    <w:rsid w:val="005C73A5"/>
    <w:rsid w:val="005C75B3"/>
    <w:rsid w:val="005F0FB1"/>
    <w:rsid w:val="005F31A2"/>
    <w:rsid w:val="005F383F"/>
    <w:rsid w:val="006355CE"/>
    <w:rsid w:val="00637CA3"/>
    <w:rsid w:val="0065398D"/>
    <w:rsid w:val="0068115D"/>
    <w:rsid w:val="006A49F9"/>
    <w:rsid w:val="006B4FB3"/>
    <w:rsid w:val="006C7208"/>
    <w:rsid w:val="006E0A6E"/>
    <w:rsid w:val="00714BC8"/>
    <w:rsid w:val="0073392C"/>
    <w:rsid w:val="00734FC8"/>
    <w:rsid w:val="00737C43"/>
    <w:rsid w:val="00742DF2"/>
    <w:rsid w:val="00755748"/>
    <w:rsid w:val="00775489"/>
    <w:rsid w:val="007927FE"/>
    <w:rsid w:val="007D685E"/>
    <w:rsid w:val="0082220E"/>
    <w:rsid w:val="00830091"/>
    <w:rsid w:val="00830EEB"/>
    <w:rsid w:val="008456BF"/>
    <w:rsid w:val="008577EC"/>
    <w:rsid w:val="00873A9B"/>
    <w:rsid w:val="009323E8"/>
    <w:rsid w:val="009A76C9"/>
    <w:rsid w:val="009B0A56"/>
    <w:rsid w:val="009C36E7"/>
    <w:rsid w:val="009E5880"/>
    <w:rsid w:val="00A06E16"/>
    <w:rsid w:val="00A14905"/>
    <w:rsid w:val="00AA493C"/>
    <w:rsid w:val="00AB31B7"/>
    <w:rsid w:val="00AB465E"/>
    <w:rsid w:val="00AE51A4"/>
    <w:rsid w:val="00AF095B"/>
    <w:rsid w:val="00AF528F"/>
    <w:rsid w:val="00B00AFA"/>
    <w:rsid w:val="00B157B0"/>
    <w:rsid w:val="00B267B7"/>
    <w:rsid w:val="00B61F34"/>
    <w:rsid w:val="00B75A93"/>
    <w:rsid w:val="00B82F9A"/>
    <w:rsid w:val="00BA2158"/>
    <w:rsid w:val="00BA217C"/>
    <w:rsid w:val="00BC4B11"/>
    <w:rsid w:val="00BD3F89"/>
    <w:rsid w:val="00BD46DF"/>
    <w:rsid w:val="00C02243"/>
    <w:rsid w:val="00C13270"/>
    <w:rsid w:val="00C215CF"/>
    <w:rsid w:val="00C26A07"/>
    <w:rsid w:val="00C27EFB"/>
    <w:rsid w:val="00C54D84"/>
    <w:rsid w:val="00CA6C05"/>
    <w:rsid w:val="00CE3117"/>
    <w:rsid w:val="00D178E2"/>
    <w:rsid w:val="00D17C67"/>
    <w:rsid w:val="00D32571"/>
    <w:rsid w:val="00D40B5A"/>
    <w:rsid w:val="00D51ED6"/>
    <w:rsid w:val="00DA536D"/>
    <w:rsid w:val="00DB3973"/>
    <w:rsid w:val="00DB4B00"/>
    <w:rsid w:val="00DC28A5"/>
    <w:rsid w:val="00DD3118"/>
    <w:rsid w:val="00DE65EE"/>
    <w:rsid w:val="00E453E3"/>
    <w:rsid w:val="00E5101D"/>
    <w:rsid w:val="00E5476E"/>
    <w:rsid w:val="00E64DD5"/>
    <w:rsid w:val="00E75742"/>
    <w:rsid w:val="00E83245"/>
    <w:rsid w:val="00E83354"/>
    <w:rsid w:val="00EA3989"/>
    <w:rsid w:val="00EA76E2"/>
    <w:rsid w:val="00EB285E"/>
    <w:rsid w:val="00ED6A83"/>
    <w:rsid w:val="00F512D7"/>
    <w:rsid w:val="00F6727B"/>
    <w:rsid w:val="00F7050D"/>
    <w:rsid w:val="00F77D48"/>
    <w:rsid w:val="00F81F71"/>
    <w:rsid w:val="00FB0795"/>
    <w:rsid w:val="00FC5458"/>
    <w:rsid w:val="00FD049B"/>
    <w:rsid w:val="00FD7467"/>
    <w:rsid w:val="00FE1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BACE"/>
  <w15:chartTrackingRefBased/>
  <w15:docId w15:val="{C535F598-377A-45E4-AC2D-36BD84A2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D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2112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List Paragraph,123 List Paragraph,References,Numbered Paragraph,Main numbered paragraph,List Paragraph (numbered (a)),Bullets,List_Paragraph,Multilevel para_II,List Paragraph1,Bullet,Normal 2 DC,Liste 1,ReferencesCxSpLast,Dot pt"/>
    <w:basedOn w:val="Normal"/>
    <w:link w:val="ListParagraphChar"/>
    <w:uiPriority w:val="34"/>
    <w:qFormat/>
    <w:rsid w:val="00EA76E2"/>
    <w:pPr>
      <w:ind w:left="720"/>
      <w:contextualSpacing/>
    </w:pPr>
  </w:style>
  <w:style w:type="character" w:styleId="CommentReference">
    <w:name w:val="annotation reference"/>
    <w:basedOn w:val="DefaultParagraphFont"/>
    <w:uiPriority w:val="99"/>
    <w:semiHidden/>
    <w:unhideWhenUsed/>
    <w:rsid w:val="0022683C"/>
    <w:rPr>
      <w:sz w:val="16"/>
      <w:szCs w:val="16"/>
    </w:rPr>
  </w:style>
  <w:style w:type="paragraph" w:styleId="CommentText">
    <w:name w:val="annotation text"/>
    <w:basedOn w:val="Normal"/>
    <w:link w:val="CommentTextChar"/>
    <w:uiPriority w:val="99"/>
    <w:unhideWhenUsed/>
    <w:rsid w:val="0022683C"/>
    <w:pPr>
      <w:spacing w:line="240" w:lineRule="auto"/>
    </w:pPr>
    <w:rPr>
      <w:sz w:val="20"/>
      <w:szCs w:val="20"/>
    </w:rPr>
  </w:style>
  <w:style w:type="character" w:customStyle="1" w:styleId="CommentTextChar">
    <w:name w:val="Comment Text Char"/>
    <w:basedOn w:val="DefaultParagraphFont"/>
    <w:link w:val="CommentText"/>
    <w:uiPriority w:val="99"/>
    <w:rsid w:val="0022683C"/>
    <w:rPr>
      <w:sz w:val="20"/>
      <w:szCs w:val="20"/>
    </w:rPr>
  </w:style>
  <w:style w:type="paragraph" w:styleId="CommentSubject">
    <w:name w:val="annotation subject"/>
    <w:basedOn w:val="CommentText"/>
    <w:next w:val="CommentText"/>
    <w:link w:val="CommentSubjectChar"/>
    <w:uiPriority w:val="99"/>
    <w:semiHidden/>
    <w:unhideWhenUsed/>
    <w:qFormat/>
    <w:rsid w:val="0022683C"/>
    <w:rPr>
      <w:b/>
      <w:bCs/>
    </w:rPr>
  </w:style>
  <w:style w:type="character" w:customStyle="1" w:styleId="CommentSubjectChar">
    <w:name w:val="Comment Subject Char"/>
    <w:basedOn w:val="CommentTextChar"/>
    <w:link w:val="CommentSubject"/>
    <w:uiPriority w:val="99"/>
    <w:semiHidden/>
    <w:qFormat/>
    <w:rsid w:val="0022683C"/>
    <w:rPr>
      <w:b/>
      <w:bCs/>
      <w:sz w:val="20"/>
      <w:szCs w:val="20"/>
    </w:rPr>
  </w:style>
  <w:style w:type="paragraph" w:styleId="BalloonText">
    <w:name w:val="Balloon Text"/>
    <w:basedOn w:val="Normal"/>
    <w:link w:val="BalloonTextChar"/>
    <w:uiPriority w:val="99"/>
    <w:semiHidden/>
    <w:unhideWhenUsed/>
    <w:rsid w:val="00226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83C"/>
    <w:rPr>
      <w:rFonts w:ascii="Segoe UI" w:hAnsi="Segoe UI" w:cs="Segoe UI"/>
      <w:sz w:val="18"/>
      <w:szCs w:val="18"/>
    </w:rPr>
  </w:style>
  <w:style w:type="character" w:styleId="Hyperlink">
    <w:name w:val="Hyperlink"/>
    <w:basedOn w:val="DefaultParagraphFont"/>
    <w:uiPriority w:val="99"/>
    <w:unhideWhenUsed/>
    <w:rsid w:val="0022683C"/>
    <w:rPr>
      <w:color w:val="0000FF"/>
      <w:u w:val="single"/>
    </w:rPr>
  </w:style>
  <w:style w:type="table" w:styleId="TableGrid">
    <w:name w:val="Table Grid"/>
    <w:basedOn w:val="TableNormal"/>
    <w:uiPriority w:val="39"/>
    <w:rsid w:val="00D5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qFormat/>
    <w:rsid w:val="00D51ED6"/>
    <w:rPr>
      <w:color w:val="00000A"/>
      <w:vertAlign w:val="superscript"/>
    </w:rPr>
  </w:style>
  <w:style w:type="character" w:customStyle="1" w:styleId="InternetLink">
    <w:name w:val="Internet Link"/>
    <w:basedOn w:val="DefaultParagraphFont"/>
    <w:rsid w:val="00D51ED6"/>
    <w:rPr>
      <w:color w:val="00000A"/>
      <w:u w:val="single"/>
    </w:rPr>
  </w:style>
  <w:style w:type="character" w:customStyle="1" w:styleId="EndnoteTextChar">
    <w:name w:val="Endnote Text Char"/>
    <w:link w:val="EndnoteText"/>
    <w:qFormat/>
    <w:rsid w:val="00D51ED6"/>
    <w:rPr>
      <w:rFonts w:ascii="Arial" w:hAnsi="Arial" w:cs="Arial"/>
      <w:color w:val="000000"/>
      <w:sz w:val="18"/>
      <w:szCs w:val="14"/>
      <w:lang w:bidi="en-US"/>
    </w:rPr>
  </w:style>
  <w:style w:type="character" w:customStyle="1" w:styleId="EndnoteAnchor">
    <w:name w:val="Endnote Anchor"/>
    <w:rsid w:val="00D51ED6"/>
    <w:rPr>
      <w:vertAlign w:val="superscript"/>
    </w:rPr>
  </w:style>
  <w:style w:type="paragraph" w:styleId="EndnoteText">
    <w:name w:val="endnote text"/>
    <w:basedOn w:val="Normal"/>
    <w:link w:val="EndnoteTextChar"/>
    <w:rsid w:val="00D51ED6"/>
    <w:pPr>
      <w:spacing w:after="120" w:line="240" w:lineRule="auto"/>
    </w:pPr>
    <w:rPr>
      <w:rFonts w:ascii="Arial" w:hAnsi="Arial" w:cs="Arial"/>
      <w:color w:val="000000"/>
      <w:sz w:val="18"/>
      <w:szCs w:val="14"/>
      <w:lang w:bidi="en-US"/>
    </w:rPr>
  </w:style>
  <w:style w:type="character" w:customStyle="1" w:styleId="EndnoteTextChar1">
    <w:name w:val="Endnote Text Char1"/>
    <w:basedOn w:val="DefaultParagraphFont"/>
    <w:uiPriority w:val="99"/>
    <w:semiHidden/>
    <w:rsid w:val="00D51ED6"/>
    <w:rPr>
      <w:sz w:val="20"/>
      <w:szCs w:val="20"/>
    </w:rPr>
  </w:style>
  <w:style w:type="paragraph" w:customStyle="1" w:styleId="text">
    <w:name w:val="text"/>
    <w:basedOn w:val="Normal"/>
    <w:qFormat/>
    <w:rsid w:val="00D51ED6"/>
    <w:pPr>
      <w:suppressAutoHyphens/>
      <w:spacing w:before="220" w:after="0" w:line="260" w:lineRule="atLeast"/>
    </w:pPr>
    <w:rPr>
      <w:rFonts w:ascii="Arial" w:eastAsia="Times New Roman" w:hAnsi="Arial" w:cs="Arial"/>
      <w:color w:val="000000"/>
      <w:sz w:val="20"/>
      <w:lang w:bidi="en-US"/>
    </w:rPr>
  </w:style>
  <w:style w:type="character" w:customStyle="1" w:styleId="ListParagraphChar">
    <w:name w:val="List Paragraph Char"/>
    <w:aliases w:val="Numbered List Paragraph Char,123 List Paragraph Char,References Char,Numbered Paragraph Char,Main numbered paragraph Char,List Paragraph (numbered (a)) Char,Bullets Char,List_Paragraph Char,Multilevel para_II Char,Bullet Char"/>
    <w:basedOn w:val="DefaultParagraphFont"/>
    <w:link w:val="ListParagraph"/>
    <w:uiPriority w:val="34"/>
    <w:qFormat/>
    <w:rsid w:val="003B2149"/>
  </w:style>
  <w:style w:type="character" w:customStyle="1" w:styleId="page">
    <w:name w:val="page"/>
    <w:basedOn w:val="DefaultParagraphFont"/>
    <w:rsid w:val="00C1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poverty/pages/srextremepoverty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G18/443/52/PDF/G1844352.pdf?OpenElement" TargetMode="External"/><Relationship Id="rId5" Type="http://schemas.openxmlformats.org/officeDocument/2006/relationships/webSettings" Target="webSettings.xml"/><Relationship Id="rId10" Type="http://schemas.openxmlformats.org/officeDocument/2006/relationships/hyperlink" Target="http://ap.ohchr.org/documents/dpage_e.aspx?si=A/HRC/40/L.13" TargetMode="External"/><Relationship Id="rId4" Type="http://schemas.openxmlformats.org/officeDocument/2006/relationships/settings" Target="settings.xml"/><Relationship Id="rId9" Type="http://schemas.openxmlformats.org/officeDocument/2006/relationships/hyperlink" Target="https://www.ohchr.org/EN/Issues/Development/IEDebt/Pages/CVJuanPabloBohoslavsky.aspx"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ineteconomics.org/uploads/papers/klein-seth-berlin-paper-FINAL.pdf" TargetMode="External"/><Relationship Id="rId13" Type="http://schemas.openxmlformats.org/officeDocument/2006/relationships/hyperlink" Target="https://www.openglobalrights.org/under-threat-five-countries-in-which-civic-space-is-rapi/" TargetMode="External"/><Relationship Id="rId18" Type="http://schemas.openxmlformats.org/officeDocument/2006/relationships/hyperlink" Target="https://econpapers.repec.org/article/kapjecgro/v_3a21_3ay_3a2016_3ai_3a1_3ad_3a10.1007_5fs10887-015-9122-3.htm" TargetMode="External"/><Relationship Id="rId26" Type="http://schemas.openxmlformats.org/officeDocument/2006/relationships/hyperlink" Target="https://www.imf.org/en/Publications/Policy-Papers/Issues/2018/06/13/pp060118howto-note-on-inequality" TargetMode="External"/><Relationship Id="rId3" Type="http://schemas.openxmlformats.org/officeDocument/2006/relationships/hyperlink" Target="https://wir2018.wid.world/" TargetMode="External"/><Relationship Id="rId21" Type="http://schemas.openxmlformats.org/officeDocument/2006/relationships/hyperlink" Target="https://blogs.imf.org/2019/03/25/corporate-taxation-in-the-global-economy/" TargetMode="External"/><Relationship Id="rId7" Type="http://schemas.openxmlformats.org/officeDocument/2006/relationships/hyperlink" Target="https://policy-practice.oxfam.org.uk/publications/extreme-carbon-inequality-why-the-paris-climate-deal-must-put-the-poorest-lowes-582545" TargetMode="External"/><Relationship Id="rId12" Type="http://schemas.openxmlformats.org/officeDocument/2006/relationships/hyperlink" Target="http://www.icnl.org/research/trends/trends7-4.pdf" TargetMode="External"/><Relationship Id="rId17" Type="http://schemas.openxmlformats.org/officeDocument/2006/relationships/hyperlink" Target="https://econpapers.repec.org/article/eeeecolet/v_3a149_3ay_3a2016_3ai_3ac_3ap_3a148-151.htm" TargetMode="External"/><Relationship Id="rId25" Type="http://schemas.openxmlformats.org/officeDocument/2006/relationships/hyperlink" Target="https://www.publicfinanceinternational.org/opinion/2019/04/eu-leadership-needs-embed-human-rights-economic-policy-making" TargetMode="External"/><Relationship Id="rId2" Type="http://schemas.openxmlformats.org/officeDocument/2006/relationships/hyperlink" Target="https://www.oxfam.org/en/research/public-good-or-private-wealth" TargetMode="External"/><Relationship Id="rId16" Type="http://schemas.openxmlformats.org/officeDocument/2006/relationships/hyperlink" Target="https://www.imf.org/external/pubs/ft/fandd/2016/09/berg.htm" TargetMode="External"/><Relationship Id="rId20" Type="http://schemas.openxmlformats.org/officeDocument/2006/relationships/hyperlink" Target="https://www.oxfam.org/en/research/working-few" TargetMode="External"/><Relationship Id="rId1" Type="http://schemas.openxmlformats.org/officeDocument/2006/relationships/hyperlink" Target="https://openknowledge.worldbank.org/bitstream/handle/10986/30418/9781464813306.pdf" TargetMode="External"/><Relationship Id="rId6" Type="http://schemas.openxmlformats.org/officeDocument/2006/relationships/hyperlink" Target="https://www.oxfam.org/sites/www.oxfam.org/files/file_attachments/bp-an-economy-that-works-for-women-020317-en.pdf" TargetMode="External"/><Relationship Id="rId11" Type="http://schemas.openxmlformats.org/officeDocument/2006/relationships/hyperlink" Target="https://www.sdgfund.org/sites/default/files/Intersecting%20inequalities%20post2015%20ODI%20SDGF.pdf" TargetMode="External"/><Relationship Id="rId24" Type="http://schemas.openxmlformats.org/officeDocument/2006/relationships/hyperlink" Target="https://documents-dds-ny.un.org/doc/UNDOC/GEN/G18/443/52/PDF/G1844352.pdf?OpenElement" TargetMode="External"/><Relationship Id="rId5" Type="http://schemas.openxmlformats.org/officeDocument/2006/relationships/hyperlink" Target="https://www.imf.org/external/pubs/ft/sdn/2011/sdn1108.pdf" TargetMode="External"/><Relationship Id="rId15" Type="http://schemas.openxmlformats.org/officeDocument/2006/relationships/hyperlink" Target="http://economics.mit.edu/files/10422" TargetMode="External"/><Relationship Id="rId23" Type="http://schemas.openxmlformats.org/officeDocument/2006/relationships/hyperlink" Target="https://documents-dds-ny.un.org/doc/UNDOC/LTD/G19/070/21/PDF/G1907021.pdf?OpenElement" TargetMode="External"/><Relationship Id="rId28" Type="http://schemas.openxmlformats.org/officeDocument/2006/relationships/hyperlink" Target="http://www.cgdev.org/sites/default/files/it-all-about-tails-palma-measure-income-inequality.pdf" TargetMode="External"/><Relationship Id="rId10" Type="http://schemas.openxmlformats.org/officeDocument/2006/relationships/hyperlink" Target="https://www.researchgate.net/publication/321807746_Politicising_Inequality_The_Power_of_Ideas" TargetMode="External"/><Relationship Id="rId19" Type="http://schemas.openxmlformats.org/officeDocument/2006/relationships/hyperlink" Target="http://blog.gdi.manchester.ac.uk/dsa2018/" TargetMode="External"/><Relationship Id="rId4" Type="http://schemas.openxmlformats.org/officeDocument/2006/relationships/hyperlink" Target="https://www.mitpressjournals.org/doi/abs/10.1162/REST_a_00432" TargetMode="External"/><Relationship Id="rId9" Type="http://schemas.openxmlformats.org/officeDocument/2006/relationships/hyperlink" Target="http://bruegel.org/2018/02/climate-policies-risk-increasing-social-inequality/" TargetMode="External"/><Relationship Id="rId14" Type="http://schemas.openxmlformats.org/officeDocument/2006/relationships/hyperlink" Target="https://policy-practice.oxfam.org.uk/publications/working-for-the-few-political-capture-and-economic-inequality-311312" TargetMode="External"/><Relationship Id="rId22" Type="http://schemas.openxmlformats.org/officeDocument/2006/relationships/hyperlink" Target="https://sustainabledevelopment.un.org/content/unsurvey/index.html" TargetMode="External"/><Relationship Id="rId27" Type="http://schemas.openxmlformats.org/officeDocument/2006/relationships/hyperlink" Target="http://www.ethicsandinternationalaffairs.org/2014/eliminating-extreme-inequality-a-sustainable-development-goal-2015-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2C8E-40C7-4F97-B576-E3CB1737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3809</Words>
  <Characters>21712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Mariotti</dc:creator>
  <cp:keywords/>
  <dc:description/>
  <cp:lastModifiedBy>Richard Lapper</cp:lastModifiedBy>
  <cp:revision>2</cp:revision>
  <dcterms:created xsi:type="dcterms:W3CDTF">2019-04-30T07:10:00Z</dcterms:created>
  <dcterms:modified xsi:type="dcterms:W3CDTF">2019-04-30T07:10:00Z</dcterms:modified>
</cp:coreProperties>
</file>