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3C05E" w14:textId="1088F628" w:rsidR="009F5071" w:rsidRPr="008150A3" w:rsidRDefault="00C038B1" w:rsidP="008150A3">
      <w:pPr>
        <w:jc w:val="center"/>
        <w:rPr>
          <w:lang w:val="es-DO"/>
        </w:rPr>
      </w:pPr>
      <w:r>
        <w:rPr>
          <w:noProof/>
          <w:lang w:eastAsia="es-ES"/>
        </w:rPr>
        <w:drawing>
          <wp:anchor distT="0" distB="0" distL="114300" distR="114300" simplePos="0" relativeHeight="251659264" behindDoc="1" locked="0" layoutInCell="1" allowOverlap="1" wp14:anchorId="7158170C" wp14:editId="5ADC1290">
            <wp:simplePos x="0" y="0"/>
            <wp:positionH relativeFrom="page">
              <wp:align>left</wp:align>
            </wp:positionH>
            <wp:positionV relativeFrom="paragraph">
              <wp:posOffset>-914400</wp:posOffset>
            </wp:positionV>
            <wp:extent cx="8312150" cy="1955800"/>
            <wp:effectExtent l="0" t="0" r="0" b="6350"/>
            <wp:wrapNone/>
            <wp:docPr id="1672516534" name="Imagen 1672516534"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16534" name="Imagen 1672516534" descr="Diagrama&#10;&#10;Descripción generada automáticamente con confianza media"/>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8312150" cy="1955800"/>
                    </a:xfrm>
                    <a:prstGeom prst="rect">
                      <a:avLst/>
                    </a:prstGeom>
                    <a:noFill/>
                    <a:ln>
                      <a:noFill/>
                    </a:ln>
                  </pic:spPr>
                </pic:pic>
              </a:graphicData>
            </a:graphic>
            <wp14:sizeRelH relativeFrom="margin">
              <wp14:pctWidth>0</wp14:pctWidth>
            </wp14:sizeRelH>
          </wp:anchor>
        </w:drawing>
      </w:r>
    </w:p>
    <w:p w14:paraId="62AF712F" w14:textId="77777777" w:rsidR="00C33B33" w:rsidRDefault="00C33B33" w:rsidP="7355E439">
      <w:pPr>
        <w:jc w:val="center"/>
        <w:rPr>
          <w:color w:val="1F3864" w:themeColor="accent1" w:themeShade="80"/>
          <w:sz w:val="28"/>
          <w:szCs w:val="28"/>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ACC9D5F" w14:textId="77777777" w:rsidR="00C33B33" w:rsidRDefault="00C33B33" w:rsidP="7355E439">
      <w:pPr>
        <w:jc w:val="center"/>
        <w:rPr>
          <w:color w:val="1F3864" w:themeColor="accent1" w:themeShade="80"/>
          <w:sz w:val="28"/>
          <w:szCs w:val="28"/>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2C8AD26" w14:textId="77777777" w:rsidR="00C038B1" w:rsidRDefault="00C038B1" w:rsidP="7355E439">
      <w:pPr>
        <w:jc w:val="center"/>
        <w:rPr>
          <w:color w:val="1F3864" w:themeColor="accent1" w:themeShade="80"/>
          <w:sz w:val="28"/>
          <w:szCs w:val="28"/>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AA7ACCD" w14:textId="77777777" w:rsidR="00C038B1" w:rsidRDefault="00C038B1" w:rsidP="7355E439">
      <w:pPr>
        <w:jc w:val="center"/>
        <w:rPr>
          <w:color w:val="1F3864" w:themeColor="accent1" w:themeShade="80"/>
          <w:sz w:val="28"/>
          <w:szCs w:val="28"/>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A29F62D" w14:textId="56DE0EBB" w:rsidR="0030205A" w:rsidRPr="00104B50" w:rsidRDefault="0030205A" w:rsidP="0030205A">
      <w:pPr>
        <w:jc w:val="both"/>
        <w:rPr>
          <w:rFonts w:ascii="Artifex CF" w:hAnsi="Artifex CF"/>
          <w:color w:val="FF0000"/>
          <w:sz w:val="24"/>
          <w:szCs w:val="24"/>
          <w:lang w:val="es-DO"/>
        </w:rPr>
      </w:pPr>
      <w:bookmarkStart w:id="0" w:name="_Hlk133590953"/>
      <w:r w:rsidRPr="00104B50">
        <w:rPr>
          <w:rFonts w:ascii="Artifex CF" w:hAnsi="Artifex CF"/>
          <w:sz w:val="24"/>
          <w:szCs w:val="24"/>
          <w:lang w:val="es-DO"/>
        </w:rPr>
        <w:t xml:space="preserve">El Estado dominicano comprometido con la promoción y protección de los derechos humanos, presenta las siguientes informaciones en calidad de contribución para el informe temático </w:t>
      </w:r>
      <w:r w:rsidR="00D3391C" w:rsidRPr="00104B50">
        <w:rPr>
          <w:rFonts w:ascii="Artifex CF" w:hAnsi="Artifex CF"/>
          <w:sz w:val="24"/>
          <w:szCs w:val="24"/>
          <w:lang w:val="es-DO"/>
        </w:rPr>
        <w:t>de</w:t>
      </w:r>
      <w:r w:rsidR="00D3391C">
        <w:rPr>
          <w:rFonts w:ascii="Artifex CF" w:hAnsi="Artifex CF"/>
          <w:sz w:val="24"/>
          <w:szCs w:val="24"/>
          <w:lang w:val="es-DO"/>
        </w:rPr>
        <w:t xml:space="preserve">l </w:t>
      </w:r>
      <w:r w:rsidR="00D3391C" w:rsidRPr="00104B50">
        <w:rPr>
          <w:rFonts w:ascii="Artifex CF" w:hAnsi="Artifex CF"/>
          <w:sz w:val="24"/>
          <w:szCs w:val="24"/>
          <w:lang w:val="es-DO"/>
        </w:rPr>
        <w:t>Relator</w:t>
      </w:r>
      <w:r w:rsidRPr="00104B50">
        <w:rPr>
          <w:rFonts w:ascii="Artifex CF" w:hAnsi="Artifex CF"/>
          <w:sz w:val="24"/>
          <w:szCs w:val="24"/>
          <w:lang w:val="es-DO"/>
        </w:rPr>
        <w:t xml:space="preserve"> Especial </w:t>
      </w:r>
      <w:r w:rsidR="00A045E6" w:rsidRPr="00104B50">
        <w:rPr>
          <w:rFonts w:ascii="Artifex CF" w:hAnsi="Artifex CF"/>
          <w:sz w:val="24"/>
          <w:szCs w:val="24"/>
          <w:lang w:val="es-DO"/>
        </w:rPr>
        <w:t>sobre el derecho al desarrollo.</w:t>
      </w:r>
    </w:p>
    <w:bookmarkEnd w:id="0"/>
    <w:p w14:paraId="4DD5ED32" w14:textId="77777777" w:rsidR="0030205A" w:rsidRPr="00104B50" w:rsidRDefault="0030205A" w:rsidP="0030205A">
      <w:pPr>
        <w:jc w:val="both"/>
        <w:rPr>
          <w:rFonts w:ascii="Artifex CF" w:hAnsi="Artifex CF"/>
          <w:sz w:val="24"/>
          <w:szCs w:val="24"/>
          <w:lang w:val="es-ES"/>
        </w:rPr>
      </w:pPr>
    </w:p>
    <w:p w14:paraId="52AA2624" w14:textId="5F48FC14" w:rsidR="00C038B1" w:rsidRPr="00104B50" w:rsidRDefault="00C038B1" w:rsidP="7355E439">
      <w:pPr>
        <w:jc w:val="center"/>
        <w:rPr>
          <w:rFonts w:ascii="Artifex CF" w:hAnsi="Artifex CF"/>
          <w:color w:val="1F3864" w:themeColor="accent1" w:themeShade="80"/>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A4A54E" w14:textId="77777777" w:rsidR="00C038B1" w:rsidRDefault="00C038B1" w:rsidP="7355E439">
      <w:pPr>
        <w:jc w:val="center"/>
        <w:rPr>
          <w:rFonts w:ascii="Artifex CF" w:hAnsi="Artifex CF"/>
          <w:color w:val="1F3864" w:themeColor="accent1" w:themeShade="80"/>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CB02CEA" w14:textId="77777777" w:rsidR="00104B50" w:rsidRDefault="00104B50" w:rsidP="7355E439">
      <w:pPr>
        <w:jc w:val="center"/>
        <w:rPr>
          <w:rFonts w:ascii="Artifex CF" w:hAnsi="Artifex CF"/>
          <w:color w:val="1F3864" w:themeColor="accent1" w:themeShade="80"/>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223843B" w14:textId="77777777" w:rsidR="00104B50" w:rsidRDefault="00104B50" w:rsidP="7355E439">
      <w:pPr>
        <w:jc w:val="center"/>
        <w:rPr>
          <w:rFonts w:ascii="Artifex CF" w:hAnsi="Artifex CF"/>
          <w:color w:val="1F3864" w:themeColor="accent1" w:themeShade="80"/>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3017635" w14:textId="77777777" w:rsidR="00104B50" w:rsidRDefault="00104B50" w:rsidP="7355E439">
      <w:pPr>
        <w:jc w:val="center"/>
        <w:rPr>
          <w:rFonts w:ascii="Artifex CF" w:hAnsi="Artifex CF"/>
          <w:color w:val="1F3864" w:themeColor="accent1" w:themeShade="80"/>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AAEC3D7" w14:textId="77777777" w:rsidR="00104B50" w:rsidRDefault="00104B50" w:rsidP="7355E439">
      <w:pPr>
        <w:jc w:val="center"/>
        <w:rPr>
          <w:rFonts w:ascii="Artifex CF" w:hAnsi="Artifex CF"/>
          <w:color w:val="1F3864" w:themeColor="accent1" w:themeShade="80"/>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7D2D0A" w14:textId="77777777" w:rsidR="00104B50" w:rsidRDefault="00104B50" w:rsidP="7355E439">
      <w:pPr>
        <w:jc w:val="center"/>
        <w:rPr>
          <w:rFonts w:ascii="Artifex CF" w:hAnsi="Artifex CF"/>
          <w:color w:val="1F3864" w:themeColor="accent1" w:themeShade="80"/>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6080E75" w14:textId="77777777" w:rsidR="00104B50" w:rsidRDefault="00104B50" w:rsidP="7355E439">
      <w:pPr>
        <w:jc w:val="center"/>
        <w:rPr>
          <w:rFonts w:ascii="Artifex CF" w:hAnsi="Artifex CF"/>
          <w:color w:val="1F3864" w:themeColor="accent1" w:themeShade="80"/>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913713B" w14:textId="77777777" w:rsidR="00104B50" w:rsidRDefault="00104B50" w:rsidP="7355E439">
      <w:pPr>
        <w:jc w:val="center"/>
        <w:rPr>
          <w:rFonts w:ascii="Artifex CF" w:hAnsi="Artifex CF"/>
          <w:color w:val="1F3864" w:themeColor="accent1" w:themeShade="80"/>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9B7B27F" w14:textId="77777777" w:rsidR="00104B50" w:rsidRDefault="00104B50" w:rsidP="7355E439">
      <w:pPr>
        <w:jc w:val="center"/>
        <w:rPr>
          <w:rFonts w:ascii="Artifex CF" w:hAnsi="Artifex CF"/>
          <w:color w:val="1F3864" w:themeColor="accent1" w:themeShade="80"/>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2A5FB65" w14:textId="77777777" w:rsidR="00104B50" w:rsidRDefault="00104B50" w:rsidP="7355E439">
      <w:pPr>
        <w:jc w:val="center"/>
        <w:rPr>
          <w:rFonts w:ascii="Artifex CF" w:hAnsi="Artifex CF"/>
          <w:color w:val="1F3864" w:themeColor="accent1" w:themeShade="80"/>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BA5FC80" w14:textId="77777777" w:rsidR="00104B50" w:rsidRDefault="00104B50" w:rsidP="7355E439">
      <w:pPr>
        <w:jc w:val="center"/>
        <w:rPr>
          <w:rFonts w:ascii="Artifex CF" w:hAnsi="Artifex CF"/>
          <w:color w:val="1F3864" w:themeColor="accent1" w:themeShade="80"/>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5B08CB0" w14:textId="77777777" w:rsidR="00104B50" w:rsidRPr="00104B50" w:rsidRDefault="00104B50" w:rsidP="7355E439">
      <w:pPr>
        <w:jc w:val="center"/>
        <w:rPr>
          <w:rFonts w:ascii="Artifex CF" w:hAnsi="Artifex CF"/>
          <w:color w:val="1F3864" w:themeColor="accent1" w:themeShade="80"/>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9FB73C9" w14:textId="77777777" w:rsidR="00C038B1" w:rsidRPr="00104B50" w:rsidRDefault="00C038B1" w:rsidP="7355E439">
      <w:pPr>
        <w:jc w:val="center"/>
        <w:rPr>
          <w:rFonts w:ascii="Artifex CF" w:hAnsi="Artifex CF"/>
          <w:color w:val="1F3864" w:themeColor="accent1" w:themeShade="80"/>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0DFF8C0" w14:textId="77777777" w:rsidR="00C038B1" w:rsidRPr="00104B50" w:rsidRDefault="00C038B1" w:rsidP="7355E439">
      <w:pPr>
        <w:jc w:val="center"/>
        <w:rPr>
          <w:rFonts w:ascii="Artifex CF" w:hAnsi="Artifex CF"/>
          <w:color w:val="1F3864" w:themeColor="accent1" w:themeShade="80"/>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7310EC1" w14:textId="5EE2B911" w:rsidR="009D5C10" w:rsidRPr="00104B50" w:rsidRDefault="009D5C10" w:rsidP="00104B50">
      <w:pPr>
        <w:pStyle w:val="Sinespaciado"/>
        <w:jc w:val="both"/>
        <w:rPr>
          <w:rFonts w:ascii="Artifex CF" w:hAnsi="Artifex CF"/>
          <w:sz w:val="24"/>
          <w:szCs w:val="24"/>
          <w:lang w:val="es-DO"/>
        </w:rPr>
      </w:pPr>
    </w:p>
    <w:p w14:paraId="2148B9AC" w14:textId="3C84D54E" w:rsidR="7355E439" w:rsidRPr="00104B50" w:rsidRDefault="7355E439" w:rsidP="7355E439">
      <w:pPr>
        <w:pStyle w:val="Sinespaciado"/>
        <w:jc w:val="both"/>
        <w:rPr>
          <w:rFonts w:ascii="Artifex CF" w:hAnsi="Artifex CF"/>
          <w:color w:val="2E74B5" w:themeColor="accent5" w:themeShade="BF"/>
          <w:sz w:val="24"/>
          <w:szCs w:val="24"/>
          <w:lang w:val="es-DO"/>
        </w:rPr>
      </w:pPr>
    </w:p>
    <w:p w14:paraId="7E6972CA" w14:textId="77777777" w:rsidR="009D5C10" w:rsidRPr="00104B50" w:rsidRDefault="009D5C10" w:rsidP="009D5C10">
      <w:pPr>
        <w:pStyle w:val="Prrafodelista"/>
        <w:jc w:val="both"/>
        <w:rPr>
          <w:rFonts w:ascii="Artifex CF" w:hAnsi="Artifex CF"/>
          <w:color w:val="1F3864" w:themeColor="accent1" w:themeShade="80"/>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CA552A0" w14:textId="1DA80AFC" w:rsidR="7355E439" w:rsidRPr="00D3391C" w:rsidRDefault="009D5C10" w:rsidP="00FF5D13">
      <w:pPr>
        <w:jc w:val="both"/>
        <w:rPr>
          <w:rFonts w:ascii="Artifex CF" w:hAnsi="Artifex CF"/>
          <w:b/>
          <w:bCs/>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391C">
        <w:rPr>
          <w:rFonts w:ascii="Artifex CF" w:hAnsi="Artifex CF"/>
          <w:b/>
          <w:bCs/>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¿Cuáles han sido los l</w:t>
      </w:r>
      <w:r w:rsidR="00B247A3" w:rsidRPr="00D3391C">
        <w:rPr>
          <w:rFonts w:ascii="Artifex CF" w:hAnsi="Artifex CF"/>
          <w:b/>
          <w:bCs/>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ogros </w:t>
      </w:r>
      <w:r w:rsidR="008150A3" w:rsidRPr="00D3391C">
        <w:rPr>
          <w:rFonts w:ascii="Artifex CF" w:hAnsi="Artifex CF"/>
          <w:b/>
          <w:bCs/>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más</w:t>
      </w:r>
      <w:r w:rsidR="00B247A3" w:rsidRPr="00D3391C">
        <w:rPr>
          <w:rFonts w:ascii="Artifex CF" w:hAnsi="Artifex CF"/>
          <w:b/>
          <w:bCs/>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importantes para la aplicación del derecho al desarrollo a nivel nacional</w:t>
      </w:r>
      <w:r w:rsidRPr="00D3391C">
        <w:rPr>
          <w:rFonts w:ascii="Artifex CF" w:hAnsi="Artifex CF"/>
          <w:b/>
          <w:bCs/>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regional e internacional en la última década?</w:t>
      </w:r>
    </w:p>
    <w:p w14:paraId="70D7A8E2" w14:textId="54C025B8" w:rsidR="00B247A3" w:rsidRPr="00104B50" w:rsidRDefault="00B247A3" w:rsidP="008150A3">
      <w:pPr>
        <w:jc w:val="both"/>
        <w:rPr>
          <w:rFonts w:ascii="Artifex CF" w:hAnsi="Artifex CF"/>
          <w:color w:val="1F3864" w:themeColor="accent1" w:themeShade="80"/>
          <w:sz w:val="24"/>
          <w:szCs w:val="24"/>
          <w:lang w:val="es-DO"/>
        </w:rPr>
      </w:pPr>
      <w:r w:rsidRPr="00104B50">
        <w:rPr>
          <w:rFonts w:ascii="Artifex CF" w:hAnsi="Artifex CF"/>
          <w:sz w:val="24"/>
          <w:szCs w:val="24"/>
          <w:lang w:val="es-DO"/>
        </w:rPr>
        <w:t>Rep</w:t>
      </w:r>
      <w:r w:rsidR="00E753B8" w:rsidRPr="00104B50">
        <w:rPr>
          <w:rFonts w:ascii="Artifex CF" w:hAnsi="Artifex CF"/>
          <w:sz w:val="24"/>
          <w:szCs w:val="24"/>
          <w:lang w:val="es-DO"/>
        </w:rPr>
        <w:t>ú</w:t>
      </w:r>
      <w:r w:rsidRPr="00104B50">
        <w:rPr>
          <w:rFonts w:ascii="Artifex CF" w:hAnsi="Artifex CF"/>
          <w:sz w:val="24"/>
          <w:szCs w:val="24"/>
          <w:lang w:val="es-DO"/>
        </w:rPr>
        <w:t xml:space="preserve">blica Dominicana en la constitución del 2010 en su </w:t>
      </w:r>
      <w:r w:rsidR="00D8436A" w:rsidRPr="00104B50">
        <w:rPr>
          <w:rFonts w:ascii="Artifex CF" w:eastAsia="Times New Roman" w:hAnsi="Artifex CF"/>
          <w:color w:val="231F20"/>
          <w:sz w:val="24"/>
          <w:szCs w:val="24"/>
          <w:lang w:val="es-DO"/>
        </w:rPr>
        <w:t>a</w:t>
      </w:r>
      <w:r w:rsidRPr="00104B50">
        <w:rPr>
          <w:rFonts w:ascii="Artifex CF" w:eastAsia="Times New Roman" w:hAnsi="Artifex CF"/>
          <w:color w:val="231F20"/>
          <w:sz w:val="24"/>
          <w:szCs w:val="24"/>
          <w:lang w:val="es-DO"/>
        </w:rPr>
        <w:t>rtículo 241</w:t>
      </w:r>
      <w:r w:rsidR="00D8436A" w:rsidRPr="00104B50">
        <w:rPr>
          <w:rFonts w:ascii="Artifex CF" w:eastAsia="Times New Roman" w:hAnsi="Artifex CF"/>
          <w:color w:val="231F20"/>
          <w:sz w:val="24"/>
          <w:szCs w:val="24"/>
          <w:lang w:val="es-DO"/>
        </w:rPr>
        <w:t xml:space="preserve"> ordena a</w:t>
      </w:r>
      <w:r w:rsidRPr="00104B50">
        <w:rPr>
          <w:rFonts w:ascii="Artifex CF" w:eastAsia="Times New Roman" w:hAnsi="Artifex CF"/>
          <w:color w:val="231F20"/>
          <w:sz w:val="24"/>
          <w:szCs w:val="24"/>
          <w:lang w:val="es-DO"/>
        </w:rPr>
        <w:t xml:space="preserve">l Poder </w:t>
      </w:r>
      <w:r w:rsidR="00104B50" w:rsidRPr="00104B50">
        <w:rPr>
          <w:rFonts w:ascii="Artifex CF" w:eastAsia="Times New Roman" w:hAnsi="Artifex CF"/>
          <w:color w:val="231F20"/>
          <w:sz w:val="24"/>
          <w:szCs w:val="24"/>
          <w:lang w:val="es-DO"/>
        </w:rPr>
        <w:t>Ejecutiv</w:t>
      </w:r>
      <w:r w:rsidR="00104B50">
        <w:rPr>
          <w:rFonts w:ascii="Artifex CF" w:eastAsia="Times New Roman" w:hAnsi="Artifex CF"/>
          <w:color w:val="231F20"/>
          <w:sz w:val="24"/>
          <w:szCs w:val="24"/>
          <w:lang w:val="es-DO"/>
        </w:rPr>
        <w:t>o</w:t>
      </w:r>
      <w:r w:rsidR="00104B50" w:rsidRPr="00104B50">
        <w:rPr>
          <w:rFonts w:ascii="Artifex CF" w:eastAsia="Times New Roman" w:hAnsi="Artifex CF"/>
          <w:color w:val="231F20"/>
          <w:sz w:val="24"/>
          <w:szCs w:val="24"/>
          <w:lang w:val="es-DO"/>
        </w:rPr>
        <w:t xml:space="preserve"> elaborar</w:t>
      </w:r>
      <w:r w:rsidRPr="00104B50">
        <w:rPr>
          <w:rFonts w:ascii="Artifex CF" w:eastAsia="Times New Roman" w:hAnsi="Artifex CF"/>
          <w:color w:val="231F20"/>
          <w:sz w:val="24"/>
          <w:szCs w:val="24"/>
          <w:lang w:val="es-DO"/>
        </w:rPr>
        <w:t xml:space="preserve"> y someter al Congreso Nacional una estrategia de desarrollo, que definirá la visión de la Nación para el largo plazo</w:t>
      </w:r>
      <w:r w:rsidR="00104B50">
        <w:rPr>
          <w:rFonts w:ascii="Artifex CF" w:eastAsia="Times New Roman" w:hAnsi="Artifex CF"/>
          <w:color w:val="231F20"/>
          <w:sz w:val="24"/>
          <w:szCs w:val="24"/>
          <w:lang w:val="es-DO"/>
        </w:rPr>
        <w:t>.</w:t>
      </w:r>
      <w:r w:rsidR="00104B50" w:rsidRPr="00104B50">
        <w:rPr>
          <w:rFonts w:ascii="Artifex CF" w:eastAsia="Times New Roman" w:hAnsi="Artifex CF"/>
          <w:color w:val="231F20"/>
          <w:sz w:val="24"/>
          <w:szCs w:val="24"/>
          <w:lang w:val="es-DO"/>
        </w:rPr>
        <w:t xml:space="preserve"> La visión para el futuro de la Republica Dominicana está contenida en la E</w:t>
      </w:r>
      <w:r w:rsidR="00104B50">
        <w:rPr>
          <w:rFonts w:ascii="Artifex CF" w:eastAsia="Times New Roman" w:hAnsi="Artifex CF"/>
          <w:color w:val="231F20"/>
          <w:sz w:val="24"/>
          <w:szCs w:val="24"/>
          <w:lang w:val="es-DO"/>
        </w:rPr>
        <w:t>strategia Nacional de Desarrollo</w:t>
      </w:r>
      <w:r w:rsidR="00104B50">
        <w:rPr>
          <w:rFonts w:ascii="Artifex CF" w:hAnsi="Artifex CF"/>
          <w:sz w:val="24"/>
          <w:szCs w:val="24"/>
          <w:lang w:val="es-DO"/>
        </w:rPr>
        <w:t xml:space="preserve"> </w:t>
      </w:r>
      <w:r w:rsidR="00104B50" w:rsidRPr="00104B50">
        <w:rPr>
          <w:rFonts w:ascii="Artifex CF" w:eastAsia="Times New Roman" w:hAnsi="Artifex CF"/>
          <w:color w:val="231F20"/>
          <w:sz w:val="24"/>
          <w:szCs w:val="24"/>
          <w:lang w:val="es-DO"/>
        </w:rPr>
        <w:t>2030</w:t>
      </w:r>
      <w:r w:rsidR="00104B50">
        <w:rPr>
          <w:rFonts w:ascii="Artifex CF" w:hAnsi="Artifex CF"/>
          <w:color w:val="1F3864" w:themeColor="accent1" w:themeShade="80"/>
          <w:sz w:val="24"/>
          <w:szCs w:val="24"/>
          <w:lang w:val="es-DO"/>
        </w:rPr>
        <w:t xml:space="preserve">. </w:t>
      </w:r>
      <w:r w:rsidR="00104B50">
        <w:rPr>
          <w:rFonts w:ascii="Artifex CF" w:eastAsia="Times New Roman" w:hAnsi="Artifex CF"/>
          <w:color w:val="231F20"/>
          <w:sz w:val="24"/>
          <w:szCs w:val="24"/>
          <w:lang w:val="es-DO"/>
        </w:rPr>
        <w:t xml:space="preserve"> E</w:t>
      </w:r>
      <w:r w:rsidR="008033B6" w:rsidRPr="00104B50">
        <w:rPr>
          <w:rFonts w:ascii="Artifex CF" w:hAnsi="Artifex CF"/>
          <w:sz w:val="24"/>
          <w:szCs w:val="24"/>
          <w:lang w:val="es-DO"/>
        </w:rPr>
        <w:t>l artículo 242 establece el Plan Nacional Plurianual del Sector Público y sus correspondientes actualizaciones</w:t>
      </w:r>
      <w:r w:rsidR="00F53287" w:rsidRPr="00104B50">
        <w:rPr>
          <w:rFonts w:ascii="Artifex CF" w:hAnsi="Artifex CF"/>
          <w:sz w:val="24"/>
          <w:szCs w:val="24"/>
          <w:lang w:val="es-DO"/>
        </w:rPr>
        <w:t>.</w:t>
      </w:r>
    </w:p>
    <w:p w14:paraId="1C76E81B" w14:textId="45FD0ECF" w:rsidR="001327E8" w:rsidRPr="00104B50" w:rsidRDefault="00C84AAB" w:rsidP="008150A3">
      <w:pPr>
        <w:pStyle w:val="Sinespaciado"/>
        <w:jc w:val="both"/>
        <w:rPr>
          <w:rFonts w:ascii="Artifex CF" w:hAnsi="Artifex CF"/>
          <w:sz w:val="24"/>
          <w:szCs w:val="24"/>
          <w:lang w:val="es-DO"/>
        </w:rPr>
      </w:pPr>
      <w:r w:rsidRPr="00104B50">
        <w:rPr>
          <w:rFonts w:ascii="Artifex CF" w:hAnsi="Artifex CF"/>
          <w:sz w:val="24"/>
          <w:szCs w:val="24"/>
          <w:lang w:val="es-DO"/>
        </w:rPr>
        <w:t xml:space="preserve">La </w:t>
      </w:r>
      <w:r w:rsidR="00104B50" w:rsidRPr="00104B50">
        <w:rPr>
          <w:rFonts w:ascii="Artifex CF" w:hAnsi="Artifex CF"/>
          <w:sz w:val="24"/>
          <w:szCs w:val="24"/>
          <w:lang w:val="es-DO"/>
        </w:rPr>
        <w:t>E</w:t>
      </w:r>
      <w:r w:rsidR="00104B50">
        <w:rPr>
          <w:rFonts w:ascii="Artifex CF" w:hAnsi="Artifex CF"/>
          <w:sz w:val="24"/>
          <w:szCs w:val="24"/>
          <w:lang w:val="es-DO"/>
        </w:rPr>
        <w:t>strategia nacional de Desarrollo (E</w:t>
      </w:r>
      <w:r w:rsidR="00104B50" w:rsidRPr="00104B50">
        <w:rPr>
          <w:rFonts w:ascii="Artifex CF" w:hAnsi="Artifex CF"/>
          <w:sz w:val="24"/>
          <w:szCs w:val="24"/>
          <w:lang w:val="es-DO"/>
        </w:rPr>
        <w:t>ND</w:t>
      </w:r>
      <w:r w:rsidR="00104B50">
        <w:rPr>
          <w:rFonts w:ascii="Artifex CF" w:hAnsi="Artifex CF"/>
          <w:sz w:val="24"/>
          <w:szCs w:val="24"/>
          <w:lang w:val="es-DO"/>
        </w:rPr>
        <w:t xml:space="preserve"> 2030) </w:t>
      </w:r>
      <w:r w:rsidR="00104B50" w:rsidRPr="00104B50">
        <w:rPr>
          <w:rFonts w:ascii="Artifex CF" w:hAnsi="Artifex CF"/>
          <w:sz w:val="24"/>
          <w:szCs w:val="24"/>
          <w:lang w:val="es-DO"/>
        </w:rPr>
        <w:t>presenta</w:t>
      </w:r>
      <w:r w:rsidRPr="00104B50">
        <w:rPr>
          <w:rFonts w:ascii="Artifex CF" w:hAnsi="Artifex CF"/>
          <w:sz w:val="24"/>
          <w:szCs w:val="24"/>
          <w:lang w:val="es-DO"/>
        </w:rPr>
        <w:t xml:space="preserve"> la imagen objetivo-país a largo plazo, con un horizonte temporal hasta el año 2030, mientras que al Plan Plurianual concreta las metas para un período de cuatro años, en el cual se reflejan las políticas públicas, planes, programas y proyectos específicos que se desarrollarán durante los cuatrienios correspondientes a las diferentes administraciones de gobierno.</w:t>
      </w:r>
    </w:p>
    <w:p w14:paraId="0267C200" w14:textId="77777777" w:rsidR="008150A3" w:rsidRPr="00104B50" w:rsidRDefault="008150A3" w:rsidP="008150A3">
      <w:pPr>
        <w:pStyle w:val="Sinespaciado"/>
        <w:jc w:val="both"/>
        <w:rPr>
          <w:rFonts w:ascii="Artifex CF" w:hAnsi="Artifex CF"/>
          <w:sz w:val="24"/>
          <w:szCs w:val="24"/>
          <w:lang w:val="es-DO"/>
        </w:rPr>
      </w:pPr>
    </w:p>
    <w:p w14:paraId="18B30CFB" w14:textId="77777777" w:rsidR="00D33C03" w:rsidRPr="00104B50" w:rsidRDefault="00D33C03" w:rsidP="008150A3">
      <w:pPr>
        <w:pStyle w:val="Sinespaciado"/>
        <w:jc w:val="both"/>
        <w:rPr>
          <w:rFonts w:ascii="Artifex CF" w:hAnsi="Artifex CF"/>
          <w:sz w:val="24"/>
          <w:szCs w:val="24"/>
          <w:lang w:val="es-DO"/>
        </w:rPr>
      </w:pPr>
      <w:r w:rsidRPr="00104B50">
        <w:rPr>
          <w:rFonts w:ascii="Artifex CF" w:hAnsi="Artifex CF"/>
          <w:sz w:val="24"/>
          <w:szCs w:val="24"/>
          <w:lang w:val="es-DO"/>
        </w:rPr>
        <w:t xml:space="preserve">La Visión de la Nación que aspiramos lograr los dominicanos y dominicanas para el año 2030 expresa que:  “República Dominicana es un país próspero, donde las personas viven dignamente, apegadas a valores éticos y en el marco de una democracia participativa que garantiza el Estado social y democrático de derecho y promueve la equidad, la igualdad de oportunidades, la justicia social,  que gestiona y aprovecha sus recursos para desarrollarse de forma innovadora, sostenible y territorialmente equilibrada e integrada y se inserta competitivamente en la economía global”  </w:t>
      </w:r>
    </w:p>
    <w:p w14:paraId="20B78405" w14:textId="77777777" w:rsidR="008150A3" w:rsidRPr="00104B50" w:rsidRDefault="008150A3" w:rsidP="008150A3">
      <w:pPr>
        <w:pStyle w:val="Sinespaciado"/>
        <w:jc w:val="both"/>
        <w:rPr>
          <w:rFonts w:ascii="Artifex CF" w:hAnsi="Artifex CF"/>
          <w:sz w:val="24"/>
          <w:szCs w:val="24"/>
          <w:lang w:val="es-DO"/>
        </w:rPr>
      </w:pPr>
    </w:p>
    <w:p w14:paraId="1A04327A" w14:textId="15A904E4" w:rsidR="008150A3" w:rsidRDefault="00D33C03" w:rsidP="008150A3">
      <w:pPr>
        <w:pStyle w:val="Sinespaciado"/>
        <w:jc w:val="both"/>
        <w:rPr>
          <w:rFonts w:ascii="Artifex CF" w:hAnsi="Artifex CF"/>
          <w:sz w:val="24"/>
          <w:szCs w:val="24"/>
          <w:lang w:val="es-DO"/>
        </w:rPr>
      </w:pPr>
      <w:r w:rsidRPr="00104B50">
        <w:rPr>
          <w:rFonts w:ascii="Artifex CF" w:hAnsi="Artifex CF"/>
          <w:sz w:val="24"/>
          <w:szCs w:val="24"/>
          <w:lang w:val="es-DO"/>
        </w:rPr>
        <w:t>El primer Eje Estratégico plantea la conformación de: “Un Estado social y democrático de derecho, con instituciones que actúan con ética, transparencia y eficacia al servicio de una sociedad responsable y participativa, que garantiza la seguridad y promueve la equidad</w:t>
      </w:r>
      <w:r w:rsidR="00E837DB">
        <w:rPr>
          <w:rFonts w:ascii="Artifex CF" w:hAnsi="Artifex CF"/>
          <w:sz w:val="24"/>
          <w:szCs w:val="24"/>
          <w:lang w:val="es-DO"/>
        </w:rPr>
        <w:t>.</w:t>
      </w:r>
    </w:p>
    <w:p w14:paraId="398CA00A" w14:textId="77777777" w:rsidR="00E837DB" w:rsidRPr="00104B50" w:rsidRDefault="00E837DB" w:rsidP="008150A3">
      <w:pPr>
        <w:pStyle w:val="Sinespaciado"/>
        <w:jc w:val="both"/>
        <w:rPr>
          <w:rFonts w:ascii="Artifex CF" w:hAnsi="Artifex CF"/>
          <w:sz w:val="24"/>
          <w:szCs w:val="24"/>
          <w:lang w:val="es-DO"/>
        </w:rPr>
      </w:pPr>
    </w:p>
    <w:p w14:paraId="002499E3" w14:textId="77777777" w:rsidR="00D33C03" w:rsidRPr="00104B50" w:rsidRDefault="00D33C03" w:rsidP="008150A3">
      <w:pPr>
        <w:pStyle w:val="Sinespaciado"/>
        <w:jc w:val="both"/>
        <w:rPr>
          <w:rFonts w:ascii="Artifex CF" w:hAnsi="Artifex CF"/>
          <w:sz w:val="24"/>
          <w:szCs w:val="24"/>
          <w:lang w:val="es-DO"/>
        </w:rPr>
      </w:pPr>
      <w:r w:rsidRPr="00104B50">
        <w:rPr>
          <w:rFonts w:ascii="Artifex CF" w:hAnsi="Artifex CF"/>
          <w:sz w:val="24"/>
          <w:szCs w:val="24"/>
          <w:lang w:val="es-DO"/>
        </w:rPr>
        <w:t xml:space="preserve">El Segundo Eje Estratégico: “Una sociedad con igualdad de derechos y oportunidades, en la que toda la población tiene garantizada educación, salud, vivienda digna y servicios básicos de calidad, y que promueve la reducción progresiva de la pobreza y la desigualdad social y territorial.”  </w:t>
      </w:r>
    </w:p>
    <w:p w14:paraId="642E65E8" w14:textId="77777777" w:rsidR="008150A3" w:rsidRPr="00104B50" w:rsidRDefault="008150A3" w:rsidP="008150A3">
      <w:pPr>
        <w:pStyle w:val="Sinespaciado"/>
        <w:jc w:val="both"/>
        <w:rPr>
          <w:rFonts w:ascii="Artifex CF" w:hAnsi="Artifex CF"/>
          <w:sz w:val="24"/>
          <w:szCs w:val="24"/>
          <w:lang w:val="es-DO"/>
        </w:rPr>
      </w:pPr>
    </w:p>
    <w:p w14:paraId="17303770" w14:textId="77777777" w:rsidR="00D33C03" w:rsidRPr="00E837DB" w:rsidRDefault="00D33C03" w:rsidP="008150A3">
      <w:pPr>
        <w:pStyle w:val="Sinespaciado"/>
        <w:jc w:val="both"/>
        <w:rPr>
          <w:rFonts w:ascii="Artifex CF" w:hAnsi="Artifex CF"/>
          <w:sz w:val="24"/>
          <w:szCs w:val="24"/>
          <w:lang w:val="es-DO"/>
        </w:rPr>
      </w:pPr>
      <w:r w:rsidRPr="00104B50">
        <w:rPr>
          <w:rFonts w:ascii="Artifex CF" w:hAnsi="Artifex CF"/>
          <w:sz w:val="24"/>
          <w:szCs w:val="24"/>
          <w:lang w:val="es-DO"/>
        </w:rPr>
        <w:t xml:space="preserve">El Tercer Eje Estratégico: “Una economía territorial y sectorialmente integrada, innovadora, diversificada, plural, orientada a la calidad y ambientalmente sostenible, </w:t>
      </w:r>
      <w:r w:rsidRPr="00104B50">
        <w:rPr>
          <w:rFonts w:ascii="Artifex CF" w:hAnsi="Artifex CF"/>
          <w:sz w:val="24"/>
          <w:szCs w:val="24"/>
          <w:lang w:val="es-DO"/>
        </w:rPr>
        <w:lastRenderedPageBreak/>
        <w:t xml:space="preserve">que crea y desconcentra la riqueza, genera crecimiento alto y sostenido con equidad y </w:t>
      </w:r>
      <w:r w:rsidRPr="00E837DB">
        <w:rPr>
          <w:rFonts w:ascii="Artifex CF" w:hAnsi="Artifex CF"/>
          <w:sz w:val="24"/>
          <w:szCs w:val="24"/>
          <w:lang w:val="es-DO"/>
        </w:rPr>
        <w:t xml:space="preserve">empleo digno, y que aprovecha y potencia las oportunidades del mercado local y se inserta de forma competitiva en la economía global.”  </w:t>
      </w:r>
    </w:p>
    <w:p w14:paraId="54765FE7" w14:textId="77777777" w:rsidR="008150A3" w:rsidRPr="00E837DB" w:rsidRDefault="008150A3" w:rsidP="008150A3">
      <w:pPr>
        <w:pStyle w:val="Sinespaciado"/>
        <w:jc w:val="both"/>
        <w:rPr>
          <w:rFonts w:ascii="Artifex CF" w:hAnsi="Artifex CF"/>
          <w:sz w:val="24"/>
          <w:szCs w:val="24"/>
          <w:lang w:val="es-DO"/>
        </w:rPr>
      </w:pPr>
    </w:p>
    <w:p w14:paraId="2FCB9058" w14:textId="77777777" w:rsidR="00D33C03" w:rsidRPr="00E837DB" w:rsidRDefault="00D33C03" w:rsidP="008150A3">
      <w:pPr>
        <w:jc w:val="both"/>
        <w:rPr>
          <w:rFonts w:ascii="Artifex CF" w:eastAsia="Times New Roman" w:hAnsi="Artifex CF" w:cstheme="minorHAnsi"/>
          <w:color w:val="231F20"/>
          <w:sz w:val="24"/>
          <w:szCs w:val="24"/>
          <w:lang w:val="es-DO"/>
        </w:rPr>
      </w:pPr>
      <w:r w:rsidRPr="00E837DB">
        <w:rPr>
          <w:rFonts w:ascii="Artifex CF" w:eastAsia="Times New Roman" w:hAnsi="Artifex CF" w:cstheme="minorHAnsi"/>
          <w:color w:val="231F20"/>
          <w:sz w:val="24"/>
          <w:szCs w:val="24"/>
          <w:lang w:val="es-DO"/>
        </w:rPr>
        <w:t>Cuarto Eje Estratégico: “Una sociedad con cultura de producción y consumo sostenibles, que gestiona con equidad y eficacia los riesgos y la protección del medio ambiente y los recursos naturales y promueve una adecuada adaptación al cambio climático.”</w:t>
      </w:r>
    </w:p>
    <w:p w14:paraId="2F6D3AD8" w14:textId="77777777" w:rsidR="00BB017D" w:rsidRPr="00E837DB" w:rsidRDefault="00BB017D" w:rsidP="008150A3">
      <w:pPr>
        <w:jc w:val="both"/>
        <w:rPr>
          <w:rFonts w:ascii="Artifex CF" w:eastAsia="Times New Roman" w:hAnsi="Artifex CF" w:cstheme="minorHAnsi"/>
          <w:color w:val="231F20"/>
          <w:sz w:val="24"/>
          <w:szCs w:val="24"/>
          <w:lang w:val="es-DO"/>
        </w:rPr>
      </w:pPr>
      <w:r w:rsidRPr="00E837DB">
        <w:rPr>
          <w:rFonts w:ascii="Artifex CF" w:eastAsia="Times New Roman" w:hAnsi="Artifex CF" w:cstheme="minorHAnsi"/>
          <w:color w:val="231F20"/>
          <w:sz w:val="24"/>
          <w:szCs w:val="24"/>
          <w:lang w:val="es-DO"/>
        </w:rPr>
        <w:t>En torno a estos cuatro ejes estratégicos, se establecen 19 objetivos generales, 58 objetivos específicos y 460 líneas estratégicas de acción</w:t>
      </w:r>
      <w:r w:rsidR="009F5071" w:rsidRPr="00E837DB">
        <w:rPr>
          <w:rFonts w:ascii="Artifex CF" w:eastAsia="Times New Roman" w:hAnsi="Artifex CF" w:cstheme="minorHAnsi"/>
          <w:color w:val="231F20"/>
          <w:sz w:val="24"/>
          <w:szCs w:val="24"/>
          <w:lang w:val="es-DO"/>
        </w:rPr>
        <w:t>, noventa i</w:t>
      </w:r>
      <w:r w:rsidR="00C84AAB" w:rsidRPr="00E837DB">
        <w:rPr>
          <w:rFonts w:ascii="Artifex CF" w:eastAsia="Times New Roman" w:hAnsi="Artifex CF" w:cstheme="minorHAnsi"/>
          <w:color w:val="231F20"/>
          <w:sz w:val="24"/>
          <w:szCs w:val="24"/>
          <w:lang w:val="es-DO"/>
        </w:rPr>
        <w:t>ndicadores,</w:t>
      </w:r>
      <w:r w:rsidR="00C84AAB" w:rsidRPr="00E837DB">
        <w:rPr>
          <w:rFonts w:ascii="Artifex CF" w:hAnsi="Artifex CF"/>
          <w:sz w:val="24"/>
          <w:szCs w:val="24"/>
          <w:lang w:val="es-DO"/>
        </w:rPr>
        <w:t xml:space="preserve"> </w:t>
      </w:r>
      <w:r w:rsidR="00C84AAB" w:rsidRPr="00E837DB">
        <w:rPr>
          <w:rFonts w:ascii="Artifex CF" w:eastAsia="Times New Roman" w:hAnsi="Artifex CF" w:cstheme="minorHAnsi"/>
          <w:color w:val="231F20"/>
          <w:sz w:val="24"/>
          <w:szCs w:val="24"/>
          <w:lang w:val="es-DO"/>
        </w:rPr>
        <w:t>Metas</w:t>
      </w:r>
      <w:r w:rsidR="001327E8" w:rsidRPr="00E837DB">
        <w:rPr>
          <w:rFonts w:ascii="Artifex CF" w:eastAsia="Times New Roman" w:hAnsi="Artifex CF" w:cstheme="minorHAnsi"/>
          <w:color w:val="231F20"/>
          <w:sz w:val="24"/>
          <w:szCs w:val="24"/>
          <w:lang w:val="es-DO"/>
        </w:rPr>
        <w:t>,</w:t>
      </w:r>
      <w:r w:rsidR="00C84AAB" w:rsidRPr="00E837DB">
        <w:rPr>
          <w:rFonts w:ascii="Artifex CF" w:eastAsia="Times New Roman" w:hAnsi="Artifex CF" w:cstheme="minorHAnsi"/>
          <w:color w:val="231F20"/>
          <w:sz w:val="24"/>
          <w:szCs w:val="24"/>
          <w:lang w:val="es-DO"/>
        </w:rPr>
        <w:t xml:space="preserve"> tres pactos y siete políticas transversales.</w:t>
      </w:r>
    </w:p>
    <w:p w14:paraId="1601F757" w14:textId="77777777" w:rsidR="008150A3" w:rsidRPr="00104B50" w:rsidRDefault="008150A3" w:rsidP="008150A3">
      <w:pPr>
        <w:jc w:val="both"/>
        <w:rPr>
          <w:rFonts w:ascii="Artifex CF" w:eastAsia="Times New Roman" w:hAnsi="Artifex CF" w:cstheme="minorHAnsi"/>
          <w:color w:val="231F20"/>
          <w:sz w:val="24"/>
          <w:szCs w:val="24"/>
          <w:lang w:val="es-DO"/>
        </w:rPr>
      </w:pPr>
    </w:p>
    <w:p w14:paraId="50947F9A" w14:textId="6888A0D8" w:rsidR="00801535" w:rsidRPr="00E837DB" w:rsidRDefault="00801535" w:rsidP="008150A3">
      <w:pPr>
        <w:pStyle w:val="Sinespaciado"/>
        <w:jc w:val="both"/>
        <w:rPr>
          <w:rFonts w:ascii="Artifex CF" w:hAnsi="Artifex CF"/>
          <w:b/>
          <w:bCs/>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837DB">
        <w:rPr>
          <w:rFonts w:ascii="Artifex CF" w:hAnsi="Artifex CF"/>
          <w:b/>
          <w:bCs/>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Plan Nacional Plurianual del Sector Público (PNPSP)</w:t>
      </w:r>
    </w:p>
    <w:p w14:paraId="72DF690F" w14:textId="77777777" w:rsidR="008150A3" w:rsidRPr="00104B50" w:rsidRDefault="008150A3" w:rsidP="008150A3">
      <w:pPr>
        <w:pStyle w:val="Sinespaciado"/>
        <w:jc w:val="both"/>
        <w:rPr>
          <w:rFonts w:ascii="Artifex CF" w:hAnsi="Artifex CF"/>
          <w:sz w:val="24"/>
          <w:szCs w:val="24"/>
          <w:lang w:val="es-DO"/>
        </w:rPr>
      </w:pPr>
    </w:p>
    <w:p w14:paraId="375906DF" w14:textId="37366267" w:rsidR="00C24CD2" w:rsidRPr="00104B50" w:rsidRDefault="003D1D0B" w:rsidP="008150A3">
      <w:pPr>
        <w:pStyle w:val="Sinespaciado"/>
        <w:jc w:val="both"/>
        <w:rPr>
          <w:rFonts w:ascii="Artifex CF" w:hAnsi="Artifex CF"/>
          <w:sz w:val="24"/>
          <w:szCs w:val="24"/>
          <w:lang w:val="es-DO"/>
        </w:rPr>
      </w:pPr>
      <w:r w:rsidRPr="00104B50">
        <w:rPr>
          <w:rFonts w:ascii="Artifex CF" w:hAnsi="Artifex CF"/>
          <w:sz w:val="24"/>
          <w:szCs w:val="24"/>
          <w:lang w:val="es-DO"/>
        </w:rPr>
        <w:t>Presentamos a la sociedad dominicana la</w:t>
      </w:r>
      <w:r w:rsidR="00AC0170" w:rsidRPr="00104B50">
        <w:rPr>
          <w:rFonts w:ascii="Artifex CF" w:hAnsi="Artifex CF"/>
          <w:sz w:val="24"/>
          <w:szCs w:val="24"/>
          <w:lang w:val="es-DO"/>
        </w:rPr>
        <w:t xml:space="preserve"> décimo tercera</w:t>
      </w:r>
      <w:r w:rsidRPr="00104B50">
        <w:rPr>
          <w:rFonts w:ascii="Artifex CF" w:hAnsi="Artifex CF"/>
          <w:sz w:val="24"/>
          <w:szCs w:val="24"/>
          <w:lang w:val="es-DO"/>
        </w:rPr>
        <w:t xml:space="preserve"> versión del Plan Nacional Plurianual del Sector Público (PNPSP) que en esta ocasión corresponde a la </w:t>
      </w:r>
      <w:r w:rsidR="00A54BD5" w:rsidRPr="00104B50">
        <w:rPr>
          <w:rFonts w:ascii="Artifex CF" w:hAnsi="Artifex CF"/>
          <w:sz w:val="24"/>
          <w:szCs w:val="24"/>
          <w:lang w:val="es-DO"/>
        </w:rPr>
        <w:t xml:space="preserve">actualización del </w:t>
      </w:r>
      <w:r w:rsidRPr="00104B50">
        <w:rPr>
          <w:rFonts w:ascii="Artifex CF" w:hAnsi="Artifex CF"/>
          <w:sz w:val="24"/>
          <w:szCs w:val="24"/>
          <w:lang w:val="es-DO"/>
        </w:rPr>
        <w:t>202</w:t>
      </w:r>
      <w:r w:rsidR="0046238D" w:rsidRPr="00104B50">
        <w:rPr>
          <w:rFonts w:ascii="Artifex CF" w:hAnsi="Artifex CF"/>
          <w:sz w:val="24"/>
          <w:szCs w:val="24"/>
          <w:lang w:val="es-DO"/>
        </w:rPr>
        <w:t>2</w:t>
      </w:r>
      <w:r w:rsidRPr="00104B50">
        <w:rPr>
          <w:rFonts w:ascii="Artifex CF" w:hAnsi="Artifex CF"/>
          <w:sz w:val="24"/>
          <w:szCs w:val="24"/>
          <w:lang w:val="es-DO"/>
        </w:rPr>
        <w:t xml:space="preserve"> del </w:t>
      </w:r>
      <w:r w:rsidR="00C84AAB" w:rsidRPr="00104B50">
        <w:rPr>
          <w:rFonts w:ascii="Artifex CF" w:hAnsi="Artifex CF"/>
          <w:sz w:val="24"/>
          <w:szCs w:val="24"/>
          <w:lang w:val="es-DO"/>
        </w:rPr>
        <w:t>indicado</w:t>
      </w:r>
      <w:r w:rsidRPr="00104B50">
        <w:rPr>
          <w:rFonts w:ascii="Artifex CF" w:hAnsi="Artifex CF"/>
          <w:sz w:val="24"/>
          <w:szCs w:val="24"/>
          <w:lang w:val="es-DO"/>
        </w:rPr>
        <w:t xml:space="preserve"> plan del período 20</w:t>
      </w:r>
      <w:r w:rsidR="0046238D" w:rsidRPr="00104B50">
        <w:rPr>
          <w:rFonts w:ascii="Artifex CF" w:hAnsi="Artifex CF"/>
          <w:sz w:val="24"/>
          <w:szCs w:val="24"/>
          <w:lang w:val="es-DO"/>
        </w:rPr>
        <w:t>21</w:t>
      </w:r>
      <w:r w:rsidRPr="00104B50">
        <w:rPr>
          <w:rFonts w:ascii="Artifex CF" w:hAnsi="Artifex CF"/>
          <w:sz w:val="24"/>
          <w:szCs w:val="24"/>
          <w:lang w:val="es-DO"/>
        </w:rPr>
        <w:t>-202</w:t>
      </w:r>
      <w:r w:rsidR="0046238D" w:rsidRPr="00104B50">
        <w:rPr>
          <w:rFonts w:ascii="Artifex CF" w:hAnsi="Artifex CF"/>
          <w:sz w:val="24"/>
          <w:szCs w:val="24"/>
          <w:lang w:val="es-DO"/>
        </w:rPr>
        <w:t>4</w:t>
      </w:r>
      <w:r w:rsidRPr="00104B50">
        <w:rPr>
          <w:rFonts w:ascii="Artifex CF" w:hAnsi="Artifex CF"/>
          <w:sz w:val="24"/>
          <w:szCs w:val="24"/>
          <w:lang w:val="es-DO"/>
        </w:rPr>
        <w:t>. Este instrumento fue formulado por vez primera en el país en 2010, año a partir del cual se ha ido renovando y actualizando, según establece el marco legal vigente, al punto de constituirse en una práctica institucionalizada y sistematizada del Gobierno dominicano.</w:t>
      </w:r>
      <w:r w:rsidR="009F5071" w:rsidRPr="00104B50">
        <w:rPr>
          <w:rFonts w:ascii="Artifex CF" w:hAnsi="Artifex CF"/>
          <w:sz w:val="24"/>
          <w:szCs w:val="24"/>
          <w:lang w:val="es-DO"/>
        </w:rPr>
        <w:t xml:space="preserve"> </w:t>
      </w:r>
      <w:r w:rsidRPr="00104B50">
        <w:rPr>
          <w:rFonts w:ascii="Artifex CF" w:hAnsi="Artifex CF"/>
          <w:sz w:val="24"/>
          <w:szCs w:val="24"/>
          <w:lang w:val="es-DO"/>
        </w:rPr>
        <w:t>La actualización del PNPSP se enmarca tanto en lo establecido en la Constitución de la República (artículo 242), como en la Estrategia Nacional de Desarrollo (END 2030, Ley 1-12) y el Sistema Nacional de Planificación e Inversión Pública (Ley 498-06) y sus respectivos reglamentos de aplicación.</w:t>
      </w:r>
      <w:r w:rsidR="00C84AAB" w:rsidRPr="00104B50">
        <w:rPr>
          <w:rFonts w:ascii="Artifex CF" w:hAnsi="Artifex CF"/>
          <w:sz w:val="24"/>
          <w:szCs w:val="24"/>
          <w:lang w:val="es-DO"/>
        </w:rPr>
        <w:t xml:space="preserve"> </w:t>
      </w:r>
      <w:r w:rsidRPr="00104B50">
        <w:rPr>
          <w:rFonts w:ascii="Artifex CF" w:hAnsi="Artifex CF"/>
          <w:sz w:val="24"/>
          <w:szCs w:val="24"/>
          <w:lang w:val="es-DO"/>
        </w:rPr>
        <w:t>El Plan Plurianual establece prioridades, objetivos, metas y requerimientos de recursos para los planes, programas y proyectos de la Administración Pública, en consonancia con la Estrategia Nacional de Desarrollo (END 2030), debidamente alineada con los compromisos nacionales e internacionales que ha asumido el país para el período de actualización de este.</w:t>
      </w:r>
    </w:p>
    <w:p w14:paraId="1D95D11B" w14:textId="77777777" w:rsidR="008150A3" w:rsidRPr="00104B50" w:rsidRDefault="008150A3" w:rsidP="008150A3">
      <w:pPr>
        <w:pStyle w:val="Sinespaciado"/>
        <w:jc w:val="both"/>
        <w:rPr>
          <w:rFonts w:ascii="Artifex CF" w:hAnsi="Artifex CF"/>
          <w:sz w:val="24"/>
          <w:szCs w:val="24"/>
          <w:lang w:val="es-DO"/>
        </w:rPr>
      </w:pPr>
    </w:p>
    <w:p w14:paraId="0F03E6CA" w14:textId="4BFA058E" w:rsidR="00801535" w:rsidRPr="00104B50" w:rsidRDefault="00801535" w:rsidP="008150A3">
      <w:pPr>
        <w:pStyle w:val="Sinespaciado"/>
        <w:jc w:val="both"/>
        <w:rPr>
          <w:rFonts w:ascii="Artifex CF" w:hAnsi="Artifex CF"/>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B50">
        <w:rPr>
          <w:rFonts w:ascii="Artifex CF" w:hAnsi="Artifex CF"/>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Informe anual de progreso de implementación</w:t>
      </w:r>
      <w:r w:rsidR="0040680B" w:rsidRPr="00104B50">
        <w:rPr>
          <w:rFonts w:ascii="Artifex CF" w:hAnsi="Artifex CF"/>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 la Estrategia Nacional de Desarrollo</w:t>
      </w:r>
    </w:p>
    <w:p w14:paraId="28C4FCBD" w14:textId="77777777" w:rsidR="008150A3" w:rsidRPr="00104B50" w:rsidRDefault="008150A3" w:rsidP="008150A3">
      <w:pPr>
        <w:pStyle w:val="Sinespaciado"/>
        <w:jc w:val="both"/>
        <w:rPr>
          <w:rFonts w:ascii="Artifex CF" w:hAnsi="Artifex CF" w:cstheme="minorHAnsi"/>
          <w:sz w:val="24"/>
          <w:szCs w:val="24"/>
          <w:lang w:val="es-DO"/>
        </w:rPr>
      </w:pPr>
    </w:p>
    <w:p w14:paraId="58CABE18" w14:textId="7FCE4F4B" w:rsidR="00C07E11" w:rsidRPr="00104B50" w:rsidRDefault="006C795B" w:rsidP="008150A3">
      <w:pPr>
        <w:pStyle w:val="Sinespaciado"/>
        <w:jc w:val="both"/>
        <w:rPr>
          <w:rFonts w:ascii="Artifex CF" w:hAnsi="Artifex CF" w:cstheme="minorHAnsi"/>
          <w:sz w:val="24"/>
          <w:szCs w:val="24"/>
          <w:lang w:val="es-DO"/>
        </w:rPr>
      </w:pPr>
      <w:r w:rsidRPr="00104B50">
        <w:rPr>
          <w:rFonts w:ascii="Artifex CF" w:hAnsi="Artifex CF" w:cstheme="minorHAnsi"/>
          <w:sz w:val="24"/>
          <w:szCs w:val="24"/>
          <w:lang w:val="es-DO"/>
        </w:rPr>
        <w:t>L</w:t>
      </w:r>
      <w:r w:rsidR="009F5071" w:rsidRPr="00104B50">
        <w:rPr>
          <w:rFonts w:ascii="Artifex CF" w:hAnsi="Artifex CF" w:cstheme="minorHAnsi"/>
          <w:sz w:val="24"/>
          <w:szCs w:val="24"/>
          <w:lang w:val="es-DO"/>
        </w:rPr>
        <w:t xml:space="preserve">a Ley 1-12 ordena al Ministerio de Economía, Planificación y Desarrollo elaborar un </w:t>
      </w:r>
      <w:bookmarkStart w:id="1" w:name="_Hlk136956213"/>
      <w:r w:rsidR="009F5071" w:rsidRPr="00104B50">
        <w:rPr>
          <w:rFonts w:ascii="Artifex CF" w:hAnsi="Artifex CF" w:cstheme="minorHAnsi"/>
          <w:sz w:val="24"/>
          <w:szCs w:val="24"/>
          <w:lang w:val="es-DO"/>
        </w:rPr>
        <w:t>Informe anual de progreso de su implementación</w:t>
      </w:r>
      <w:bookmarkEnd w:id="1"/>
      <w:r w:rsidR="009F5071" w:rsidRPr="00104B50">
        <w:rPr>
          <w:rFonts w:ascii="Artifex CF" w:hAnsi="Artifex CF" w:cstheme="minorHAnsi"/>
          <w:sz w:val="24"/>
          <w:szCs w:val="24"/>
          <w:lang w:val="es-DO"/>
        </w:rPr>
        <w:t xml:space="preserve">. </w:t>
      </w:r>
      <w:r w:rsidR="00EF6D19" w:rsidRPr="00104B50">
        <w:rPr>
          <w:rFonts w:ascii="Artifex CF" w:hAnsi="Artifex CF" w:cstheme="minorHAnsi"/>
          <w:sz w:val="24"/>
          <w:szCs w:val="24"/>
          <w:lang w:val="es-DO"/>
        </w:rPr>
        <w:t xml:space="preserve">Hemos presentado a la sociedad </w:t>
      </w:r>
      <w:r w:rsidR="00C24CD2" w:rsidRPr="00104B50">
        <w:rPr>
          <w:rFonts w:ascii="Artifex CF" w:hAnsi="Artifex CF" w:cstheme="minorHAnsi"/>
          <w:sz w:val="24"/>
          <w:szCs w:val="24"/>
          <w:lang w:val="es-DO"/>
        </w:rPr>
        <w:t xml:space="preserve">el </w:t>
      </w:r>
      <w:r w:rsidR="00530638" w:rsidRPr="00104B50">
        <w:rPr>
          <w:rFonts w:ascii="Artifex CF" w:hAnsi="Artifex CF" w:cstheme="minorHAnsi"/>
          <w:sz w:val="24"/>
          <w:szCs w:val="24"/>
          <w:lang w:val="es-DO"/>
        </w:rPr>
        <w:t>décimo</w:t>
      </w:r>
      <w:r w:rsidR="00EF6D19" w:rsidRPr="00104B50">
        <w:rPr>
          <w:rFonts w:ascii="Artifex CF" w:hAnsi="Artifex CF" w:cstheme="minorHAnsi"/>
          <w:sz w:val="24"/>
          <w:szCs w:val="24"/>
          <w:lang w:val="es-DO"/>
        </w:rPr>
        <w:t xml:space="preserve"> informe de seguimiento a la implementación. </w:t>
      </w:r>
      <w:r w:rsidR="009F5071" w:rsidRPr="00104B50">
        <w:rPr>
          <w:rFonts w:ascii="Artifex CF" w:hAnsi="Artifex CF" w:cstheme="minorHAnsi"/>
          <w:sz w:val="24"/>
          <w:szCs w:val="24"/>
          <w:lang w:val="es-DO"/>
        </w:rPr>
        <w:t>Este, fundamentalmente, da cuenta de la evolución de un conjunto de indicadores críticos del avance de las políticas y sus resultados.</w:t>
      </w:r>
      <w:r w:rsidR="00EF6D19" w:rsidRPr="00104B50">
        <w:rPr>
          <w:rFonts w:ascii="Artifex CF" w:hAnsi="Artifex CF" w:cstheme="minorHAnsi"/>
          <w:sz w:val="24"/>
          <w:szCs w:val="24"/>
          <w:lang w:val="es-DO"/>
        </w:rPr>
        <w:t xml:space="preserve"> </w:t>
      </w:r>
      <w:r w:rsidR="009F5071" w:rsidRPr="00104B50">
        <w:rPr>
          <w:rFonts w:ascii="Artifex CF" w:hAnsi="Artifex CF" w:cstheme="minorHAnsi"/>
          <w:sz w:val="24"/>
          <w:szCs w:val="24"/>
          <w:lang w:val="es-DO"/>
        </w:rPr>
        <w:t xml:space="preserve">En el presente informe se incluyen aspectos esenciales en el progreso de la Estrategia, como la evolución de los indicadores, los compromisos </w:t>
      </w:r>
      <w:r w:rsidR="009F5071" w:rsidRPr="00104B50">
        <w:rPr>
          <w:rFonts w:ascii="Artifex CF" w:hAnsi="Artifex CF" w:cstheme="minorHAnsi"/>
          <w:sz w:val="24"/>
          <w:szCs w:val="24"/>
          <w:lang w:val="es-DO"/>
        </w:rPr>
        <w:lastRenderedPageBreak/>
        <w:t>vinculados a la END y los pactos nacionales en apoyo a la misma, la producción pública, las políticas transversales, la cooperación internacional y la inversión pública.</w:t>
      </w:r>
    </w:p>
    <w:p w14:paraId="360CE94C" w14:textId="77777777" w:rsidR="008150A3" w:rsidRPr="00104B50" w:rsidRDefault="008150A3" w:rsidP="008150A3">
      <w:pPr>
        <w:pStyle w:val="Sinespaciado"/>
        <w:jc w:val="both"/>
        <w:rPr>
          <w:rFonts w:ascii="Artifex CF" w:hAnsi="Artifex CF" w:cstheme="minorHAnsi"/>
          <w:sz w:val="24"/>
          <w:szCs w:val="24"/>
          <w:lang w:val="es-DO"/>
        </w:rPr>
      </w:pPr>
    </w:p>
    <w:p w14:paraId="5FAB34A1" w14:textId="6AEC9D43" w:rsidR="00D101A6" w:rsidRPr="00104B50" w:rsidRDefault="009D5C10" w:rsidP="008150A3">
      <w:pPr>
        <w:pStyle w:val="Sinespaciado"/>
        <w:jc w:val="both"/>
        <w:rPr>
          <w:rFonts w:ascii="Artifex CF" w:hAnsi="Artifex CF" w:cstheme="minorHAnsi"/>
          <w:sz w:val="24"/>
          <w:szCs w:val="24"/>
          <w:lang w:val="es-DO"/>
        </w:rPr>
      </w:pPr>
      <w:r w:rsidRPr="00104B50">
        <w:rPr>
          <w:rFonts w:ascii="Artifex CF" w:hAnsi="Artifex CF" w:cstheme="minorHAnsi"/>
          <w:sz w:val="24"/>
          <w:szCs w:val="24"/>
          <w:lang w:val="es-DO"/>
        </w:rPr>
        <w:t>Según los datos del décimo inform</w:t>
      </w:r>
      <w:r w:rsidR="00F53287" w:rsidRPr="00104B50">
        <w:rPr>
          <w:rFonts w:ascii="Artifex CF" w:hAnsi="Artifex CF" w:cstheme="minorHAnsi"/>
          <w:sz w:val="24"/>
          <w:szCs w:val="24"/>
          <w:lang w:val="es-DO"/>
        </w:rPr>
        <w:t>e</w:t>
      </w:r>
      <w:r w:rsidRPr="00104B50">
        <w:rPr>
          <w:rFonts w:ascii="Artifex CF" w:hAnsi="Artifex CF" w:cstheme="minorHAnsi"/>
          <w:sz w:val="24"/>
          <w:szCs w:val="24"/>
          <w:lang w:val="es-DO"/>
        </w:rPr>
        <w:t xml:space="preserve"> de la Estrategia Nacional de Desarrollo</w:t>
      </w:r>
      <w:r w:rsidR="00D101A6" w:rsidRPr="00104B50">
        <w:rPr>
          <w:rFonts w:ascii="Artifex CF" w:hAnsi="Artifex CF" w:cstheme="minorHAnsi"/>
          <w:sz w:val="24"/>
          <w:szCs w:val="24"/>
          <w:lang w:val="es-DO"/>
        </w:rPr>
        <w:t>, fueron considerados 96 indicadores, de los</w:t>
      </w:r>
      <w:r w:rsidR="000175FE" w:rsidRPr="00104B50">
        <w:rPr>
          <w:rFonts w:ascii="Artifex CF" w:hAnsi="Artifex CF" w:cstheme="minorHAnsi"/>
          <w:sz w:val="24"/>
          <w:szCs w:val="24"/>
          <w:lang w:val="es-DO"/>
        </w:rPr>
        <w:t xml:space="preserve"> </w:t>
      </w:r>
      <w:r w:rsidR="00D101A6" w:rsidRPr="00104B50">
        <w:rPr>
          <w:rFonts w:ascii="Artifex CF" w:hAnsi="Artifex CF" w:cstheme="minorHAnsi"/>
          <w:sz w:val="24"/>
          <w:szCs w:val="24"/>
          <w:lang w:val="es-DO"/>
        </w:rPr>
        <w:t xml:space="preserve">cuales 79 cuentan con información actualizada. De estos, el 9.4 % (9) de los indicadores alcanzó la meta establecida al 2025. El 10.4 % (10) presentan un avance promisorio, </w:t>
      </w:r>
      <w:r w:rsidR="000175FE" w:rsidRPr="00104B50">
        <w:rPr>
          <w:rFonts w:ascii="Artifex CF" w:hAnsi="Artifex CF" w:cstheme="minorHAnsi"/>
          <w:sz w:val="24"/>
          <w:szCs w:val="24"/>
          <w:lang w:val="es-DO"/>
        </w:rPr>
        <w:t>que,</w:t>
      </w:r>
      <w:r w:rsidR="00D101A6" w:rsidRPr="00104B50">
        <w:rPr>
          <w:rFonts w:ascii="Artifex CF" w:hAnsi="Artifex CF" w:cstheme="minorHAnsi"/>
          <w:sz w:val="24"/>
          <w:szCs w:val="24"/>
          <w:lang w:val="es-DO"/>
        </w:rPr>
        <w:t xml:space="preserve"> de mantener dicho ritmo, podría alcanzar la meta quinquenal.</w:t>
      </w:r>
      <w:r w:rsidR="000175FE" w:rsidRPr="00104B50">
        <w:rPr>
          <w:rFonts w:ascii="Artifex CF" w:hAnsi="Artifex CF" w:cstheme="minorHAnsi"/>
          <w:sz w:val="24"/>
          <w:szCs w:val="24"/>
          <w:lang w:val="es-DO"/>
        </w:rPr>
        <w:t xml:space="preserve"> </w:t>
      </w:r>
      <w:r w:rsidR="00D101A6" w:rsidRPr="00104B50">
        <w:rPr>
          <w:rFonts w:ascii="Artifex CF" w:hAnsi="Artifex CF" w:cstheme="minorHAnsi"/>
          <w:sz w:val="24"/>
          <w:szCs w:val="24"/>
          <w:lang w:val="es-DO"/>
        </w:rPr>
        <w:t xml:space="preserve">El 28.1 % (27) de los indicadores se encuentran en retroceso con relación al 2015 y meta programada al 2025. Por otra parte, el 34.4 % (33) de los indicadores </w:t>
      </w:r>
      <w:r w:rsidR="000175FE" w:rsidRPr="00104B50">
        <w:rPr>
          <w:rFonts w:ascii="Artifex CF" w:hAnsi="Artifex CF" w:cstheme="minorHAnsi"/>
          <w:sz w:val="24"/>
          <w:szCs w:val="24"/>
          <w:lang w:val="es-DO"/>
        </w:rPr>
        <w:t xml:space="preserve">se </w:t>
      </w:r>
      <w:r w:rsidR="00D101A6" w:rsidRPr="00104B50">
        <w:rPr>
          <w:rFonts w:ascii="Artifex CF" w:hAnsi="Artifex CF" w:cstheme="minorHAnsi"/>
          <w:sz w:val="24"/>
          <w:szCs w:val="24"/>
          <w:lang w:val="es-DO"/>
        </w:rPr>
        <w:t>encuentran en avance moderado y sin información un 17.7 % (17).</w:t>
      </w:r>
    </w:p>
    <w:p w14:paraId="2B731BF2" w14:textId="77777777" w:rsidR="008150A3" w:rsidRPr="00104B50" w:rsidRDefault="008150A3" w:rsidP="008150A3">
      <w:pPr>
        <w:pStyle w:val="Sinespaciado"/>
        <w:jc w:val="both"/>
        <w:rPr>
          <w:rFonts w:ascii="Artifex CF" w:hAnsi="Artifex CF" w:cstheme="minorHAnsi"/>
          <w:sz w:val="24"/>
          <w:szCs w:val="24"/>
          <w:lang w:val="es-DO"/>
        </w:rPr>
      </w:pPr>
    </w:p>
    <w:p w14:paraId="53741C81" w14:textId="67B5E6C2" w:rsidR="00E2292A" w:rsidRPr="00E837DB" w:rsidRDefault="00E2292A" w:rsidP="008150A3">
      <w:pPr>
        <w:pStyle w:val="Sinespaciado"/>
        <w:jc w:val="both"/>
        <w:rPr>
          <w:rFonts w:ascii="Artifex CF" w:hAnsi="Artifex CF" w:cstheme="minorHAnsi"/>
          <w:b/>
          <w:bCs/>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837DB">
        <w:rPr>
          <w:rFonts w:ascii="Artifex CF" w:hAnsi="Artifex CF" w:cstheme="minorHAnsi"/>
          <w:b/>
          <w:bCs/>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Resultados y producción pública del PNPSP 2021-2024</w:t>
      </w:r>
    </w:p>
    <w:p w14:paraId="00C17AC4" w14:textId="77777777" w:rsidR="008150A3" w:rsidRPr="00104B50" w:rsidRDefault="008150A3" w:rsidP="008150A3">
      <w:pPr>
        <w:pStyle w:val="Sinespaciado"/>
        <w:jc w:val="both"/>
        <w:rPr>
          <w:rFonts w:ascii="Artifex CF" w:hAnsi="Artifex CF" w:cstheme="minorHAnsi"/>
          <w:sz w:val="24"/>
          <w:szCs w:val="24"/>
          <w:lang w:val="es-DO"/>
        </w:rPr>
      </w:pPr>
    </w:p>
    <w:p w14:paraId="28766F62" w14:textId="7A03D9A5" w:rsidR="00E2292A" w:rsidRPr="00104B50" w:rsidRDefault="00E2292A" w:rsidP="008150A3">
      <w:pPr>
        <w:pStyle w:val="Sinespaciado"/>
        <w:jc w:val="both"/>
        <w:rPr>
          <w:rFonts w:ascii="Artifex CF" w:hAnsi="Artifex CF" w:cstheme="minorHAnsi"/>
          <w:sz w:val="24"/>
          <w:szCs w:val="24"/>
          <w:lang w:val="es-DO"/>
        </w:rPr>
      </w:pPr>
      <w:r w:rsidRPr="00104B50">
        <w:rPr>
          <w:rFonts w:ascii="Artifex CF" w:hAnsi="Artifex CF" w:cstheme="minorHAnsi"/>
          <w:sz w:val="24"/>
          <w:szCs w:val="24"/>
          <w:lang w:val="es-DO"/>
        </w:rPr>
        <w:t>Para la ejecución del Plan Nacional Plurianual del Sector Público 2021-2024 (PNPSP), durante el 2021 se monitorearon 181 indicadores, de estos, 35.4 % (64) presentaron avances hacia la meta, un 14.4 % (26) presentan retroceso y 50.3 % no mostraron cambios. El Eje 3 es el que muestra una mayor cantidad de indicadores PNPSP relacionados con la END en un estado de avance, con un 38.9% (37). Le sigue el Eje 2 con un 35.1% (20), el Eje 4 con 33.3% (1) y finalmente el Eje 1 de desarrollo institucional con 23.1% (6).</w:t>
      </w:r>
    </w:p>
    <w:p w14:paraId="5B6FC3F5" w14:textId="77777777" w:rsidR="008150A3" w:rsidRPr="00104B50" w:rsidRDefault="008150A3" w:rsidP="00E2292A">
      <w:pPr>
        <w:pStyle w:val="Sinespaciado"/>
        <w:jc w:val="both"/>
        <w:rPr>
          <w:rFonts w:ascii="Artifex CF" w:hAnsi="Artifex CF" w:cstheme="minorHAnsi"/>
          <w:sz w:val="24"/>
          <w:szCs w:val="24"/>
          <w:lang w:val="es-DO"/>
        </w:rPr>
      </w:pPr>
    </w:p>
    <w:p w14:paraId="629BD95E" w14:textId="28453E43" w:rsidR="00E2292A" w:rsidRPr="00E837DB" w:rsidRDefault="00E2292A" w:rsidP="00E2292A">
      <w:pPr>
        <w:pStyle w:val="Sinespaciado"/>
        <w:jc w:val="both"/>
        <w:rPr>
          <w:rFonts w:ascii="Artifex CF" w:hAnsi="Artifex CF" w:cstheme="minorHAnsi"/>
          <w:b/>
          <w:bCs/>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837DB">
        <w:rPr>
          <w:rFonts w:ascii="Artifex CF" w:hAnsi="Artifex CF" w:cstheme="minorHAnsi"/>
          <w:b/>
          <w:bCs/>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Implementación de políticas transversales</w:t>
      </w:r>
    </w:p>
    <w:p w14:paraId="22C6F553" w14:textId="77777777" w:rsidR="008150A3" w:rsidRPr="00104B50" w:rsidRDefault="008150A3" w:rsidP="00E2292A">
      <w:pPr>
        <w:pStyle w:val="Sinespaciado"/>
        <w:jc w:val="both"/>
        <w:rPr>
          <w:rFonts w:ascii="Artifex CF" w:hAnsi="Artifex CF" w:cstheme="minorHAnsi"/>
          <w:sz w:val="24"/>
          <w:szCs w:val="24"/>
          <w:lang w:val="es-DO"/>
        </w:rPr>
      </w:pPr>
    </w:p>
    <w:p w14:paraId="07E5F41C" w14:textId="0CAA771F" w:rsidR="008150A3" w:rsidRPr="00104B50" w:rsidRDefault="00E2292A" w:rsidP="00BB2FE0">
      <w:pPr>
        <w:pStyle w:val="Sinespaciado"/>
        <w:jc w:val="both"/>
        <w:rPr>
          <w:rFonts w:ascii="Artifex CF" w:hAnsi="Artifex CF" w:cstheme="minorHAnsi"/>
          <w:sz w:val="24"/>
          <w:szCs w:val="24"/>
          <w:lang w:val="es-DO"/>
        </w:rPr>
      </w:pPr>
      <w:r w:rsidRPr="00104B50">
        <w:rPr>
          <w:rFonts w:ascii="Artifex CF" w:hAnsi="Artifex CF" w:cstheme="minorHAnsi"/>
          <w:sz w:val="24"/>
          <w:szCs w:val="24"/>
          <w:lang w:val="es-DO"/>
        </w:rPr>
        <w:t xml:space="preserve">Política Transversal: Derechos Humanos Tomando como base el Plan Nacional de Derechos humanos, las actividades realizadas por las instituciones relacionadas a esta política transversal se alinean con cuatro (4) objetivos generales (1.2, 1.3, 1.4 y 2.3), con actividades en seis (6) líneas de acción. </w:t>
      </w:r>
    </w:p>
    <w:p w14:paraId="0FDC986E" w14:textId="77777777" w:rsidR="008150A3" w:rsidRPr="00104B50" w:rsidRDefault="008150A3" w:rsidP="008150A3">
      <w:pPr>
        <w:pStyle w:val="Sinespaciado"/>
        <w:ind w:left="720"/>
        <w:jc w:val="both"/>
        <w:rPr>
          <w:rFonts w:ascii="Artifex CF" w:hAnsi="Artifex CF" w:cstheme="minorHAnsi"/>
          <w:sz w:val="24"/>
          <w:szCs w:val="24"/>
          <w:lang w:val="es-DO"/>
        </w:rPr>
      </w:pPr>
    </w:p>
    <w:p w14:paraId="78112A4D" w14:textId="38105385" w:rsidR="008150A3" w:rsidRPr="00104B50" w:rsidRDefault="00E2292A" w:rsidP="00BB2FE0">
      <w:pPr>
        <w:pStyle w:val="Sinespaciado"/>
        <w:jc w:val="both"/>
        <w:rPr>
          <w:rFonts w:ascii="Artifex CF" w:hAnsi="Artifex CF" w:cstheme="minorHAnsi"/>
          <w:sz w:val="24"/>
          <w:szCs w:val="24"/>
          <w:lang w:val="es-DO"/>
        </w:rPr>
      </w:pPr>
      <w:r w:rsidRPr="00104B50">
        <w:rPr>
          <w:rFonts w:ascii="Artifex CF" w:hAnsi="Artifex CF" w:cstheme="minorHAnsi"/>
          <w:sz w:val="24"/>
          <w:szCs w:val="24"/>
          <w:lang w:val="es-DO"/>
        </w:rPr>
        <w:t xml:space="preserve">Política Transversal: Enfoque de Género Las acciones instituciones que respaldan la ejecución del enfoque de género durante el 2021 se vincularon con 20 líneas de acción distribuidos en 11 objetivos generales (1.1, 1.2, 1.3, 1.4, 2.1, 2.2, 2.3, 2.4, 3.1, 3.3, 3.4) de la END. </w:t>
      </w:r>
    </w:p>
    <w:p w14:paraId="5BDC4FC9" w14:textId="77777777" w:rsidR="008150A3" w:rsidRPr="00104B50" w:rsidRDefault="008150A3" w:rsidP="00E2292A">
      <w:pPr>
        <w:pStyle w:val="Sinespaciado"/>
        <w:jc w:val="both"/>
        <w:rPr>
          <w:rFonts w:ascii="Artifex CF" w:hAnsi="Artifex CF" w:cstheme="minorHAnsi"/>
          <w:sz w:val="24"/>
          <w:szCs w:val="24"/>
          <w:lang w:val="es-DO"/>
        </w:rPr>
      </w:pPr>
    </w:p>
    <w:p w14:paraId="4650BBDB" w14:textId="342D1EF1" w:rsidR="008150A3" w:rsidRPr="00104B50" w:rsidRDefault="00E2292A" w:rsidP="00BB2FE0">
      <w:pPr>
        <w:pStyle w:val="Sinespaciado"/>
        <w:jc w:val="both"/>
        <w:rPr>
          <w:rFonts w:ascii="Artifex CF" w:hAnsi="Artifex CF" w:cstheme="minorHAnsi"/>
          <w:sz w:val="24"/>
          <w:szCs w:val="24"/>
          <w:lang w:val="es-DO"/>
        </w:rPr>
      </w:pPr>
      <w:r w:rsidRPr="00104B50">
        <w:rPr>
          <w:rFonts w:ascii="Artifex CF" w:hAnsi="Artifex CF" w:cstheme="minorHAnsi"/>
          <w:sz w:val="24"/>
          <w:szCs w:val="24"/>
          <w:lang w:val="es-DO"/>
        </w:rPr>
        <w:t xml:space="preserve">Política Transversal: Sostenibilidad Ambiental Las acciones ejecutadas que apuntan a la sostenibilidad del medioambiente se alinean con cuatro (4) objetivos generales (3.5, 4.1, 4.2 y 4.3) y 16 líneas de acción de la END. </w:t>
      </w:r>
    </w:p>
    <w:p w14:paraId="1781217A" w14:textId="77777777" w:rsidR="008150A3" w:rsidRPr="00104B50" w:rsidRDefault="008150A3" w:rsidP="00E2292A">
      <w:pPr>
        <w:pStyle w:val="Sinespaciado"/>
        <w:jc w:val="both"/>
        <w:rPr>
          <w:rFonts w:ascii="Artifex CF" w:hAnsi="Artifex CF" w:cstheme="minorHAnsi"/>
          <w:sz w:val="24"/>
          <w:szCs w:val="24"/>
          <w:lang w:val="es-DO"/>
        </w:rPr>
      </w:pPr>
    </w:p>
    <w:p w14:paraId="0FEED207" w14:textId="4DEDF12B" w:rsidR="00E2292A" w:rsidRPr="00104B50" w:rsidRDefault="00E2292A" w:rsidP="00BB2FE0">
      <w:pPr>
        <w:pStyle w:val="Sinespaciado"/>
        <w:jc w:val="both"/>
        <w:rPr>
          <w:rFonts w:ascii="Artifex CF" w:hAnsi="Artifex CF" w:cstheme="minorHAnsi"/>
          <w:sz w:val="24"/>
          <w:szCs w:val="24"/>
          <w:lang w:val="es-DO"/>
        </w:rPr>
      </w:pPr>
      <w:r w:rsidRPr="00104B50">
        <w:rPr>
          <w:rFonts w:ascii="Artifex CF" w:hAnsi="Artifex CF" w:cstheme="minorHAnsi"/>
          <w:sz w:val="24"/>
          <w:szCs w:val="24"/>
          <w:lang w:val="es-DO"/>
        </w:rPr>
        <w:t>Política Transversal: Gestión Integral de Riesgos de Desastres Durante el 2021 se ejecutaron una serie de iniciativas vinculadas a la gestión de riesgos que incidieron en dos (2) objetivos generales (2.4 y 4.2) y 10 líneas de acción de la END.</w:t>
      </w:r>
    </w:p>
    <w:p w14:paraId="169B5269" w14:textId="77777777" w:rsidR="008150A3" w:rsidRPr="00104B50" w:rsidRDefault="008150A3" w:rsidP="00E2292A">
      <w:pPr>
        <w:pStyle w:val="Sinespaciado"/>
        <w:jc w:val="both"/>
        <w:rPr>
          <w:rFonts w:ascii="Artifex CF" w:hAnsi="Artifex CF" w:cstheme="minorHAnsi"/>
          <w:sz w:val="24"/>
          <w:szCs w:val="24"/>
          <w:lang w:val="es-DO"/>
        </w:rPr>
      </w:pPr>
    </w:p>
    <w:p w14:paraId="5E777B0A" w14:textId="77777777" w:rsidR="008150A3" w:rsidRPr="00104B50" w:rsidRDefault="00E2292A" w:rsidP="003E3076">
      <w:pPr>
        <w:pStyle w:val="Sinespaciado"/>
        <w:jc w:val="both"/>
        <w:rPr>
          <w:rFonts w:ascii="Artifex CF" w:hAnsi="Artifex CF" w:cstheme="minorHAnsi"/>
          <w:sz w:val="24"/>
          <w:szCs w:val="24"/>
          <w:lang w:val="es-DO"/>
        </w:rPr>
      </w:pPr>
      <w:r w:rsidRPr="00104B50">
        <w:rPr>
          <w:rFonts w:ascii="Artifex CF" w:hAnsi="Artifex CF" w:cstheme="minorHAnsi"/>
          <w:sz w:val="24"/>
          <w:szCs w:val="24"/>
          <w:lang w:val="es-DO"/>
        </w:rPr>
        <w:t xml:space="preserve">Política Transversal: Participación Social Las acciones de participación social estuvieron encaminadas a vistas públicas en torno a la revisión de la Ley 87-01 sobre seguridad social, participación de distintos actores sociales en el Diálogo por las Reformas, revisión de la resolución que aprueba la extensión del plazo de cobertura de las Atenciones Médicas por Accidentes de Tránsito, y participación en los debates y la posterior firma del Pacto eléctrico. </w:t>
      </w:r>
    </w:p>
    <w:p w14:paraId="28B81C54" w14:textId="77777777" w:rsidR="008150A3" w:rsidRPr="00104B50" w:rsidRDefault="008150A3" w:rsidP="008150A3">
      <w:pPr>
        <w:pStyle w:val="Prrafodelista"/>
        <w:rPr>
          <w:rFonts w:ascii="Artifex CF" w:hAnsi="Artifex CF" w:cstheme="minorHAnsi"/>
          <w:sz w:val="24"/>
          <w:szCs w:val="24"/>
          <w:lang w:val="es-DO"/>
        </w:rPr>
      </w:pPr>
    </w:p>
    <w:p w14:paraId="5627380D" w14:textId="7A1DF3B1" w:rsidR="00E2292A" w:rsidRPr="00104B50" w:rsidRDefault="00E2292A" w:rsidP="003E3076">
      <w:pPr>
        <w:pStyle w:val="Sinespaciado"/>
        <w:jc w:val="both"/>
        <w:rPr>
          <w:rFonts w:ascii="Artifex CF" w:hAnsi="Artifex CF" w:cstheme="minorHAnsi"/>
          <w:sz w:val="24"/>
          <w:szCs w:val="24"/>
          <w:lang w:val="es-DO"/>
        </w:rPr>
      </w:pPr>
      <w:r w:rsidRPr="00104B50">
        <w:rPr>
          <w:rFonts w:ascii="Artifex CF" w:hAnsi="Artifex CF" w:cstheme="minorHAnsi"/>
          <w:sz w:val="24"/>
          <w:szCs w:val="24"/>
          <w:lang w:val="es-DO"/>
        </w:rPr>
        <w:t>Política Transversal: Uso de las Tecnologías de la Información y la Comunicación (TIC) Los avances de esta política durante el 2021 se desprenden de lo establecido en la Agenda Digital 2030, aprobada mediante el Decreto 527-21, específicamente en el componente de Gobierno Digital. Las acciones implementadas se vinculan a cinco (5) objetivos generales (1.1, 2.2, 2.3, 3.3 y 3.4) y nueve (9) líneas de acción de la END.</w:t>
      </w:r>
    </w:p>
    <w:p w14:paraId="55479B01" w14:textId="77777777" w:rsidR="00B308DE" w:rsidRPr="00104B50" w:rsidRDefault="00B308DE" w:rsidP="00D101A6">
      <w:pPr>
        <w:pStyle w:val="Sinespaciado"/>
        <w:rPr>
          <w:rFonts w:ascii="Artifex CF" w:hAnsi="Artifex CF" w:cstheme="minorHAnsi"/>
          <w:sz w:val="24"/>
          <w:szCs w:val="24"/>
          <w:lang w:val="es-DO"/>
        </w:rPr>
      </w:pPr>
    </w:p>
    <w:p w14:paraId="62D00874" w14:textId="77777777" w:rsidR="00B308DE" w:rsidRPr="00717498" w:rsidRDefault="00194C9D" w:rsidP="00D101A6">
      <w:pPr>
        <w:pStyle w:val="Sinespaciado"/>
        <w:rPr>
          <w:rFonts w:ascii="Artifex CF" w:hAnsi="Artifex CF"/>
          <w:b/>
          <w:bCs/>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7498">
        <w:rPr>
          <w:rFonts w:ascii="Artifex CF" w:hAnsi="Artifex CF"/>
          <w:b/>
          <w:bCs/>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Compromisos asumidos por el Estado y pactos nacionales </w:t>
      </w:r>
    </w:p>
    <w:p w14:paraId="18084502" w14:textId="77777777" w:rsidR="00B308DE" w:rsidRPr="00104B50" w:rsidRDefault="00B308DE" w:rsidP="00D101A6">
      <w:pPr>
        <w:pStyle w:val="Sinespaciado"/>
        <w:rPr>
          <w:rFonts w:ascii="Artifex CF" w:hAnsi="Artifex CF"/>
          <w:sz w:val="24"/>
          <w:szCs w:val="24"/>
          <w:lang w:val="es-DO"/>
        </w:rPr>
      </w:pPr>
    </w:p>
    <w:p w14:paraId="35053874" w14:textId="5DFA99FB" w:rsidR="0024266D" w:rsidRPr="00104B50" w:rsidRDefault="00194C9D" w:rsidP="00801535">
      <w:pPr>
        <w:pStyle w:val="Sinespaciado"/>
        <w:jc w:val="both"/>
        <w:rPr>
          <w:rFonts w:ascii="Artifex CF" w:hAnsi="Artifex CF"/>
          <w:sz w:val="24"/>
          <w:szCs w:val="24"/>
          <w:lang w:val="es-DO"/>
        </w:rPr>
      </w:pPr>
      <w:r w:rsidRPr="00104B50">
        <w:rPr>
          <w:rFonts w:ascii="Artifex CF" w:hAnsi="Artifex CF"/>
          <w:sz w:val="24"/>
          <w:szCs w:val="24"/>
          <w:lang w:val="es-DO"/>
        </w:rPr>
        <w:t>Durante el año 2021, de los 25 compromisos asumidos por el Estado en la Ley 1-12, 21 se encuentran en proceso de ejecución. El Eje 1 concentra la mayor cantidad de compromisos con 10, de los cuales 9 se están ejecutando asociados a temas de servicio civil y carrera administrativa; compras públicas, acceso a la información y rendición de cuentas; fortalecimiento de la estructura del Estado; seguridad ciudadana y defensa; acuerdos de desempeño; sistemas de partido y electoral; Plan de Desarrollo Municipal; marco legal e institucional migratorio; y, reformas en el código civil y penal. En el Eje 2 se ejecutan los cuatro compromisos contemplados, los cuales apuntan a temas de seguridad social, sector salud, asistencia social y agua potable. El Eje 3 ejecuta tres de sus cinco compromisos apuntado al fomento a las actividades productivas, financiamiento a inversiones productivas y titulación de terrenos. En cuanto al cuarto Eje, cinco de sus seis compromisos se encuentran en ejecución relacionados al sector agua, eficiencia energética, ordenamiento territorial y servicios ambientales.</w:t>
      </w:r>
    </w:p>
    <w:p w14:paraId="2F499F8A" w14:textId="77777777" w:rsidR="008150A3" w:rsidRPr="00104B50" w:rsidRDefault="008150A3" w:rsidP="00801535">
      <w:pPr>
        <w:pStyle w:val="Sinespaciado"/>
        <w:jc w:val="both"/>
        <w:rPr>
          <w:rFonts w:ascii="Artifex CF" w:hAnsi="Artifex CF"/>
          <w:sz w:val="24"/>
          <w:szCs w:val="24"/>
          <w:lang w:val="es-DO"/>
        </w:rPr>
      </w:pPr>
    </w:p>
    <w:p w14:paraId="1D13D97F" w14:textId="3F49F742" w:rsidR="008150A3" w:rsidRDefault="00404171" w:rsidP="00404171">
      <w:pPr>
        <w:pStyle w:val="Sinespaciado"/>
        <w:jc w:val="both"/>
        <w:rPr>
          <w:rFonts w:ascii="Artifex CF" w:hAnsi="Artifex CF" w:cstheme="minorHAnsi"/>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B50">
        <w:rPr>
          <w:rFonts w:ascii="Artifex CF" w:hAnsi="Artifex CF" w:cstheme="minorHAnsi"/>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Cooperación Internacional e inversión pública</w:t>
      </w:r>
    </w:p>
    <w:p w14:paraId="6812F9C9" w14:textId="77777777" w:rsidR="003D6213" w:rsidRPr="003D6213" w:rsidRDefault="003D6213" w:rsidP="00404171">
      <w:pPr>
        <w:pStyle w:val="Sinespaciado"/>
        <w:jc w:val="both"/>
        <w:rPr>
          <w:rFonts w:ascii="Artifex CF" w:hAnsi="Artifex CF" w:cstheme="minorHAnsi"/>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1F20AE5" w14:textId="3EF38467" w:rsidR="00404171" w:rsidRPr="00104B50" w:rsidRDefault="00404171" w:rsidP="00C175D7">
      <w:pPr>
        <w:pStyle w:val="Sinespaciado"/>
        <w:jc w:val="both"/>
        <w:rPr>
          <w:rFonts w:ascii="Artifex CF" w:hAnsi="Artifex CF" w:cstheme="minorHAnsi"/>
          <w:sz w:val="24"/>
          <w:szCs w:val="24"/>
          <w:lang w:val="es-DO"/>
        </w:rPr>
      </w:pPr>
      <w:r w:rsidRPr="00104B50">
        <w:rPr>
          <w:rFonts w:ascii="Artifex CF" w:hAnsi="Artifex CF" w:cstheme="minorHAnsi"/>
          <w:sz w:val="24"/>
          <w:szCs w:val="24"/>
          <w:lang w:val="es-DO"/>
        </w:rPr>
        <w:t>Para el año 2021, un total de 452 (97.0 %) iniciativas de cooperación internacional</w:t>
      </w:r>
      <w:r w:rsidR="00CB69E0" w:rsidRPr="00104B50">
        <w:rPr>
          <w:rFonts w:ascii="Artifex CF" w:hAnsi="Artifex CF" w:cstheme="minorHAnsi"/>
          <w:sz w:val="24"/>
          <w:szCs w:val="24"/>
          <w:lang w:val="es-DO"/>
        </w:rPr>
        <w:t xml:space="preserve"> </w:t>
      </w:r>
      <w:r w:rsidRPr="00104B50">
        <w:rPr>
          <w:rFonts w:ascii="Artifex CF" w:hAnsi="Artifex CF" w:cstheme="minorHAnsi"/>
          <w:sz w:val="24"/>
          <w:szCs w:val="24"/>
          <w:lang w:val="es-DO"/>
        </w:rPr>
        <w:t>vigente se</w:t>
      </w:r>
      <w:r w:rsidR="00CB69E0" w:rsidRPr="00104B50">
        <w:rPr>
          <w:rFonts w:ascii="Artifex CF" w:hAnsi="Artifex CF" w:cstheme="minorHAnsi"/>
          <w:sz w:val="24"/>
          <w:szCs w:val="24"/>
          <w:lang w:val="es-DO"/>
        </w:rPr>
        <w:t xml:space="preserve"> </w:t>
      </w:r>
      <w:r w:rsidRPr="00104B50">
        <w:rPr>
          <w:rFonts w:ascii="Artifex CF" w:hAnsi="Artifex CF" w:cstheme="minorHAnsi"/>
          <w:sz w:val="24"/>
          <w:szCs w:val="24"/>
          <w:lang w:val="es-DO"/>
        </w:rPr>
        <w:t>relacionaron con algún Eje de la END. El Eje 2 tiene la mayor proporción</w:t>
      </w:r>
      <w:r w:rsidR="00CB69E0" w:rsidRPr="00104B50">
        <w:rPr>
          <w:rFonts w:ascii="Artifex CF" w:hAnsi="Artifex CF" w:cstheme="minorHAnsi"/>
          <w:sz w:val="24"/>
          <w:szCs w:val="24"/>
          <w:lang w:val="es-DO"/>
        </w:rPr>
        <w:t xml:space="preserve"> </w:t>
      </w:r>
      <w:r w:rsidRPr="00104B50">
        <w:rPr>
          <w:rFonts w:ascii="Artifex CF" w:hAnsi="Artifex CF" w:cstheme="minorHAnsi"/>
          <w:sz w:val="24"/>
          <w:szCs w:val="24"/>
          <w:lang w:val="es-DO"/>
        </w:rPr>
        <w:t>de iniciativas vinculadas, con un 39.5 %, mientras que al Eje 3 se relaciona el 23.6%, al Eje 1, 17.6 %; y al Eje 4, 16.3 %.</w:t>
      </w:r>
    </w:p>
    <w:p w14:paraId="0832C6E5" w14:textId="77777777" w:rsidR="008150A3" w:rsidRPr="00104B50" w:rsidRDefault="008150A3" w:rsidP="00C175D7">
      <w:pPr>
        <w:pStyle w:val="Sinespaciado"/>
        <w:jc w:val="both"/>
        <w:rPr>
          <w:rFonts w:ascii="Artifex CF" w:hAnsi="Artifex CF" w:cstheme="minorHAnsi"/>
          <w:sz w:val="24"/>
          <w:szCs w:val="24"/>
          <w:lang w:val="es-DO"/>
        </w:rPr>
      </w:pPr>
    </w:p>
    <w:p w14:paraId="42139C96" w14:textId="76C19334" w:rsidR="008D5F6F" w:rsidRPr="00104B50" w:rsidRDefault="008D5F6F" w:rsidP="00C175D7">
      <w:pPr>
        <w:pStyle w:val="Sinespaciado"/>
        <w:jc w:val="both"/>
        <w:rPr>
          <w:rFonts w:ascii="Artifex CF" w:hAnsi="Artifex CF" w:cstheme="minorHAnsi"/>
          <w:sz w:val="24"/>
          <w:szCs w:val="24"/>
          <w:lang w:val="es-DO"/>
        </w:rPr>
      </w:pPr>
      <w:r w:rsidRPr="00104B50">
        <w:rPr>
          <w:rFonts w:ascii="Artifex CF" w:hAnsi="Artifex CF" w:cstheme="minorHAnsi"/>
          <w:sz w:val="24"/>
          <w:szCs w:val="24"/>
          <w:lang w:val="es-DO"/>
        </w:rPr>
        <w:t>Las iniciativas vinculadas al Eje 1 están centradas principalmente en fortalecimiento institucional, sin embargo, la mayor cantidad de recursos se concentran en la</w:t>
      </w:r>
      <w:r w:rsidR="00A70FD1" w:rsidRPr="00104B50">
        <w:rPr>
          <w:rFonts w:ascii="Artifex CF" w:hAnsi="Artifex CF" w:cstheme="minorHAnsi"/>
          <w:sz w:val="24"/>
          <w:szCs w:val="24"/>
          <w:lang w:val="es-DO"/>
        </w:rPr>
        <w:t xml:space="preserve"> </w:t>
      </w:r>
      <w:r w:rsidRPr="00104B50">
        <w:rPr>
          <w:rFonts w:ascii="Artifex CF" w:hAnsi="Artifex CF" w:cstheme="minorHAnsi"/>
          <w:sz w:val="24"/>
          <w:szCs w:val="24"/>
          <w:lang w:val="es-DO"/>
        </w:rPr>
        <w:lastRenderedPageBreak/>
        <w:t>seguridad ciudadana. En cuanto al Eje 2, Igualdad de derechos y oportunidades</w:t>
      </w:r>
      <w:r w:rsidR="00A70FD1" w:rsidRPr="00104B50">
        <w:rPr>
          <w:rFonts w:ascii="Artifex CF" w:hAnsi="Artifex CF" w:cstheme="minorHAnsi"/>
          <w:sz w:val="24"/>
          <w:szCs w:val="24"/>
          <w:lang w:val="es-DO"/>
        </w:rPr>
        <w:t xml:space="preserve"> </w:t>
      </w:r>
      <w:r w:rsidRPr="00104B50">
        <w:rPr>
          <w:rFonts w:ascii="Artifex CF" w:hAnsi="Artifex CF" w:cstheme="minorHAnsi"/>
          <w:sz w:val="24"/>
          <w:szCs w:val="24"/>
          <w:lang w:val="es-DO"/>
        </w:rPr>
        <w:t>concentra el 38.0 % de las iniciativas, mientras que la salud tiene el 45.1 % de los</w:t>
      </w:r>
      <w:r w:rsidR="00A70FD1" w:rsidRPr="00104B50">
        <w:rPr>
          <w:rFonts w:ascii="Artifex CF" w:hAnsi="Artifex CF" w:cstheme="minorHAnsi"/>
          <w:sz w:val="24"/>
          <w:szCs w:val="24"/>
          <w:lang w:val="es-DO"/>
        </w:rPr>
        <w:t xml:space="preserve"> </w:t>
      </w:r>
      <w:r w:rsidRPr="00104B50">
        <w:rPr>
          <w:rFonts w:ascii="Artifex CF" w:hAnsi="Artifex CF" w:cstheme="minorHAnsi"/>
          <w:sz w:val="24"/>
          <w:szCs w:val="24"/>
          <w:lang w:val="es-DO"/>
        </w:rPr>
        <w:t>recursos asignados. El Eje 3 agrupa el mayor número de iniciativas y de recursos</w:t>
      </w:r>
      <w:r w:rsidR="00C90564" w:rsidRPr="00104B50">
        <w:rPr>
          <w:rFonts w:ascii="Artifex CF" w:hAnsi="Artifex CF" w:cstheme="minorHAnsi"/>
          <w:sz w:val="24"/>
          <w:szCs w:val="24"/>
          <w:lang w:val="es-DO"/>
        </w:rPr>
        <w:t xml:space="preserve"> asociadas a los temas de estructura productiva y competitividad. Similar ocurre</w:t>
      </w:r>
      <w:r w:rsidR="00A70FD1" w:rsidRPr="00104B50">
        <w:rPr>
          <w:rFonts w:ascii="Artifex CF" w:hAnsi="Artifex CF" w:cstheme="minorHAnsi"/>
          <w:sz w:val="24"/>
          <w:szCs w:val="24"/>
          <w:lang w:val="es-DO"/>
        </w:rPr>
        <w:t xml:space="preserve"> </w:t>
      </w:r>
      <w:r w:rsidR="00C90564" w:rsidRPr="00104B50">
        <w:rPr>
          <w:rFonts w:ascii="Artifex CF" w:hAnsi="Artifex CF" w:cstheme="minorHAnsi"/>
          <w:sz w:val="24"/>
          <w:szCs w:val="24"/>
          <w:lang w:val="es-DO"/>
        </w:rPr>
        <w:t>en el Eje 4, donde las iniciativas y los recursos apuntan hacia el Manejo sostenible</w:t>
      </w:r>
      <w:r w:rsidR="00A70FD1" w:rsidRPr="00104B50">
        <w:rPr>
          <w:rFonts w:ascii="Artifex CF" w:hAnsi="Artifex CF" w:cstheme="minorHAnsi"/>
          <w:sz w:val="24"/>
          <w:szCs w:val="24"/>
          <w:lang w:val="es-DO"/>
        </w:rPr>
        <w:t xml:space="preserve"> </w:t>
      </w:r>
      <w:r w:rsidR="00C90564" w:rsidRPr="00104B50">
        <w:rPr>
          <w:rFonts w:ascii="Artifex CF" w:hAnsi="Artifex CF" w:cstheme="minorHAnsi"/>
          <w:sz w:val="24"/>
          <w:szCs w:val="24"/>
          <w:lang w:val="es-DO"/>
        </w:rPr>
        <w:t>del medioambiente.</w:t>
      </w:r>
    </w:p>
    <w:p w14:paraId="19DBD2F2" w14:textId="77777777" w:rsidR="008150A3" w:rsidRPr="00104B50" w:rsidRDefault="008150A3" w:rsidP="00C175D7">
      <w:pPr>
        <w:pStyle w:val="Sinespaciado"/>
        <w:jc w:val="both"/>
        <w:rPr>
          <w:rFonts w:ascii="Artifex CF" w:hAnsi="Artifex CF" w:cstheme="minorHAnsi"/>
          <w:sz w:val="24"/>
          <w:szCs w:val="24"/>
          <w:lang w:val="es-DO"/>
        </w:rPr>
      </w:pPr>
    </w:p>
    <w:p w14:paraId="373771E5" w14:textId="535CC3A5" w:rsidR="00542C0F" w:rsidRPr="00104B50" w:rsidRDefault="008150A3" w:rsidP="00C175D7">
      <w:pPr>
        <w:pStyle w:val="Sinespaciado"/>
        <w:jc w:val="both"/>
        <w:rPr>
          <w:rFonts w:ascii="Artifex CF" w:hAnsi="Artifex CF" w:cstheme="minorHAnsi"/>
          <w:sz w:val="24"/>
          <w:szCs w:val="24"/>
          <w:lang w:val="es-DO"/>
        </w:rPr>
      </w:pPr>
      <w:r w:rsidRPr="00104B50">
        <w:rPr>
          <w:rFonts w:ascii="Artifex CF" w:hAnsi="Artifex CF" w:cstheme="minorHAnsi"/>
          <w:sz w:val="24"/>
          <w:szCs w:val="24"/>
          <w:lang w:val="es-DO"/>
        </w:rPr>
        <w:t>A</w:t>
      </w:r>
      <w:r w:rsidR="00542C0F" w:rsidRPr="00104B50">
        <w:rPr>
          <w:rFonts w:ascii="Artifex CF" w:hAnsi="Artifex CF" w:cstheme="minorHAnsi"/>
          <w:sz w:val="24"/>
          <w:szCs w:val="24"/>
          <w:lang w:val="es-DO"/>
        </w:rPr>
        <w:t xml:space="preserve"> inversión pública ejecutada durante el 2021 consideró 728 proyectos de inversión. De estos, el 62.8 % correspondió al Eje 2 de la END, el 17.9 % al Eje 3, 10 % al Eje 1 y para el Eje 4, el 9.3 % de los proyectos.</w:t>
      </w:r>
    </w:p>
    <w:p w14:paraId="770ADC5D" w14:textId="77777777" w:rsidR="008150A3" w:rsidRPr="00104B50" w:rsidRDefault="008150A3" w:rsidP="00C175D7">
      <w:pPr>
        <w:pStyle w:val="Sinespaciado"/>
        <w:jc w:val="both"/>
        <w:rPr>
          <w:rFonts w:ascii="Artifex CF" w:hAnsi="Artifex CF" w:cstheme="minorHAnsi"/>
          <w:sz w:val="24"/>
          <w:szCs w:val="24"/>
          <w:lang w:val="es-DO"/>
        </w:rPr>
      </w:pPr>
    </w:p>
    <w:p w14:paraId="52E34C2F" w14:textId="392C7763" w:rsidR="008150A3" w:rsidRPr="00717498" w:rsidRDefault="00542C0F" w:rsidP="008150A3">
      <w:pPr>
        <w:pStyle w:val="Sinespaciado"/>
        <w:jc w:val="both"/>
        <w:rPr>
          <w:rFonts w:ascii="Artifex CF" w:hAnsi="Artifex CF" w:cstheme="minorHAnsi"/>
          <w:sz w:val="24"/>
          <w:szCs w:val="24"/>
          <w:lang w:val="es-DO"/>
        </w:rPr>
      </w:pPr>
      <w:r w:rsidRPr="00104B50">
        <w:rPr>
          <w:rFonts w:ascii="Artifex CF" w:hAnsi="Artifex CF" w:cstheme="minorHAnsi"/>
          <w:sz w:val="24"/>
          <w:szCs w:val="24"/>
          <w:lang w:val="es-DO"/>
        </w:rPr>
        <w:t>El presupuesto ejecutado de los proyectos de inversión pública durante el 2021 fue de unos RD$50,926 millones. El 46.5 % se destinaron al tercer Eje, para un monto de RD$23,664 millones, en el Eje 2 se invirtieron RD$18,797 millones (36.9%), para el Eje 4 RD$7,294 millones (14.3 %) y en menor medida el primer Eje estratégico con RD$1,170 millones (2.3 %).</w:t>
      </w:r>
      <w:r w:rsidR="000637E3" w:rsidRPr="00104B50">
        <w:rPr>
          <w:rFonts w:ascii="Artifex CF" w:hAnsi="Artifex CF"/>
          <w:sz w:val="24"/>
          <w:szCs w:val="24"/>
          <w:lang w:val="es-DO"/>
        </w:rPr>
        <w:t xml:space="preserve"> </w:t>
      </w:r>
      <w:r w:rsidR="000637E3" w:rsidRPr="00104B50">
        <w:rPr>
          <w:rFonts w:ascii="Artifex CF" w:hAnsi="Artifex CF" w:cstheme="minorHAnsi"/>
          <w:sz w:val="24"/>
          <w:szCs w:val="24"/>
          <w:lang w:val="es-DO"/>
        </w:rPr>
        <w:t>La mayor cantidad de proyectos del Eje institucional se enfocaron en los temas de seguridad ciudadana (44); para el Eje 2 en los sectores de educación y vivienda</w:t>
      </w:r>
      <w:r w:rsidR="00C175D7" w:rsidRPr="00104B50">
        <w:rPr>
          <w:rFonts w:ascii="Artifex CF" w:hAnsi="Artifex CF" w:cstheme="minorHAnsi"/>
          <w:sz w:val="24"/>
          <w:szCs w:val="24"/>
          <w:lang w:val="es-DO"/>
        </w:rPr>
        <w:t xml:space="preserve"> </w:t>
      </w:r>
      <w:r w:rsidR="000637E3" w:rsidRPr="00104B50">
        <w:rPr>
          <w:rFonts w:ascii="Artifex CF" w:hAnsi="Artifex CF" w:cstheme="minorHAnsi"/>
          <w:sz w:val="24"/>
          <w:szCs w:val="24"/>
          <w:lang w:val="es-DO"/>
        </w:rPr>
        <w:t>(162 y 104, respectivamente); competitividad e innovación concentró 91 de los 130</w:t>
      </w:r>
      <w:r w:rsidR="008150A3" w:rsidRPr="00104B50">
        <w:rPr>
          <w:rFonts w:ascii="Artifex CF" w:hAnsi="Artifex CF" w:cstheme="minorHAnsi"/>
          <w:sz w:val="24"/>
          <w:szCs w:val="24"/>
          <w:lang w:val="es-DO"/>
        </w:rPr>
        <w:t xml:space="preserve"> </w:t>
      </w:r>
      <w:r w:rsidR="000637E3" w:rsidRPr="00104B50">
        <w:rPr>
          <w:rFonts w:ascii="Artifex CF" w:hAnsi="Artifex CF" w:cstheme="minorHAnsi"/>
          <w:sz w:val="24"/>
          <w:szCs w:val="24"/>
          <w:lang w:val="es-DO"/>
        </w:rPr>
        <w:t>proyectos correspondientes al Eje productivo; mientras que en el Eje 4, la mayor parte de los proyectos (60) se enfocaron en el manejo del medioambiente.</w:t>
      </w:r>
    </w:p>
    <w:p w14:paraId="7C16B999" w14:textId="77777777" w:rsidR="008150A3" w:rsidRPr="00104B50" w:rsidRDefault="008150A3" w:rsidP="008150A3">
      <w:pPr>
        <w:pStyle w:val="Sinespaciado"/>
        <w:jc w:val="both"/>
        <w:rPr>
          <w:rFonts w:ascii="Artifex CF" w:hAnsi="Artifex CF"/>
          <w:b/>
          <w:bCs/>
          <w:sz w:val="24"/>
          <w:szCs w:val="24"/>
          <w:lang w:val="es-DO"/>
        </w:rPr>
      </w:pPr>
    </w:p>
    <w:p w14:paraId="078D4DE0" w14:textId="73DC4D41" w:rsidR="008150A3" w:rsidRPr="00104B50" w:rsidRDefault="00EE1C5E" w:rsidP="00FC759C">
      <w:pPr>
        <w:pStyle w:val="Sinespaciado"/>
        <w:jc w:val="both"/>
        <w:rPr>
          <w:rFonts w:ascii="Artifex CF" w:hAnsi="Artifex CF"/>
          <w:b/>
          <w:bCs/>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B50">
        <w:rPr>
          <w:rFonts w:ascii="Artifex CF" w:hAnsi="Artifex CF"/>
          <w:b/>
          <w:bCs/>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¿Cómo podría incorporarse e integrarse el derecho al desarrollo en otras agendas relevantes (incluida la Agenda 2030) a nivel nacional, regional e internacional?</w:t>
      </w:r>
    </w:p>
    <w:p w14:paraId="5FE4AC42" w14:textId="7BB537DB" w:rsidR="7355E439" w:rsidRPr="00104B50" w:rsidRDefault="7355E439" w:rsidP="7355E439">
      <w:pPr>
        <w:pStyle w:val="Sinespaciado"/>
        <w:jc w:val="both"/>
        <w:rPr>
          <w:rFonts w:ascii="Artifex CF" w:hAnsi="Artifex CF"/>
          <w:color w:val="1F3864" w:themeColor="accent1" w:themeShade="80"/>
          <w:sz w:val="24"/>
          <w:szCs w:val="24"/>
          <w:lang w:val="es-DO"/>
        </w:rPr>
      </w:pPr>
    </w:p>
    <w:p w14:paraId="741DEBAA" w14:textId="141B894E" w:rsidR="00EE1C5E" w:rsidRDefault="7355E439" w:rsidP="002D6718">
      <w:pPr>
        <w:spacing w:after="0"/>
        <w:jc w:val="both"/>
        <w:rPr>
          <w:rFonts w:ascii="Artifex CF" w:hAnsi="Artifex CF"/>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B50">
        <w:rPr>
          <w:rFonts w:ascii="Artifex CF" w:eastAsia="Calibri" w:hAnsi="Artifex CF" w:cs="Calibri"/>
          <w:sz w:val="24"/>
          <w:szCs w:val="24"/>
          <w:lang w:val="es-DO"/>
        </w:rPr>
        <w:t>Ampliando las consultas públicas, para abordar problemas persistentes de la sociedad, contando con una mayor participación de grupos vulnerables incluyendo la población migrante.</w:t>
      </w:r>
      <w:r w:rsidR="00717498">
        <w:rPr>
          <w:rFonts w:ascii="Artifex CF" w:hAnsi="Artifex CF"/>
          <w:sz w:val="24"/>
          <w:szCs w:val="24"/>
          <w:lang w:val="es-ES"/>
        </w:rPr>
        <w:t xml:space="preserve"> </w:t>
      </w:r>
      <w:r w:rsidRPr="00104B50">
        <w:rPr>
          <w:rFonts w:ascii="Artifex CF" w:eastAsia="Calibri" w:hAnsi="Artifex CF" w:cs="Calibri"/>
          <w:sz w:val="24"/>
          <w:szCs w:val="24"/>
          <w:lang w:val="es-DO"/>
        </w:rPr>
        <w:t>Monitoreando constantemente la efectividad de las políticas públicas y</w:t>
      </w:r>
      <w:r w:rsidR="00AF3C50">
        <w:rPr>
          <w:rFonts w:ascii="Artifex CF" w:eastAsia="Calibri" w:hAnsi="Artifex CF" w:cs="Calibri"/>
          <w:sz w:val="24"/>
          <w:szCs w:val="24"/>
          <w:lang w:val="es-DO"/>
        </w:rPr>
        <w:t xml:space="preserve"> </w:t>
      </w:r>
      <w:r w:rsidRPr="00104B50">
        <w:rPr>
          <w:rFonts w:ascii="Artifex CF" w:eastAsia="Calibri" w:hAnsi="Artifex CF" w:cs="Calibri"/>
          <w:sz w:val="24"/>
          <w:szCs w:val="24"/>
          <w:lang w:val="es-DO"/>
        </w:rPr>
        <w:t xml:space="preserve">procurando la territorialización al momento de su </w:t>
      </w:r>
      <w:r w:rsidR="00AF3C50" w:rsidRPr="00104B50">
        <w:rPr>
          <w:rFonts w:ascii="Artifex CF" w:eastAsia="Calibri" w:hAnsi="Artifex CF" w:cs="Calibri"/>
          <w:sz w:val="24"/>
          <w:szCs w:val="24"/>
          <w:lang w:val="es-DO"/>
        </w:rPr>
        <w:t>implementación. Implementando</w:t>
      </w:r>
      <w:r w:rsidRPr="00104B50">
        <w:rPr>
          <w:rFonts w:ascii="Artifex CF" w:eastAsia="Calibri" w:hAnsi="Artifex CF" w:cs="Calibri"/>
          <w:sz w:val="24"/>
          <w:szCs w:val="24"/>
          <w:lang w:val="es-DO"/>
        </w:rPr>
        <w:t xml:space="preserve"> un modelo de desarrollo económico que responda a los cambios geopolíticos y </w:t>
      </w:r>
      <w:r w:rsidR="009339C0" w:rsidRPr="00104B50">
        <w:rPr>
          <w:rFonts w:ascii="Artifex CF" w:eastAsia="Calibri" w:hAnsi="Artifex CF" w:cs="Calibri"/>
          <w:sz w:val="24"/>
          <w:szCs w:val="24"/>
          <w:lang w:val="es-DO"/>
        </w:rPr>
        <w:t>las tendencias</w:t>
      </w:r>
      <w:r w:rsidRPr="00104B50">
        <w:rPr>
          <w:rFonts w:ascii="Artifex CF" w:eastAsia="Calibri" w:hAnsi="Artifex CF" w:cs="Calibri"/>
          <w:sz w:val="24"/>
          <w:szCs w:val="24"/>
          <w:lang w:val="es-DO"/>
        </w:rPr>
        <w:t xml:space="preserve"> que se están produciendo en el </w:t>
      </w:r>
      <w:r w:rsidR="00AF3C50" w:rsidRPr="00104B50">
        <w:rPr>
          <w:rFonts w:ascii="Artifex CF" w:eastAsia="Calibri" w:hAnsi="Artifex CF" w:cs="Calibri"/>
          <w:sz w:val="24"/>
          <w:szCs w:val="24"/>
          <w:lang w:val="es-DO"/>
        </w:rPr>
        <w:t>mundo. Incorporando</w:t>
      </w:r>
      <w:r w:rsidRPr="00104B50">
        <w:rPr>
          <w:rFonts w:ascii="Artifex CF" w:eastAsia="Calibri" w:hAnsi="Artifex CF" w:cs="Calibri"/>
          <w:sz w:val="24"/>
          <w:szCs w:val="24"/>
          <w:lang w:val="es-DO"/>
        </w:rPr>
        <w:t xml:space="preserve"> la gestión integral de riesgos en las políticas</w:t>
      </w:r>
      <w:r w:rsidR="009339C0">
        <w:rPr>
          <w:rFonts w:ascii="Artifex CF" w:eastAsia="Calibri" w:hAnsi="Artifex CF" w:cs="Calibri"/>
          <w:sz w:val="24"/>
          <w:szCs w:val="24"/>
          <w:lang w:val="es-DO"/>
        </w:rPr>
        <w:t>,</w:t>
      </w:r>
      <w:r w:rsidRPr="00104B50">
        <w:rPr>
          <w:rFonts w:ascii="Artifex CF" w:eastAsia="Calibri" w:hAnsi="Artifex CF" w:cs="Calibri"/>
          <w:sz w:val="24"/>
          <w:szCs w:val="24"/>
          <w:lang w:val="es-DO"/>
        </w:rPr>
        <w:t xml:space="preserve"> especialmente, en los planes de desarrollo territorial e inversión pública.</w:t>
      </w:r>
      <w:r w:rsidR="00717498">
        <w:rPr>
          <w:rFonts w:ascii="Artifex CF" w:hAnsi="Artifex CF"/>
          <w:sz w:val="24"/>
          <w:szCs w:val="24"/>
          <w:lang w:val="es-ES"/>
        </w:rPr>
        <w:t xml:space="preserve"> </w:t>
      </w:r>
      <w:r w:rsidRPr="00104B50">
        <w:rPr>
          <w:rFonts w:ascii="Artifex CF" w:eastAsia="Calibri" w:hAnsi="Artifex CF" w:cs="Calibri"/>
          <w:sz w:val="24"/>
          <w:szCs w:val="24"/>
          <w:lang w:val="es-DO"/>
        </w:rPr>
        <w:t>Promoviendo el intercambio de experiencia entre los países de la región</w:t>
      </w:r>
      <w:r w:rsidR="00717498">
        <w:rPr>
          <w:rFonts w:ascii="Artifex CF" w:hAnsi="Artifex CF"/>
          <w:sz w:val="24"/>
          <w:szCs w:val="24"/>
          <w:lang w:val="es-ES"/>
        </w:rPr>
        <w:t xml:space="preserve"> </w:t>
      </w:r>
      <w:r w:rsidR="00717498">
        <w:rPr>
          <w:rFonts w:ascii="Artifex CF" w:eastAsia="Calibri" w:hAnsi="Artifex CF" w:cs="Calibri"/>
          <w:sz w:val="24"/>
          <w:szCs w:val="24"/>
          <w:lang w:val="es-DO"/>
        </w:rPr>
        <w:t>a</w:t>
      </w:r>
      <w:r w:rsidRPr="00104B50">
        <w:rPr>
          <w:rFonts w:ascii="Artifex CF" w:eastAsia="Calibri" w:hAnsi="Artifex CF" w:cs="Calibri"/>
          <w:sz w:val="24"/>
          <w:szCs w:val="24"/>
          <w:lang w:val="es-DO"/>
        </w:rPr>
        <w:t xml:space="preserve">umentando el acceso a nuevas fuentes de </w:t>
      </w:r>
      <w:r w:rsidR="00717498" w:rsidRPr="00104B50">
        <w:rPr>
          <w:rFonts w:ascii="Artifex CF" w:eastAsia="Calibri" w:hAnsi="Artifex CF" w:cs="Calibri"/>
          <w:sz w:val="24"/>
          <w:szCs w:val="24"/>
          <w:lang w:val="es-DO"/>
        </w:rPr>
        <w:t>financiación</w:t>
      </w:r>
      <w:r w:rsidR="00717498" w:rsidRPr="00104B50">
        <w:rPr>
          <w:rFonts w:ascii="Artifex CF" w:hAnsi="Artifex CF"/>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Prioridades</w:t>
      </w:r>
      <w:r w:rsidR="00EE1C5E" w:rsidRPr="00104B50">
        <w:rPr>
          <w:rFonts w:ascii="Artifex CF" w:hAnsi="Artifex CF"/>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temáticas para el 2023-2026</w:t>
      </w:r>
      <w:r w:rsidR="002D6718">
        <w:rPr>
          <w:rFonts w:ascii="Artifex CF" w:hAnsi="Artifex CF"/>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58EEFF7" w14:textId="77777777" w:rsidR="009339C0" w:rsidRDefault="009339C0" w:rsidP="002D6718">
      <w:pPr>
        <w:spacing w:after="0"/>
        <w:jc w:val="both"/>
        <w:rPr>
          <w:rFonts w:ascii="Artifex CF" w:hAnsi="Artifex CF"/>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CF066B3" w14:textId="77777777" w:rsidR="009339C0" w:rsidRPr="00717498" w:rsidRDefault="009339C0" w:rsidP="002D6718">
      <w:pPr>
        <w:spacing w:after="0"/>
        <w:jc w:val="both"/>
        <w:rPr>
          <w:rFonts w:ascii="Artifex CF" w:hAnsi="Artifex CF"/>
          <w:sz w:val="24"/>
          <w:szCs w:val="24"/>
          <w:lang w:val="es-ES"/>
        </w:rPr>
      </w:pPr>
    </w:p>
    <w:p w14:paraId="4A686A44" w14:textId="77777777" w:rsidR="00EE1C5E" w:rsidRPr="00104B50" w:rsidRDefault="00EE1C5E" w:rsidP="00EE1C5E">
      <w:pPr>
        <w:pStyle w:val="Sinespaciado"/>
        <w:ind w:left="720"/>
        <w:jc w:val="both"/>
        <w:rPr>
          <w:rFonts w:ascii="Artifex CF" w:hAnsi="Artifex CF"/>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3E5FA4A" w14:textId="12935C5F" w:rsidR="00EE1C5E" w:rsidRPr="00104B50" w:rsidRDefault="00EE1C5E" w:rsidP="00FC759C">
      <w:pPr>
        <w:pStyle w:val="Sinespaciado"/>
        <w:jc w:val="both"/>
        <w:rPr>
          <w:rFonts w:ascii="Artifex CF" w:hAnsi="Artifex CF"/>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B50">
        <w:rPr>
          <w:rFonts w:ascii="Artifex CF" w:hAnsi="Artifex CF"/>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w:t>
      </w:r>
      <w:r w:rsidRPr="006720BE">
        <w:rPr>
          <w:rFonts w:ascii="Artifex CF" w:hAnsi="Artifex CF"/>
          <w:b/>
          <w:bCs/>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Qué medidas deberían adoptarse para garantizar la integración del derecho al desarrollo al desarrollo en otras agendas como los Objetivos de Desarrollo </w:t>
      </w:r>
      <w:r w:rsidR="00F84F64" w:rsidRPr="006720BE">
        <w:rPr>
          <w:rFonts w:ascii="Artifex CF" w:hAnsi="Artifex CF"/>
          <w:b/>
          <w:bCs/>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Sostenible</w:t>
      </w:r>
      <w:r w:rsidR="00F84F64">
        <w:rPr>
          <w:rFonts w:ascii="Artifex CF" w:hAnsi="Artifex CF"/>
          <w:sz w:val="24"/>
          <w:szCs w:val="24"/>
          <w:lang w:val="es-D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7D7AA01A" w14:textId="2B2427B9" w:rsidR="7355E439" w:rsidRPr="00104B50" w:rsidRDefault="7355E439" w:rsidP="7355E439">
      <w:pPr>
        <w:pStyle w:val="Sinespaciado"/>
        <w:jc w:val="both"/>
        <w:rPr>
          <w:rFonts w:ascii="Artifex CF" w:hAnsi="Artifex CF"/>
          <w:sz w:val="24"/>
          <w:szCs w:val="24"/>
          <w:lang w:val="es-DO"/>
        </w:rPr>
      </w:pPr>
    </w:p>
    <w:p w14:paraId="0A7F2696" w14:textId="0592CAF3" w:rsidR="7355E439" w:rsidRDefault="7355E439" w:rsidP="7355E439">
      <w:pPr>
        <w:spacing w:after="0"/>
        <w:jc w:val="both"/>
        <w:rPr>
          <w:rFonts w:ascii="Artifex CF" w:hAnsi="Artifex CF"/>
          <w:sz w:val="24"/>
          <w:szCs w:val="24"/>
          <w:lang w:val="es-ES"/>
        </w:rPr>
      </w:pPr>
      <w:r w:rsidRPr="00104B50">
        <w:rPr>
          <w:rFonts w:ascii="Artifex CF" w:eastAsia="Calibri" w:hAnsi="Artifex CF" w:cs="Calibri"/>
          <w:sz w:val="24"/>
          <w:szCs w:val="24"/>
          <w:lang w:val="es-DO"/>
        </w:rPr>
        <w:t>Diseñar políticas de integrales población que incluyan (migración interna y externa, envejecimiento de la población entre otras)</w:t>
      </w:r>
    </w:p>
    <w:p w14:paraId="3BC8DFC0" w14:textId="77777777" w:rsidR="006720BE" w:rsidRPr="00104B50" w:rsidRDefault="006720BE" w:rsidP="7355E439">
      <w:pPr>
        <w:spacing w:after="0"/>
        <w:jc w:val="both"/>
        <w:rPr>
          <w:rFonts w:ascii="Artifex CF" w:hAnsi="Artifex CF"/>
          <w:sz w:val="24"/>
          <w:szCs w:val="24"/>
          <w:lang w:val="es-ES"/>
        </w:rPr>
      </w:pPr>
    </w:p>
    <w:p w14:paraId="1768C858" w14:textId="4A603184" w:rsidR="7355E439" w:rsidRPr="00104B50" w:rsidRDefault="7355E439" w:rsidP="004843BA">
      <w:pPr>
        <w:spacing w:after="0"/>
        <w:rPr>
          <w:rFonts w:ascii="Artifex CF" w:hAnsi="Artifex CF"/>
          <w:sz w:val="24"/>
          <w:szCs w:val="24"/>
          <w:lang w:val="es-ES"/>
        </w:rPr>
      </w:pPr>
      <w:r w:rsidRPr="00104B50">
        <w:rPr>
          <w:rFonts w:ascii="Artifex CF" w:eastAsia="Calibri" w:hAnsi="Artifex CF" w:cs="Calibri"/>
          <w:sz w:val="24"/>
          <w:szCs w:val="24"/>
          <w:lang w:val="es-DO"/>
        </w:rPr>
        <w:t>Fortalecer</w:t>
      </w:r>
      <w:r w:rsidR="004843BA">
        <w:rPr>
          <w:rFonts w:ascii="Artifex CF" w:eastAsia="Calibri" w:hAnsi="Artifex CF" w:cs="Calibri"/>
          <w:sz w:val="24"/>
          <w:szCs w:val="24"/>
          <w:lang w:val="es-DO"/>
        </w:rPr>
        <w:t xml:space="preserve"> </w:t>
      </w:r>
      <w:r w:rsidRPr="00104B50">
        <w:rPr>
          <w:rFonts w:ascii="Artifex CF" w:eastAsia="Calibri" w:hAnsi="Artifex CF" w:cs="Calibri"/>
          <w:sz w:val="24"/>
          <w:szCs w:val="24"/>
          <w:lang w:val="es-DO"/>
        </w:rPr>
        <w:t>la cooperación Sur-Sur</w:t>
      </w:r>
      <w:r w:rsidR="004843BA">
        <w:rPr>
          <w:rFonts w:ascii="Artifex CF" w:hAnsi="Artifex CF"/>
          <w:sz w:val="24"/>
          <w:szCs w:val="24"/>
          <w:lang w:val="es-ES"/>
        </w:rPr>
        <w:t xml:space="preserve">, </w:t>
      </w:r>
      <w:r w:rsidR="004843BA">
        <w:rPr>
          <w:rFonts w:ascii="Artifex CF" w:eastAsia="Calibri" w:hAnsi="Artifex CF" w:cs="Calibri"/>
          <w:sz w:val="24"/>
          <w:szCs w:val="24"/>
          <w:lang w:val="es-DO"/>
        </w:rPr>
        <w:t>r</w:t>
      </w:r>
      <w:r w:rsidRPr="00104B50">
        <w:rPr>
          <w:rFonts w:ascii="Artifex CF" w:eastAsia="Calibri" w:hAnsi="Artifex CF" w:cs="Calibri"/>
          <w:sz w:val="24"/>
          <w:szCs w:val="24"/>
          <w:lang w:val="es-DO"/>
        </w:rPr>
        <w:t>evisar la arquitectura financiera internacional</w:t>
      </w:r>
      <w:r w:rsidR="004843BA">
        <w:rPr>
          <w:rFonts w:ascii="Artifex CF" w:eastAsia="Calibri" w:hAnsi="Artifex CF" w:cs="Calibri"/>
          <w:sz w:val="24"/>
          <w:szCs w:val="24"/>
          <w:lang w:val="es-DO"/>
        </w:rPr>
        <w:t xml:space="preserve"> </w:t>
      </w:r>
      <w:r w:rsidRPr="00104B50">
        <w:rPr>
          <w:rFonts w:ascii="Artifex CF" w:eastAsia="Calibri" w:hAnsi="Artifex CF" w:cs="Calibri"/>
          <w:sz w:val="24"/>
          <w:szCs w:val="24"/>
          <w:lang w:val="es-DO"/>
        </w:rPr>
        <w:t>Eficientizar la Cooperación Internacional</w:t>
      </w:r>
      <w:r w:rsidR="004843BA">
        <w:rPr>
          <w:rFonts w:ascii="Artifex CF" w:eastAsia="Calibri" w:hAnsi="Artifex CF" w:cs="Calibri"/>
          <w:sz w:val="24"/>
          <w:szCs w:val="24"/>
          <w:lang w:val="es-DO"/>
        </w:rPr>
        <w:t>, c</w:t>
      </w:r>
      <w:r w:rsidRPr="00104B50">
        <w:rPr>
          <w:rFonts w:ascii="Artifex CF" w:eastAsia="Calibri" w:hAnsi="Artifex CF" w:cs="Calibri"/>
          <w:sz w:val="24"/>
          <w:szCs w:val="24"/>
          <w:lang w:val="es-DO"/>
        </w:rPr>
        <w:t>reación de un fondo de emergencia ante desastres y el Cambio Climático</w:t>
      </w:r>
      <w:r w:rsidR="004843BA">
        <w:rPr>
          <w:rFonts w:ascii="Artifex CF" w:eastAsia="Calibri" w:hAnsi="Artifex CF" w:cs="Calibri"/>
          <w:sz w:val="24"/>
          <w:szCs w:val="24"/>
          <w:lang w:val="es-DO"/>
        </w:rPr>
        <w:t>, f</w:t>
      </w:r>
      <w:r w:rsidRPr="00104B50">
        <w:rPr>
          <w:rFonts w:ascii="Artifex CF" w:eastAsia="Calibri" w:hAnsi="Artifex CF" w:cs="Calibri"/>
          <w:sz w:val="24"/>
          <w:szCs w:val="24"/>
          <w:lang w:val="es-DO"/>
        </w:rPr>
        <w:t>omentar un modelo económico que promueva la seguridad y soberanía alimentaria, el uso de energías renovables, los empleos del futuro y los mercados locales y regionales</w:t>
      </w:r>
    </w:p>
    <w:p w14:paraId="6A709024" w14:textId="2EE1CF47" w:rsidR="7355E439" w:rsidRPr="00104B50" w:rsidRDefault="7355E439" w:rsidP="7355E439">
      <w:pPr>
        <w:pStyle w:val="Sinespaciado"/>
        <w:jc w:val="both"/>
        <w:rPr>
          <w:rFonts w:ascii="Artifex CF" w:hAnsi="Artifex CF"/>
          <w:sz w:val="24"/>
          <w:szCs w:val="24"/>
          <w:lang w:val="es-DO"/>
        </w:rPr>
      </w:pPr>
    </w:p>
    <w:p w14:paraId="3F38A3D1" w14:textId="01D06EFB" w:rsidR="7355E439" w:rsidRDefault="7355E439" w:rsidP="7355E439">
      <w:pPr>
        <w:pStyle w:val="Sinespaciado"/>
        <w:jc w:val="both"/>
        <w:rPr>
          <w:rFonts w:ascii="Artifex CF" w:eastAsiaTheme="majorEastAsia" w:hAnsi="Artifex CF" w:cstheme="majorBidi"/>
          <w:b/>
          <w:bCs/>
          <w:sz w:val="24"/>
          <w:szCs w:val="24"/>
          <w:lang w:val="es-DO"/>
        </w:rPr>
      </w:pPr>
      <w:r w:rsidRPr="00104B50">
        <w:rPr>
          <w:rFonts w:ascii="Artifex CF" w:eastAsia="Calibri" w:hAnsi="Artifex CF" w:cs="Calibri"/>
          <w:b/>
          <w:bCs/>
          <w:sz w:val="24"/>
          <w:szCs w:val="24"/>
          <w:lang w:val="es-DO"/>
        </w:rPr>
        <w:t xml:space="preserve">¿Cuáles son los principales retos pendientes en la realización efectiva del derecho al desarrollo a diferentes niveles </w:t>
      </w:r>
    </w:p>
    <w:p w14:paraId="55F57E60" w14:textId="77777777" w:rsidR="009339C0" w:rsidRPr="009339C0" w:rsidRDefault="009339C0" w:rsidP="7355E439">
      <w:pPr>
        <w:pStyle w:val="Sinespaciado"/>
        <w:jc w:val="both"/>
        <w:rPr>
          <w:rFonts w:ascii="Artifex CF" w:eastAsiaTheme="majorEastAsia" w:hAnsi="Artifex CF" w:cstheme="majorBidi"/>
          <w:b/>
          <w:bCs/>
          <w:sz w:val="24"/>
          <w:szCs w:val="24"/>
          <w:lang w:val="es-DO"/>
        </w:rPr>
      </w:pPr>
    </w:p>
    <w:p w14:paraId="7C009D87" w14:textId="11235638" w:rsidR="008150A3" w:rsidRPr="009339C0" w:rsidRDefault="7355E439" w:rsidP="009339C0">
      <w:pPr>
        <w:spacing w:line="257" w:lineRule="auto"/>
        <w:jc w:val="both"/>
        <w:rPr>
          <w:rFonts w:ascii="Artifex CF" w:eastAsiaTheme="majorEastAsia" w:hAnsi="Artifex CF" w:cstheme="majorBidi"/>
          <w:sz w:val="24"/>
          <w:szCs w:val="24"/>
          <w:lang w:val="es-DO"/>
        </w:rPr>
      </w:pPr>
      <w:r w:rsidRPr="00104B50">
        <w:rPr>
          <w:rFonts w:ascii="Artifex CF" w:eastAsiaTheme="majorEastAsia" w:hAnsi="Artifex CF" w:cstheme="majorBidi"/>
          <w:color w:val="0A0000"/>
          <w:sz w:val="24"/>
          <w:szCs w:val="24"/>
          <w:lang w:val="es-DO"/>
        </w:rPr>
        <w:t xml:space="preserve">En República Dominicana tenemos cuatro desafíos para el desarrollo a largo plazo: lograr prosperidad económica continua, alcanzar más equidad para la cohesión social y territorial, lograr más sostenibilidad y resiliencia y construir </w:t>
      </w:r>
      <w:r w:rsidR="005648D2" w:rsidRPr="00104B50">
        <w:rPr>
          <w:rFonts w:ascii="Artifex CF" w:eastAsiaTheme="majorEastAsia" w:hAnsi="Artifex CF" w:cstheme="majorBidi"/>
          <w:color w:val="0A0000"/>
          <w:sz w:val="24"/>
          <w:szCs w:val="24"/>
          <w:lang w:val="es-DO"/>
        </w:rPr>
        <w:t>más democracia</w:t>
      </w:r>
      <w:r w:rsidRPr="00104B50">
        <w:rPr>
          <w:rFonts w:ascii="Artifex CF" w:eastAsiaTheme="majorEastAsia" w:hAnsi="Artifex CF" w:cstheme="majorBidi"/>
          <w:color w:val="0A0000"/>
          <w:sz w:val="24"/>
          <w:szCs w:val="24"/>
          <w:lang w:val="es-DO"/>
        </w:rPr>
        <w:t xml:space="preserve">. Pavel Isa </w:t>
      </w:r>
      <w:r w:rsidR="009C10C6" w:rsidRPr="00104B50">
        <w:rPr>
          <w:rFonts w:ascii="Artifex CF" w:eastAsiaTheme="majorEastAsia" w:hAnsi="Artifex CF" w:cstheme="majorBidi"/>
          <w:color w:val="0A0000"/>
          <w:sz w:val="24"/>
          <w:szCs w:val="24"/>
          <w:lang w:val="es-DO"/>
        </w:rPr>
        <w:t xml:space="preserve">Contreras, </w:t>
      </w:r>
      <w:r w:rsidR="00D3391C">
        <w:rPr>
          <w:rFonts w:ascii="Artifex CF" w:eastAsiaTheme="majorEastAsia" w:hAnsi="Artifex CF" w:cstheme="majorBidi"/>
          <w:color w:val="0A0000"/>
          <w:sz w:val="24"/>
          <w:szCs w:val="24"/>
          <w:lang w:val="es-DO"/>
        </w:rPr>
        <w:t>ministro</w:t>
      </w:r>
      <w:r w:rsidRPr="00104B50">
        <w:rPr>
          <w:rFonts w:ascii="Artifex CF" w:eastAsiaTheme="majorEastAsia" w:hAnsi="Artifex CF" w:cstheme="majorBidi"/>
          <w:color w:val="0A0000"/>
          <w:sz w:val="24"/>
          <w:szCs w:val="24"/>
          <w:lang w:val="es-DO"/>
        </w:rPr>
        <w:t xml:space="preserve"> de Economía Planificación y Desarrollo. Publicado 6.10.22</w:t>
      </w:r>
    </w:p>
    <w:p w14:paraId="5B0A9183" w14:textId="5F199A79" w:rsidR="008150A3" w:rsidRPr="00104B50" w:rsidRDefault="7355E439" w:rsidP="7355E439">
      <w:pPr>
        <w:spacing w:line="257" w:lineRule="auto"/>
        <w:jc w:val="both"/>
        <w:rPr>
          <w:rFonts w:ascii="Artifex CF" w:eastAsia="Calibri" w:hAnsi="Artifex CF" w:cs="Calibri"/>
          <w:b/>
          <w:bCs/>
          <w:sz w:val="24"/>
          <w:szCs w:val="24"/>
          <w:lang w:val="es-DO"/>
        </w:rPr>
      </w:pPr>
      <w:r w:rsidRPr="00104B50">
        <w:rPr>
          <w:rFonts w:ascii="Artifex CF" w:eastAsia="Calibri" w:hAnsi="Artifex CF" w:cs="Calibri"/>
          <w:b/>
          <w:bCs/>
          <w:sz w:val="24"/>
          <w:szCs w:val="24"/>
          <w:lang w:val="es-DO"/>
        </w:rPr>
        <w:t>¿Cómo puede aprovecharse el papel de actores como las agencias de desarrollo, las instituciones financieras internacionales, las empresas, las universidades, la sociedad civil y los medios de comunicación para contribuir a la realización del derecho al desarrollo?</w:t>
      </w:r>
    </w:p>
    <w:p w14:paraId="485FE33D" w14:textId="1C29C7A6" w:rsidR="008150A3" w:rsidRPr="00104B50" w:rsidRDefault="7355E439" w:rsidP="7355E439">
      <w:pPr>
        <w:spacing w:line="257" w:lineRule="auto"/>
        <w:jc w:val="both"/>
        <w:rPr>
          <w:rFonts w:ascii="Artifex CF" w:hAnsi="Artifex CF"/>
          <w:sz w:val="24"/>
          <w:szCs w:val="24"/>
          <w:lang w:val="es-ES"/>
        </w:rPr>
      </w:pPr>
      <w:r w:rsidRPr="00104B50">
        <w:rPr>
          <w:rFonts w:ascii="Artifex CF" w:eastAsia="Calibri" w:hAnsi="Artifex CF" w:cs="Calibri"/>
          <w:sz w:val="24"/>
          <w:szCs w:val="24"/>
          <w:lang w:val="es-DO"/>
        </w:rPr>
        <w:t>Para abordar el desarrollo sostenible y sobre todo el derecho a dicho desarrollo, se debe acometer desde la perspectiva de un Pequeño Estado Insular en Desarrollo con un alto nivel de desigualdad, para dentro de este contexto enmarcar las ideas.</w:t>
      </w:r>
    </w:p>
    <w:p w14:paraId="2BF6E5F8" w14:textId="4C1A26C6" w:rsidR="008150A3" w:rsidRPr="00104B50" w:rsidRDefault="7355E439" w:rsidP="7355E439">
      <w:pPr>
        <w:spacing w:line="257" w:lineRule="auto"/>
        <w:jc w:val="both"/>
        <w:rPr>
          <w:rFonts w:ascii="Artifex CF" w:hAnsi="Artifex CF"/>
          <w:sz w:val="24"/>
          <w:szCs w:val="24"/>
        </w:rPr>
      </w:pPr>
      <w:r w:rsidRPr="00104B50">
        <w:rPr>
          <w:rFonts w:ascii="Artifex CF" w:eastAsia="Calibri" w:hAnsi="Artifex CF" w:cs="Calibri"/>
          <w:sz w:val="24"/>
          <w:szCs w:val="24"/>
          <w:lang w:val="es-DO"/>
        </w:rPr>
        <w:t>Se debe considerar:</w:t>
      </w:r>
    </w:p>
    <w:p w14:paraId="16A051B8" w14:textId="33BB53A9" w:rsidR="008150A3" w:rsidRPr="009B31BF" w:rsidRDefault="7355E439" w:rsidP="009B31BF">
      <w:pPr>
        <w:spacing w:line="257" w:lineRule="auto"/>
        <w:jc w:val="both"/>
        <w:rPr>
          <w:rFonts w:ascii="Artifex CF" w:eastAsia="Calibri" w:hAnsi="Artifex CF" w:cs="Calibri"/>
          <w:sz w:val="24"/>
          <w:szCs w:val="24"/>
          <w:lang w:val="es-DO"/>
        </w:rPr>
      </w:pPr>
      <w:r w:rsidRPr="009B31BF">
        <w:rPr>
          <w:rFonts w:ascii="Artifex CF" w:eastAsia="Calibri" w:hAnsi="Artifex CF" w:cs="Calibri"/>
          <w:sz w:val="24"/>
          <w:szCs w:val="24"/>
          <w:lang w:val="es-DO"/>
        </w:rPr>
        <w:t>Impulsar sinergias y acciones concretas que promuevan el pasar de las palabras a los hechos.</w:t>
      </w:r>
    </w:p>
    <w:p w14:paraId="4FB6B5A3" w14:textId="5FDF85E8" w:rsidR="008150A3" w:rsidRPr="009B31BF" w:rsidRDefault="7355E439" w:rsidP="009B31BF">
      <w:pPr>
        <w:spacing w:line="257" w:lineRule="auto"/>
        <w:jc w:val="both"/>
        <w:rPr>
          <w:rFonts w:ascii="Artifex CF" w:eastAsia="Calibri" w:hAnsi="Artifex CF" w:cs="Calibri"/>
          <w:sz w:val="24"/>
          <w:szCs w:val="24"/>
          <w:lang w:val="es-DO"/>
        </w:rPr>
      </w:pPr>
      <w:r w:rsidRPr="009B31BF">
        <w:rPr>
          <w:rFonts w:ascii="Artifex CF" w:eastAsia="Calibri" w:hAnsi="Artifex CF" w:cs="Calibri"/>
          <w:sz w:val="24"/>
          <w:szCs w:val="24"/>
          <w:lang w:val="es-DO"/>
        </w:rPr>
        <w:t>Se espera que cada uno de estos actores desempeñen su rol de una forma cabal; lo cual significa que, como parte de su actuación, realice el papel que está llamado a ejecutar de una forma adecuada y orientada a aportar valor agregado en esta meta de derecho al desarrollo.</w:t>
      </w:r>
      <w:r w:rsidR="009B31BF">
        <w:rPr>
          <w:rFonts w:ascii="Artifex CF" w:eastAsia="Calibri" w:hAnsi="Artifex CF" w:cs="Calibri"/>
          <w:sz w:val="24"/>
          <w:szCs w:val="24"/>
          <w:lang w:val="es-DO"/>
        </w:rPr>
        <w:t xml:space="preserve"> </w:t>
      </w:r>
      <w:r w:rsidRPr="009B31BF">
        <w:rPr>
          <w:rFonts w:ascii="Artifex CF" w:eastAsia="Calibri" w:hAnsi="Artifex CF" w:cs="Calibri"/>
          <w:sz w:val="24"/>
          <w:szCs w:val="24"/>
          <w:lang w:val="es-DO"/>
        </w:rPr>
        <w:t>Asumiendo no solamente su compromiso particular, sino que también se conviertan en veedores de las acciones conjuntas de todas las partes aquí mencionadas.</w:t>
      </w:r>
    </w:p>
    <w:p w14:paraId="460C14BA" w14:textId="0F57DF8E" w:rsidR="008150A3" w:rsidRPr="009B31BF" w:rsidRDefault="7355E439" w:rsidP="009B31BF">
      <w:pPr>
        <w:spacing w:line="257" w:lineRule="auto"/>
        <w:jc w:val="both"/>
        <w:rPr>
          <w:rFonts w:ascii="Artifex CF" w:eastAsia="Calibri" w:hAnsi="Artifex CF" w:cs="Calibri"/>
          <w:sz w:val="24"/>
          <w:szCs w:val="24"/>
          <w:lang w:val="es-DO"/>
        </w:rPr>
      </w:pPr>
      <w:r w:rsidRPr="009B31BF">
        <w:rPr>
          <w:rFonts w:ascii="Artifex CF" w:eastAsia="Calibri" w:hAnsi="Artifex CF" w:cs="Calibri"/>
          <w:sz w:val="24"/>
          <w:szCs w:val="24"/>
          <w:lang w:val="es-DO"/>
        </w:rPr>
        <w:lastRenderedPageBreak/>
        <w:t>Exigiendo a las partes institucionales, gobiernos y autoridades competentes o involucradas el cumplimiento de sus deberes como órganos reguladores de las acciones dirigidas hacia las personas como sujeto central del proceso de desarrollo.</w:t>
      </w:r>
    </w:p>
    <w:p w14:paraId="1C5274CA" w14:textId="7BD1EA13" w:rsidR="008150A3" w:rsidRPr="009B31BF" w:rsidRDefault="7355E439" w:rsidP="009B31BF">
      <w:pPr>
        <w:spacing w:line="257" w:lineRule="auto"/>
        <w:jc w:val="both"/>
        <w:rPr>
          <w:rFonts w:ascii="Artifex CF" w:eastAsia="Calibri" w:hAnsi="Artifex CF" w:cs="Calibri"/>
          <w:sz w:val="24"/>
          <w:szCs w:val="24"/>
          <w:lang w:val="es-DO"/>
        </w:rPr>
      </w:pPr>
      <w:r w:rsidRPr="009B31BF">
        <w:rPr>
          <w:rFonts w:ascii="Artifex CF" w:eastAsia="Calibri" w:hAnsi="Artifex CF" w:cs="Calibri"/>
          <w:sz w:val="24"/>
          <w:szCs w:val="24"/>
          <w:lang w:val="es-DO"/>
        </w:rPr>
        <w:t>Asumiendo que el desarrollo es un derecho de las personas, no es un proceso aislado, que se produce en una burbuja; sino que es parte integral de la vida de los seres humanos.</w:t>
      </w:r>
    </w:p>
    <w:p w14:paraId="721CAEA7" w14:textId="2DA0E6C7" w:rsidR="00887361" w:rsidRDefault="7355E439" w:rsidP="004B0A96">
      <w:pPr>
        <w:spacing w:line="257" w:lineRule="auto"/>
        <w:jc w:val="both"/>
        <w:rPr>
          <w:rFonts w:ascii="Artifex CF" w:eastAsia="Calibri" w:hAnsi="Artifex CF" w:cs="Calibri"/>
          <w:sz w:val="24"/>
          <w:szCs w:val="24"/>
          <w:lang w:val="es-DO"/>
        </w:rPr>
      </w:pPr>
      <w:r w:rsidRPr="004B0A96">
        <w:rPr>
          <w:rFonts w:ascii="Artifex CF" w:eastAsia="Calibri" w:hAnsi="Artifex CF" w:cs="Calibri"/>
          <w:sz w:val="24"/>
          <w:szCs w:val="24"/>
          <w:lang w:val="es-DO"/>
        </w:rPr>
        <w:t>Apostar por la innovación, la tecnología y un proceso continuo de reinvención que permita nuevas miradas, nuevos enfoques, desarrollo de nuevas metodologías, así como definir los aceleradores que se requieran para motorizar los cambios necesarios en la sociedad moderna.</w:t>
      </w:r>
    </w:p>
    <w:p w14:paraId="7BFACBA9" w14:textId="3F083DA4" w:rsidR="008150A3" w:rsidRPr="004B0A96" w:rsidRDefault="7355E439" w:rsidP="7355E439">
      <w:pPr>
        <w:jc w:val="both"/>
        <w:rPr>
          <w:rFonts w:ascii="Artifex CF" w:hAnsi="Artifex CF"/>
          <w:sz w:val="24"/>
          <w:szCs w:val="24"/>
          <w:lang w:val="es-ES"/>
        </w:rPr>
      </w:pPr>
      <w:r w:rsidRPr="00104B50">
        <w:rPr>
          <w:rFonts w:ascii="Artifex CF" w:eastAsia="Calibri" w:hAnsi="Artifex CF" w:cs="Calibri"/>
          <w:sz w:val="24"/>
          <w:szCs w:val="24"/>
          <w:lang w:val="es-DO"/>
        </w:rPr>
        <w:t xml:space="preserve"> </w:t>
      </w:r>
      <w:r w:rsidRPr="004B0A96">
        <w:rPr>
          <w:rFonts w:ascii="Artifex CF" w:eastAsia="Calibri" w:hAnsi="Artifex CF" w:cs="Calibri"/>
          <w:sz w:val="24"/>
          <w:szCs w:val="24"/>
          <w:lang w:val="es-DO"/>
        </w:rPr>
        <w:t>¿</w:t>
      </w:r>
      <w:r w:rsidRPr="00F02DFD">
        <w:rPr>
          <w:rFonts w:ascii="Artifex CF" w:eastAsia="Calibri" w:hAnsi="Artifex CF" w:cs="Calibri"/>
          <w:b/>
          <w:bCs/>
          <w:sz w:val="24"/>
          <w:szCs w:val="24"/>
          <w:lang w:val="es-DO"/>
        </w:rPr>
        <w:t xml:space="preserve">Cómo puede aprovecharse el papel de actores como las agencias de desarrollo, las instituciones financieras internacionales, las empresas, las universidades, </w:t>
      </w:r>
      <w:r w:rsidRPr="00F02DFD">
        <w:rPr>
          <w:rFonts w:ascii="Artifex CF" w:eastAsia="Calibri" w:hAnsi="Artifex CF" w:cs="Calibri"/>
          <w:b/>
          <w:bCs/>
          <w:sz w:val="24"/>
          <w:szCs w:val="24"/>
          <w:u w:val="single"/>
          <w:lang w:val="es-DO"/>
        </w:rPr>
        <w:t>la sociedad civil</w:t>
      </w:r>
      <w:r w:rsidRPr="00F02DFD">
        <w:rPr>
          <w:rFonts w:ascii="Artifex CF" w:eastAsia="Calibri" w:hAnsi="Artifex CF" w:cs="Calibri"/>
          <w:b/>
          <w:bCs/>
          <w:sz w:val="24"/>
          <w:szCs w:val="24"/>
          <w:lang w:val="es-DO"/>
        </w:rPr>
        <w:t xml:space="preserve"> y los medios de comunicación para contribuir a la realización del derecho al desarrollo</w:t>
      </w:r>
      <w:r w:rsidRPr="004B0A96">
        <w:rPr>
          <w:rFonts w:ascii="Artifex CF" w:eastAsia="Calibri" w:hAnsi="Artifex CF" w:cs="Calibri"/>
          <w:b/>
          <w:bCs/>
          <w:sz w:val="24"/>
          <w:szCs w:val="24"/>
          <w:lang w:val="es-DO"/>
        </w:rPr>
        <w:t>?</w:t>
      </w:r>
    </w:p>
    <w:p w14:paraId="35876A6B" w14:textId="3A319525" w:rsidR="008150A3" w:rsidRPr="004B0A96" w:rsidRDefault="7355E439" w:rsidP="7355E439">
      <w:pPr>
        <w:jc w:val="both"/>
        <w:rPr>
          <w:rFonts w:ascii="Artifex CF" w:hAnsi="Artifex CF"/>
          <w:sz w:val="24"/>
          <w:szCs w:val="24"/>
          <w:lang w:val="es-ES"/>
        </w:rPr>
      </w:pPr>
      <w:r w:rsidRPr="004B0A96">
        <w:rPr>
          <w:rFonts w:ascii="Artifex CF" w:eastAsia="Calibri" w:hAnsi="Artifex CF" w:cs="Calibri"/>
          <w:sz w:val="24"/>
          <w:szCs w:val="24"/>
          <w:lang w:val="es-DO"/>
        </w:rPr>
        <w:t xml:space="preserve">Las organizaciones de la sociedad civil desempeñan un papel crucial en la realización del derecho al desarrollo debido a sus características únicas de especialización, flexibilidad y diversidad, lo que las convierte en un complemento perfecto para el Estado. </w:t>
      </w:r>
    </w:p>
    <w:p w14:paraId="47B06541" w14:textId="20F89DBF" w:rsidR="008150A3" w:rsidRPr="00104B50" w:rsidRDefault="7355E439" w:rsidP="7355E439">
      <w:pPr>
        <w:jc w:val="both"/>
        <w:rPr>
          <w:rFonts w:ascii="Artifex CF" w:hAnsi="Artifex CF"/>
          <w:sz w:val="24"/>
          <w:szCs w:val="24"/>
          <w:lang w:val="es-ES"/>
        </w:rPr>
      </w:pPr>
      <w:r w:rsidRPr="009339C0">
        <w:rPr>
          <w:rFonts w:ascii="Artifex CF" w:eastAsia="Calibri" w:hAnsi="Artifex CF" w:cs="Calibri"/>
          <w:sz w:val="24"/>
          <w:szCs w:val="24"/>
          <w:lang w:val="es-DO"/>
        </w:rPr>
        <w:t>La sociedad civil puede abogar por políticas y prácticas que promuevan un desarrollo inclusivo y sostenible, garantizando que las personas sean el centro y participen activamente en su propio desarrollo. Además, pueden monitorear el cumplimiento de los compromisos en materia de desarrollo mediante investigaciones, recopilación de datos y generación de informes sobre el impacto de las políticas y prácticas implementadas por actores estatales y no estatales, y cómo contribuyen a generar cambios positivos.</w:t>
      </w:r>
    </w:p>
    <w:p w14:paraId="64A0637B" w14:textId="2CD0E31A" w:rsidR="008150A3" w:rsidRDefault="7355E439" w:rsidP="7355E439">
      <w:pPr>
        <w:jc w:val="both"/>
        <w:rPr>
          <w:rFonts w:ascii="Artifex CF" w:eastAsia="Calibri" w:hAnsi="Artifex CF" w:cs="Calibri"/>
          <w:sz w:val="24"/>
          <w:szCs w:val="24"/>
          <w:lang w:val="es-DO"/>
        </w:rPr>
      </w:pPr>
      <w:r w:rsidRPr="009339C0">
        <w:rPr>
          <w:rFonts w:ascii="Artifex CF" w:eastAsia="Calibri" w:hAnsi="Artifex CF" w:cs="Calibri"/>
          <w:sz w:val="24"/>
          <w:szCs w:val="24"/>
          <w:lang w:val="es-DO"/>
        </w:rPr>
        <w:t>Las asociaciones de la sociedad civil también pueden participar promoviendo la educación, la sensibilización y la movilización en torno al derecho al desarrollo y sus implicaciones para el bienestar de todas las personas. Además, pueden fomentar el diálogo, la solidaridad y la colaboración entre los diferentes actores del desarrollo, incluyendo gobiernos, organizaciones internacionales, sector privado y otros grupos sociales, para crear alianzas que impulsen un desarrollo inclusivo, equitativo y sostenible</w:t>
      </w:r>
      <w:r w:rsidRPr="00EF1D0D">
        <w:rPr>
          <w:rFonts w:ascii="Artifex CF" w:eastAsia="Calibri" w:hAnsi="Artifex CF" w:cs="Calibri"/>
          <w:sz w:val="24"/>
          <w:szCs w:val="24"/>
          <w:lang w:val="es-DO"/>
        </w:rPr>
        <w:t>.</w:t>
      </w:r>
    </w:p>
    <w:p w14:paraId="7AD564D4" w14:textId="77777777" w:rsidR="00F02DFD" w:rsidRPr="00EF1D0D" w:rsidRDefault="00F02DFD" w:rsidP="7355E439">
      <w:pPr>
        <w:jc w:val="both"/>
        <w:rPr>
          <w:rFonts w:ascii="Artifex CF" w:hAnsi="Artifex CF"/>
          <w:sz w:val="24"/>
          <w:szCs w:val="24"/>
          <w:lang w:val="es-ES"/>
        </w:rPr>
      </w:pPr>
    </w:p>
    <w:p w14:paraId="6392DABB" w14:textId="04777D19" w:rsidR="008150A3" w:rsidRPr="00104B50" w:rsidRDefault="008150A3" w:rsidP="7355E439">
      <w:pPr>
        <w:spacing w:line="257" w:lineRule="auto"/>
        <w:jc w:val="both"/>
        <w:rPr>
          <w:rFonts w:ascii="Artifex CF" w:eastAsia="Calibri" w:hAnsi="Artifex CF" w:cs="Calibri"/>
          <w:sz w:val="24"/>
          <w:szCs w:val="24"/>
          <w:lang w:val="es-DO"/>
        </w:rPr>
      </w:pPr>
    </w:p>
    <w:p w14:paraId="22BF19BC" w14:textId="49A986E5" w:rsidR="008150A3" w:rsidRPr="0083424F" w:rsidRDefault="7355E439" w:rsidP="7355E439">
      <w:pPr>
        <w:spacing w:line="257" w:lineRule="auto"/>
        <w:jc w:val="both"/>
        <w:rPr>
          <w:rFonts w:ascii="Artifex CF" w:hAnsi="Artifex CF"/>
          <w:b/>
          <w:bCs/>
          <w:sz w:val="24"/>
          <w:szCs w:val="24"/>
          <w:lang w:val="es-ES"/>
        </w:rPr>
      </w:pPr>
      <w:r w:rsidRPr="0083424F">
        <w:rPr>
          <w:rFonts w:ascii="Artifex CF" w:eastAsia="Calibri" w:hAnsi="Artifex CF" w:cs="Calibri"/>
          <w:b/>
          <w:bCs/>
          <w:sz w:val="24"/>
          <w:szCs w:val="24"/>
          <w:lang w:val="es-DO"/>
        </w:rPr>
        <w:lastRenderedPageBreak/>
        <w:t>¿Qué más se debería hacer para reforzar la cooperación entre los Estados, así como la colaboración con diversos actores no estatales, en la realización del derecho al desarrollo?</w:t>
      </w:r>
    </w:p>
    <w:p w14:paraId="75C8C7DC" w14:textId="3086DBC8" w:rsidR="008150A3" w:rsidRPr="0083424F" w:rsidRDefault="7355E439" w:rsidP="7355E439">
      <w:pPr>
        <w:spacing w:line="257" w:lineRule="auto"/>
        <w:jc w:val="both"/>
        <w:rPr>
          <w:rFonts w:ascii="Artifex CF" w:hAnsi="Artifex CF"/>
          <w:sz w:val="24"/>
          <w:szCs w:val="24"/>
          <w:lang w:val="es-ES"/>
        </w:rPr>
      </w:pPr>
      <w:r w:rsidRPr="0083424F">
        <w:rPr>
          <w:rFonts w:ascii="Artifex CF" w:eastAsia="Calibri" w:hAnsi="Artifex CF" w:cs="Calibri"/>
          <w:sz w:val="24"/>
          <w:szCs w:val="24"/>
          <w:lang w:val="es-DO"/>
        </w:rPr>
        <w:t>Los países debemos actuar de manera coordinada para enfrentar las crisis, ver el cambio climático como un desafío no solo para los PEID, sino también para la sociedad y la economía global.  Para alcanzar el derecho al desarrollo se deben asumir los compromisos climáticos con seriedad, honestidad y voluntad política.  La lucha por la erradicación de la pobreza debería ser una tarea que nos comprometa sinceramente a todos, si aspiramos a alcanzar el pleno desarrollo.</w:t>
      </w:r>
    </w:p>
    <w:p w14:paraId="7E943C8B" w14:textId="621DA5CF" w:rsidR="008150A3" w:rsidRPr="0083424F" w:rsidRDefault="00F02DFD" w:rsidP="7355E439">
      <w:pPr>
        <w:spacing w:line="257" w:lineRule="auto"/>
        <w:jc w:val="both"/>
        <w:rPr>
          <w:rFonts w:ascii="Artifex CF" w:hAnsi="Artifex CF"/>
          <w:sz w:val="24"/>
          <w:szCs w:val="24"/>
          <w:lang w:val="es-ES"/>
        </w:rPr>
      </w:pPr>
      <w:r w:rsidRPr="0083424F">
        <w:rPr>
          <w:rFonts w:ascii="Artifex CF" w:eastAsia="Calibri" w:hAnsi="Artifex CF" w:cs="Calibri"/>
          <w:sz w:val="24"/>
          <w:szCs w:val="24"/>
          <w:lang w:val="es-DO"/>
        </w:rPr>
        <w:t>Asimismo</w:t>
      </w:r>
      <w:r w:rsidR="7355E439" w:rsidRPr="0083424F">
        <w:rPr>
          <w:rFonts w:ascii="Artifex CF" w:eastAsia="Calibri" w:hAnsi="Artifex CF" w:cs="Calibri"/>
          <w:sz w:val="24"/>
          <w:szCs w:val="24"/>
          <w:lang w:val="es-DO"/>
        </w:rPr>
        <w:t>, se deben impulsar los ecosistemas de emprendimiento e innovación y digitalización de procesos nacionales, principalmente en temas asociados a la salud, la educación, la producción de alimentos, la superación de la pobreza, el trabajo digno, el fortalecimiento de las cadenas globales de valor, el desarrollo de la ciencia y la tecnología, la ampliación de los mercados, la protección del medio ambiente, entre otras cuestiones cruciales.</w:t>
      </w:r>
    </w:p>
    <w:p w14:paraId="7021E668" w14:textId="06C50390" w:rsidR="008150A3" w:rsidRPr="0083424F" w:rsidRDefault="7355E439" w:rsidP="7355E439">
      <w:pPr>
        <w:spacing w:line="257" w:lineRule="auto"/>
        <w:jc w:val="both"/>
        <w:rPr>
          <w:rFonts w:ascii="Artifex CF" w:hAnsi="Artifex CF"/>
          <w:sz w:val="24"/>
          <w:szCs w:val="24"/>
          <w:lang w:val="es-ES"/>
        </w:rPr>
      </w:pPr>
      <w:r w:rsidRPr="0083424F">
        <w:rPr>
          <w:rFonts w:ascii="Artifex CF" w:eastAsia="Calibri" w:hAnsi="Artifex CF" w:cs="Calibri"/>
          <w:sz w:val="24"/>
          <w:szCs w:val="24"/>
          <w:lang w:val="es-DO"/>
        </w:rPr>
        <w:t>Es necesario afianzar el apoyo a los países menos desarrollados y por tanto con menos recursos para la mitigación y para la adaptación a los efectos del cambio climático.  Se requieren mayores esfuerzos para incorporar mecanismos que faciliten el acceso a la tecnología.</w:t>
      </w:r>
    </w:p>
    <w:p w14:paraId="41B8F79B" w14:textId="0FAD2A6F" w:rsidR="008150A3" w:rsidRPr="0083424F" w:rsidRDefault="7355E439" w:rsidP="7355E439">
      <w:pPr>
        <w:spacing w:line="257" w:lineRule="auto"/>
        <w:jc w:val="both"/>
        <w:rPr>
          <w:rFonts w:ascii="Artifex CF" w:hAnsi="Artifex CF"/>
          <w:sz w:val="24"/>
          <w:szCs w:val="24"/>
          <w:lang w:val="es-ES"/>
        </w:rPr>
      </w:pPr>
      <w:r w:rsidRPr="0083424F">
        <w:rPr>
          <w:rFonts w:ascii="Artifex CF" w:eastAsia="Calibri" w:hAnsi="Artifex CF" w:cs="Calibri"/>
          <w:sz w:val="24"/>
          <w:szCs w:val="24"/>
          <w:lang w:val="es-DO"/>
        </w:rPr>
        <w:t>Debemos abordar igualmente, el tema de la financiación; la cual es necesaria para aliviar la carga de los países en desarrollo, y para que cumplan sus obligaciones de compromisos con los países menos desarrollados (que tienen mayor presión actualmente para sus economías por los efectos del cambio climático), sobre todo con el 0.7% de la ayuda oficial al desarrollo, para poder responder de manera contundente a la Agenda 2030, y metas propuestas en los acuerdos y convenios internacionales relativos a diversas temáticas.</w:t>
      </w:r>
    </w:p>
    <w:p w14:paraId="6B5567E9" w14:textId="0CE955E6" w:rsidR="008150A3" w:rsidRPr="0083424F" w:rsidRDefault="7355E439" w:rsidP="7355E439">
      <w:pPr>
        <w:spacing w:line="257" w:lineRule="auto"/>
        <w:jc w:val="both"/>
        <w:rPr>
          <w:rFonts w:ascii="Artifex CF" w:hAnsi="Artifex CF"/>
          <w:sz w:val="24"/>
          <w:szCs w:val="24"/>
          <w:lang w:val="es-ES"/>
        </w:rPr>
      </w:pPr>
      <w:r w:rsidRPr="0083424F">
        <w:rPr>
          <w:rFonts w:ascii="Artifex CF" w:eastAsia="Calibri" w:hAnsi="Artifex CF" w:cs="Calibri"/>
          <w:sz w:val="24"/>
          <w:szCs w:val="24"/>
          <w:lang w:val="es-DO"/>
        </w:rPr>
        <w:t>Impulsamos una revalorización de la inversión hacia una economía para la resiliencia, así como dialogar sobre la creación de un fondo común para recuperación que permita enfrentar posibles crisis que apoye una agenda de políticas sociales para sentar las bases de una ciudadanía resiliente.  Este fondo servirá para materializar la recuperación en el marco de la crisis climática y priorizar tres líneas de acciones conjuntas: el impulso de una economía sostenible, crear las bases de una transición tecnológica equitativa; y apostar a una cartera de políticas que construyan ciudadanías resilientes.</w:t>
      </w:r>
    </w:p>
    <w:p w14:paraId="6EF16874" w14:textId="5A0E6033" w:rsidR="008150A3" w:rsidRPr="00104B50" w:rsidRDefault="7355E439" w:rsidP="7355E439">
      <w:pPr>
        <w:spacing w:line="257" w:lineRule="auto"/>
        <w:jc w:val="both"/>
        <w:rPr>
          <w:rFonts w:ascii="Artifex CF" w:hAnsi="Artifex CF"/>
          <w:sz w:val="24"/>
          <w:szCs w:val="24"/>
          <w:lang w:val="es-ES"/>
        </w:rPr>
      </w:pPr>
      <w:r w:rsidRPr="00104B50">
        <w:rPr>
          <w:rFonts w:ascii="Artifex CF" w:eastAsia="Calibri" w:hAnsi="Artifex CF" w:cs="Calibri"/>
          <w:sz w:val="24"/>
          <w:szCs w:val="24"/>
          <w:lang w:val="es-DO"/>
        </w:rPr>
        <w:t xml:space="preserve"> </w:t>
      </w:r>
    </w:p>
    <w:p w14:paraId="1072EA58" w14:textId="561A28E7" w:rsidR="008150A3" w:rsidRPr="00104B50" w:rsidRDefault="7355E439" w:rsidP="7355E439">
      <w:pPr>
        <w:spacing w:line="257" w:lineRule="auto"/>
        <w:jc w:val="both"/>
        <w:rPr>
          <w:rFonts w:ascii="Artifex CF" w:hAnsi="Artifex CF"/>
          <w:sz w:val="24"/>
          <w:szCs w:val="24"/>
          <w:lang w:val="es-ES"/>
        </w:rPr>
      </w:pPr>
      <w:r w:rsidRPr="00104B50">
        <w:rPr>
          <w:rFonts w:ascii="Artifex CF" w:eastAsia="Calibri" w:hAnsi="Artifex CF" w:cs="Calibri"/>
          <w:sz w:val="24"/>
          <w:szCs w:val="24"/>
          <w:lang w:val="es-DO"/>
        </w:rPr>
        <w:lastRenderedPageBreak/>
        <w:t xml:space="preserve"> </w:t>
      </w:r>
    </w:p>
    <w:p w14:paraId="0C8F1C57" w14:textId="6F050880" w:rsidR="008150A3" w:rsidRPr="00104B50" w:rsidRDefault="008150A3" w:rsidP="7355E439">
      <w:pPr>
        <w:spacing w:line="257" w:lineRule="auto"/>
        <w:jc w:val="both"/>
        <w:rPr>
          <w:rFonts w:ascii="Artifex CF" w:eastAsia="Calibri" w:hAnsi="Artifex CF" w:cs="Calibri"/>
          <w:sz w:val="24"/>
          <w:szCs w:val="24"/>
          <w:lang w:val="es-DO"/>
        </w:rPr>
      </w:pPr>
    </w:p>
    <w:p w14:paraId="58299863" w14:textId="3D702499" w:rsidR="008150A3" w:rsidRPr="00104B50" w:rsidRDefault="008150A3" w:rsidP="008150A3">
      <w:pPr>
        <w:pStyle w:val="Sinespaciado"/>
        <w:jc w:val="both"/>
        <w:rPr>
          <w:rFonts w:ascii="Artifex CF" w:hAnsi="Artifex CF"/>
          <w:b/>
          <w:bCs/>
          <w:sz w:val="24"/>
          <w:szCs w:val="24"/>
          <w:lang w:val="es-DO"/>
        </w:rPr>
      </w:pPr>
    </w:p>
    <w:p w14:paraId="6A6189F9" w14:textId="77777777" w:rsidR="008150A3" w:rsidRPr="00104B50" w:rsidRDefault="008150A3" w:rsidP="008150A3">
      <w:pPr>
        <w:pStyle w:val="Sinespaciado"/>
        <w:jc w:val="both"/>
        <w:rPr>
          <w:rFonts w:ascii="Artifex CF" w:hAnsi="Artifex CF"/>
          <w:b/>
          <w:bCs/>
          <w:sz w:val="24"/>
          <w:szCs w:val="24"/>
          <w:lang w:val="es-DO"/>
        </w:rPr>
      </w:pPr>
    </w:p>
    <w:p w14:paraId="3323B049" w14:textId="77777777" w:rsidR="008150A3" w:rsidRPr="00104B50" w:rsidRDefault="008150A3" w:rsidP="008150A3">
      <w:pPr>
        <w:pStyle w:val="Sinespaciado"/>
        <w:jc w:val="both"/>
        <w:rPr>
          <w:rFonts w:ascii="Artifex CF" w:hAnsi="Artifex CF"/>
          <w:b/>
          <w:bCs/>
          <w:sz w:val="24"/>
          <w:szCs w:val="24"/>
          <w:lang w:val="es-DO"/>
        </w:rPr>
      </w:pPr>
    </w:p>
    <w:p w14:paraId="47AAEFE2" w14:textId="77777777" w:rsidR="008150A3" w:rsidRPr="00104B50" w:rsidRDefault="008150A3" w:rsidP="008150A3">
      <w:pPr>
        <w:pStyle w:val="Sinespaciado"/>
        <w:jc w:val="both"/>
        <w:rPr>
          <w:rFonts w:ascii="Artifex CF" w:hAnsi="Artifex CF"/>
          <w:b/>
          <w:bCs/>
          <w:sz w:val="24"/>
          <w:szCs w:val="24"/>
          <w:lang w:val="es-DO"/>
        </w:rPr>
      </w:pPr>
    </w:p>
    <w:p w14:paraId="325558BA" w14:textId="77777777" w:rsidR="008150A3" w:rsidRPr="00104B50" w:rsidRDefault="008150A3" w:rsidP="008150A3">
      <w:pPr>
        <w:pStyle w:val="Sinespaciado"/>
        <w:jc w:val="both"/>
        <w:rPr>
          <w:rFonts w:ascii="Artifex CF" w:hAnsi="Artifex CF"/>
          <w:b/>
          <w:bCs/>
          <w:sz w:val="24"/>
          <w:szCs w:val="24"/>
          <w:lang w:val="es-DO"/>
        </w:rPr>
      </w:pPr>
    </w:p>
    <w:p w14:paraId="4CEA17E8" w14:textId="77777777" w:rsidR="008150A3" w:rsidRPr="00104B50" w:rsidRDefault="008150A3" w:rsidP="008150A3">
      <w:pPr>
        <w:pStyle w:val="Sinespaciado"/>
        <w:jc w:val="both"/>
        <w:rPr>
          <w:rFonts w:ascii="Artifex CF" w:hAnsi="Artifex CF"/>
          <w:b/>
          <w:bCs/>
          <w:sz w:val="24"/>
          <w:szCs w:val="24"/>
          <w:lang w:val="es-DO"/>
        </w:rPr>
      </w:pPr>
    </w:p>
    <w:p w14:paraId="6A8523DB" w14:textId="77777777" w:rsidR="008150A3" w:rsidRPr="00104B50" w:rsidRDefault="008150A3" w:rsidP="008150A3">
      <w:pPr>
        <w:pStyle w:val="Sinespaciado"/>
        <w:jc w:val="both"/>
        <w:rPr>
          <w:rFonts w:ascii="Artifex CF" w:hAnsi="Artifex CF"/>
          <w:b/>
          <w:bCs/>
          <w:sz w:val="24"/>
          <w:szCs w:val="24"/>
          <w:lang w:val="es-DO"/>
        </w:rPr>
      </w:pPr>
    </w:p>
    <w:p w14:paraId="51685BB1" w14:textId="77777777" w:rsidR="008150A3" w:rsidRPr="00104B50" w:rsidRDefault="008150A3" w:rsidP="008150A3">
      <w:pPr>
        <w:pStyle w:val="Sinespaciado"/>
        <w:jc w:val="both"/>
        <w:rPr>
          <w:rFonts w:ascii="Artifex CF" w:hAnsi="Artifex CF"/>
          <w:b/>
          <w:bCs/>
          <w:sz w:val="24"/>
          <w:szCs w:val="24"/>
          <w:lang w:val="es-DO"/>
        </w:rPr>
      </w:pPr>
    </w:p>
    <w:p w14:paraId="49F82312" w14:textId="731E67B6" w:rsidR="00B247A3" w:rsidRPr="00104B50" w:rsidRDefault="000B4CA2" w:rsidP="008150A3">
      <w:pPr>
        <w:pStyle w:val="Sinespaciado"/>
        <w:jc w:val="both"/>
        <w:rPr>
          <w:rFonts w:ascii="Artifex CF" w:hAnsi="Artifex CF"/>
          <w:sz w:val="24"/>
          <w:szCs w:val="24"/>
          <w:lang w:val="es-DO"/>
        </w:rPr>
      </w:pPr>
      <w:r w:rsidRPr="00104B50">
        <w:rPr>
          <w:rFonts w:ascii="Artifex CF" w:hAnsi="Artifex CF"/>
          <w:sz w:val="24"/>
          <w:szCs w:val="24"/>
          <w:lang w:val="es-DO"/>
        </w:rPr>
        <w:t xml:space="preserve"> </w:t>
      </w:r>
    </w:p>
    <w:sectPr w:rsidR="00B247A3" w:rsidRPr="00104B50" w:rsidSect="007A53B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39083" w14:textId="77777777" w:rsidR="002824C9" w:rsidRDefault="002824C9" w:rsidP="009D5C10">
      <w:pPr>
        <w:spacing w:after="0" w:line="240" w:lineRule="auto"/>
      </w:pPr>
      <w:r>
        <w:separator/>
      </w:r>
    </w:p>
  </w:endnote>
  <w:endnote w:type="continuationSeparator" w:id="0">
    <w:p w14:paraId="4CE5372A" w14:textId="77777777" w:rsidR="002824C9" w:rsidRDefault="002824C9" w:rsidP="009D5C10">
      <w:pPr>
        <w:spacing w:after="0" w:line="240" w:lineRule="auto"/>
      </w:pPr>
      <w:r>
        <w:continuationSeparator/>
      </w:r>
    </w:p>
  </w:endnote>
  <w:endnote w:type="continuationNotice" w:id="1">
    <w:p w14:paraId="6BFC2668" w14:textId="77777777" w:rsidR="002824C9" w:rsidRDefault="002824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tifex CF">
    <w:panose1 w:val="00000500000000000000"/>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64A57" w14:textId="77777777" w:rsidR="002824C9" w:rsidRDefault="002824C9" w:rsidP="009D5C10">
      <w:pPr>
        <w:spacing w:after="0" w:line="240" w:lineRule="auto"/>
      </w:pPr>
      <w:r>
        <w:separator/>
      </w:r>
    </w:p>
  </w:footnote>
  <w:footnote w:type="continuationSeparator" w:id="0">
    <w:p w14:paraId="7C08BFA4" w14:textId="77777777" w:rsidR="002824C9" w:rsidRDefault="002824C9" w:rsidP="009D5C10">
      <w:pPr>
        <w:spacing w:after="0" w:line="240" w:lineRule="auto"/>
      </w:pPr>
      <w:r>
        <w:continuationSeparator/>
      </w:r>
    </w:p>
  </w:footnote>
  <w:footnote w:type="continuationNotice" w:id="1">
    <w:p w14:paraId="62B55D4C" w14:textId="77777777" w:rsidR="002824C9" w:rsidRDefault="002824C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Tx6k8J2yqq+wqS" int2:id="ERwRrotu">
      <int2:state int2:value="Rejected" int2:type="AugLoop_Text_Critique"/>
    </int2:textHash>
    <int2:textHash int2:hashCode="DkQ0lgxju0neJa" int2:id="NRbwCFNg">
      <int2:state int2:value="Rejected" int2:type="AugLoop_Text_Critique"/>
    </int2:textHash>
    <int2:textHash int2:hashCode="d/KU+BzYxyPwTi" int2:id="gB4mpcsN">
      <int2:state int2:value="Rejected" int2:type="AugLoop_Text_Critique"/>
    </int2:textHash>
    <int2:textHash int2:hashCode="3xgqxpzUvMvYdH" int2:id="u64Q2nq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4F13"/>
    <w:multiLevelType w:val="hybridMultilevel"/>
    <w:tmpl w:val="5F1066CE"/>
    <w:lvl w:ilvl="0" w:tplc="540A0015">
      <w:start w:val="3"/>
      <w:numFmt w:val="upp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26F9B1A2"/>
    <w:multiLevelType w:val="hybridMultilevel"/>
    <w:tmpl w:val="B32AE0AA"/>
    <w:lvl w:ilvl="0" w:tplc="634245C2">
      <w:start w:val="2"/>
      <w:numFmt w:val="lowerLetter"/>
      <w:lvlText w:val="%1."/>
      <w:lvlJc w:val="left"/>
      <w:pPr>
        <w:ind w:left="720" w:hanging="360"/>
      </w:pPr>
    </w:lvl>
    <w:lvl w:ilvl="1" w:tplc="7A6AB660">
      <w:start w:val="1"/>
      <w:numFmt w:val="lowerLetter"/>
      <w:lvlText w:val="%2."/>
      <w:lvlJc w:val="left"/>
      <w:pPr>
        <w:ind w:left="1440" w:hanging="360"/>
      </w:pPr>
    </w:lvl>
    <w:lvl w:ilvl="2" w:tplc="377CDAD0">
      <w:start w:val="1"/>
      <w:numFmt w:val="lowerRoman"/>
      <w:lvlText w:val="%3."/>
      <w:lvlJc w:val="right"/>
      <w:pPr>
        <w:ind w:left="2160" w:hanging="180"/>
      </w:pPr>
    </w:lvl>
    <w:lvl w:ilvl="3" w:tplc="EA0A2412">
      <w:start w:val="1"/>
      <w:numFmt w:val="decimal"/>
      <w:lvlText w:val="%4."/>
      <w:lvlJc w:val="left"/>
      <w:pPr>
        <w:ind w:left="2880" w:hanging="360"/>
      </w:pPr>
    </w:lvl>
    <w:lvl w:ilvl="4" w:tplc="0BC4B2AA">
      <w:start w:val="1"/>
      <w:numFmt w:val="lowerLetter"/>
      <w:lvlText w:val="%5."/>
      <w:lvlJc w:val="left"/>
      <w:pPr>
        <w:ind w:left="3600" w:hanging="360"/>
      </w:pPr>
    </w:lvl>
    <w:lvl w:ilvl="5" w:tplc="C57A8A18">
      <w:start w:val="1"/>
      <w:numFmt w:val="lowerRoman"/>
      <w:lvlText w:val="%6."/>
      <w:lvlJc w:val="right"/>
      <w:pPr>
        <w:ind w:left="4320" w:hanging="180"/>
      </w:pPr>
    </w:lvl>
    <w:lvl w:ilvl="6" w:tplc="3EE665BE">
      <w:start w:val="1"/>
      <w:numFmt w:val="decimal"/>
      <w:lvlText w:val="%7."/>
      <w:lvlJc w:val="left"/>
      <w:pPr>
        <w:ind w:left="5040" w:hanging="360"/>
      </w:pPr>
    </w:lvl>
    <w:lvl w:ilvl="7" w:tplc="CAACAA26">
      <w:start w:val="1"/>
      <w:numFmt w:val="lowerLetter"/>
      <w:lvlText w:val="%8."/>
      <w:lvlJc w:val="left"/>
      <w:pPr>
        <w:ind w:left="5760" w:hanging="360"/>
      </w:pPr>
    </w:lvl>
    <w:lvl w:ilvl="8" w:tplc="F99801AA">
      <w:start w:val="1"/>
      <w:numFmt w:val="lowerRoman"/>
      <w:lvlText w:val="%9."/>
      <w:lvlJc w:val="right"/>
      <w:pPr>
        <w:ind w:left="6480" w:hanging="180"/>
      </w:pPr>
    </w:lvl>
  </w:abstractNum>
  <w:abstractNum w:abstractNumId="2" w15:restartNumberingAfterBreak="0">
    <w:nsid w:val="377A0C2E"/>
    <w:multiLevelType w:val="hybridMultilevel"/>
    <w:tmpl w:val="F41C6E40"/>
    <w:lvl w:ilvl="0" w:tplc="FFFFFFF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 w15:restartNumberingAfterBreak="0">
    <w:nsid w:val="3C8F3B00"/>
    <w:multiLevelType w:val="hybridMultilevel"/>
    <w:tmpl w:val="E9D63E68"/>
    <w:lvl w:ilvl="0" w:tplc="974EEF48">
      <w:start w:val="1"/>
      <w:numFmt w:val="lowerLetter"/>
      <w:lvlText w:val="%1."/>
      <w:lvlJc w:val="left"/>
      <w:pPr>
        <w:ind w:left="720" w:hanging="360"/>
      </w:pPr>
    </w:lvl>
    <w:lvl w:ilvl="1" w:tplc="50DA1958">
      <w:start w:val="1"/>
      <w:numFmt w:val="lowerLetter"/>
      <w:lvlText w:val="%2."/>
      <w:lvlJc w:val="left"/>
      <w:pPr>
        <w:ind w:left="1440" w:hanging="360"/>
      </w:pPr>
    </w:lvl>
    <w:lvl w:ilvl="2" w:tplc="A9FA8D18">
      <w:start w:val="1"/>
      <w:numFmt w:val="lowerRoman"/>
      <w:lvlText w:val="%3."/>
      <w:lvlJc w:val="right"/>
      <w:pPr>
        <w:ind w:left="2160" w:hanging="180"/>
      </w:pPr>
    </w:lvl>
    <w:lvl w:ilvl="3" w:tplc="5B86A1B6">
      <w:start w:val="1"/>
      <w:numFmt w:val="decimal"/>
      <w:lvlText w:val="%4."/>
      <w:lvlJc w:val="left"/>
      <w:pPr>
        <w:ind w:left="2880" w:hanging="360"/>
      </w:pPr>
    </w:lvl>
    <w:lvl w:ilvl="4" w:tplc="709448B8">
      <w:start w:val="1"/>
      <w:numFmt w:val="lowerLetter"/>
      <w:lvlText w:val="%5."/>
      <w:lvlJc w:val="left"/>
      <w:pPr>
        <w:ind w:left="3600" w:hanging="360"/>
      </w:pPr>
    </w:lvl>
    <w:lvl w:ilvl="5" w:tplc="0762970A">
      <w:start w:val="1"/>
      <w:numFmt w:val="lowerRoman"/>
      <w:lvlText w:val="%6."/>
      <w:lvlJc w:val="right"/>
      <w:pPr>
        <w:ind w:left="4320" w:hanging="180"/>
      </w:pPr>
    </w:lvl>
    <w:lvl w:ilvl="6" w:tplc="E292BC36">
      <w:start w:val="1"/>
      <w:numFmt w:val="decimal"/>
      <w:lvlText w:val="%7."/>
      <w:lvlJc w:val="left"/>
      <w:pPr>
        <w:ind w:left="5040" w:hanging="360"/>
      </w:pPr>
    </w:lvl>
    <w:lvl w:ilvl="7" w:tplc="D7BCCC0E">
      <w:start w:val="1"/>
      <w:numFmt w:val="lowerLetter"/>
      <w:lvlText w:val="%8."/>
      <w:lvlJc w:val="left"/>
      <w:pPr>
        <w:ind w:left="5760" w:hanging="360"/>
      </w:pPr>
    </w:lvl>
    <w:lvl w:ilvl="8" w:tplc="E930991E">
      <w:start w:val="1"/>
      <w:numFmt w:val="lowerRoman"/>
      <w:lvlText w:val="%9."/>
      <w:lvlJc w:val="right"/>
      <w:pPr>
        <w:ind w:left="6480" w:hanging="180"/>
      </w:pPr>
    </w:lvl>
  </w:abstractNum>
  <w:abstractNum w:abstractNumId="4" w15:restartNumberingAfterBreak="0">
    <w:nsid w:val="44F06E01"/>
    <w:multiLevelType w:val="hybridMultilevel"/>
    <w:tmpl w:val="B4E8DD44"/>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4792D86B"/>
    <w:multiLevelType w:val="hybridMultilevel"/>
    <w:tmpl w:val="31C0E74E"/>
    <w:lvl w:ilvl="0" w:tplc="51164088">
      <w:start w:val="5"/>
      <w:numFmt w:val="lowerLetter"/>
      <w:lvlText w:val="%1."/>
      <w:lvlJc w:val="left"/>
      <w:pPr>
        <w:ind w:left="720" w:hanging="360"/>
      </w:pPr>
    </w:lvl>
    <w:lvl w:ilvl="1" w:tplc="06F2E31E">
      <w:start w:val="1"/>
      <w:numFmt w:val="lowerLetter"/>
      <w:lvlText w:val="%2."/>
      <w:lvlJc w:val="left"/>
      <w:pPr>
        <w:ind w:left="1440" w:hanging="360"/>
      </w:pPr>
    </w:lvl>
    <w:lvl w:ilvl="2" w:tplc="ABB4B4F0">
      <w:start w:val="1"/>
      <w:numFmt w:val="lowerRoman"/>
      <w:lvlText w:val="%3."/>
      <w:lvlJc w:val="right"/>
      <w:pPr>
        <w:ind w:left="2160" w:hanging="180"/>
      </w:pPr>
    </w:lvl>
    <w:lvl w:ilvl="3" w:tplc="094280A4">
      <w:start w:val="1"/>
      <w:numFmt w:val="decimal"/>
      <w:lvlText w:val="%4."/>
      <w:lvlJc w:val="left"/>
      <w:pPr>
        <w:ind w:left="2880" w:hanging="360"/>
      </w:pPr>
    </w:lvl>
    <w:lvl w:ilvl="4" w:tplc="779C1AF0">
      <w:start w:val="1"/>
      <w:numFmt w:val="lowerLetter"/>
      <w:lvlText w:val="%5."/>
      <w:lvlJc w:val="left"/>
      <w:pPr>
        <w:ind w:left="3600" w:hanging="360"/>
      </w:pPr>
    </w:lvl>
    <w:lvl w:ilvl="5" w:tplc="D62CF9F0">
      <w:start w:val="1"/>
      <w:numFmt w:val="lowerRoman"/>
      <w:lvlText w:val="%6."/>
      <w:lvlJc w:val="right"/>
      <w:pPr>
        <w:ind w:left="4320" w:hanging="180"/>
      </w:pPr>
    </w:lvl>
    <w:lvl w:ilvl="6" w:tplc="20D6FE90">
      <w:start w:val="1"/>
      <w:numFmt w:val="decimal"/>
      <w:lvlText w:val="%7."/>
      <w:lvlJc w:val="left"/>
      <w:pPr>
        <w:ind w:left="5040" w:hanging="360"/>
      </w:pPr>
    </w:lvl>
    <w:lvl w:ilvl="7" w:tplc="91480EA6">
      <w:start w:val="1"/>
      <w:numFmt w:val="lowerLetter"/>
      <w:lvlText w:val="%8."/>
      <w:lvlJc w:val="left"/>
      <w:pPr>
        <w:ind w:left="5760" w:hanging="360"/>
      </w:pPr>
    </w:lvl>
    <w:lvl w:ilvl="8" w:tplc="5316F4A8">
      <w:start w:val="1"/>
      <w:numFmt w:val="lowerRoman"/>
      <w:lvlText w:val="%9."/>
      <w:lvlJc w:val="right"/>
      <w:pPr>
        <w:ind w:left="6480" w:hanging="180"/>
      </w:pPr>
    </w:lvl>
  </w:abstractNum>
  <w:abstractNum w:abstractNumId="6" w15:restartNumberingAfterBreak="0">
    <w:nsid w:val="483727DE"/>
    <w:multiLevelType w:val="hybridMultilevel"/>
    <w:tmpl w:val="52308AE2"/>
    <w:lvl w:ilvl="0" w:tplc="93A47F94">
      <w:start w:val="1"/>
      <w:numFmt w:val="upperLetter"/>
      <w:lvlText w:val="%1."/>
      <w:lvlJc w:val="left"/>
      <w:pPr>
        <w:ind w:left="720" w:hanging="360"/>
      </w:pPr>
      <w:rPr>
        <w:rFonts w:hint="default"/>
        <w:color w:val="auto"/>
        <w:sz w:val="28"/>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7" w15:restartNumberingAfterBreak="0">
    <w:nsid w:val="5CD10FDE"/>
    <w:multiLevelType w:val="hybridMultilevel"/>
    <w:tmpl w:val="0B18E674"/>
    <w:lvl w:ilvl="0" w:tplc="C9262D30">
      <w:start w:val="1"/>
      <w:numFmt w:val="upperRoman"/>
      <w:lvlText w:val="%1."/>
      <w:lvlJc w:val="left"/>
      <w:pPr>
        <w:ind w:left="333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455608F"/>
    <w:multiLevelType w:val="hybridMultilevel"/>
    <w:tmpl w:val="B4884C14"/>
    <w:lvl w:ilvl="0" w:tplc="1228F588">
      <w:start w:val="6"/>
      <w:numFmt w:val="lowerLetter"/>
      <w:lvlText w:val="%1."/>
      <w:lvlJc w:val="left"/>
      <w:pPr>
        <w:ind w:left="720" w:hanging="360"/>
      </w:pPr>
    </w:lvl>
    <w:lvl w:ilvl="1" w:tplc="EADEFE78">
      <w:start w:val="1"/>
      <w:numFmt w:val="lowerLetter"/>
      <w:lvlText w:val="%2."/>
      <w:lvlJc w:val="left"/>
      <w:pPr>
        <w:ind w:left="1440" w:hanging="360"/>
      </w:pPr>
    </w:lvl>
    <w:lvl w:ilvl="2" w:tplc="E160E0CA">
      <w:start w:val="1"/>
      <w:numFmt w:val="lowerRoman"/>
      <w:lvlText w:val="%3."/>
      <w:lvlJc w:val="right"/>
      <w:pPr>
        <w:ind w:left="2160" w:hanging="180"/>
      </w:pPr>
    </w:lvl>
    <w:lvl w:ilvl="3" w:tplc="4ADC3FCE">
      <w:start w:val="1"/>
      <w:numFmt w:val="decimal"/>
      <w:lvlText w:val="%4."/>
      <w:lvlJc w:val="left"/>
      <w:pPr>
        <w:ind w:left="2880" w:hanging="360"/>
      </w:pPr>
    </w:lvl>
    <w:lvl w:ilvl="4" w:tplc="57C0F848">
      <w:start w:val="1"/>
      <w:numFmt w:val="lowerLetter"/>
      <w:lvlText w:val="%5."/>
      <w:lvlJc w:val="left"/>
      <w:pPr>
        <w:ind w:left="3600" w:hanging="360"/>
      </w:pPr>
    </w:lvl>
    <w:lvl w:ilvl="5" w:tplc="86B09010">
      <w:start w:val="1"/>
      <w:numFmt w:val="lowerRoman"/>
      <w:lvlText w:val="%6."/>
      <w:lvlJc w:val="right"/>
      <w:pPr>
        <w:ind w:left="4320" w:hanging="180"/>
      </w:pPr>
    </w:lvl>
    <w:lvl w:ilvl="6" w:tplc="523C562C">
      <w:start w:val="1"/>
      <w:numFmt w:val="decimal"/>
      <w:lvlText w:val="%7."/>
      <w:lvlJc w:val="left"/>
      <w:pPr>
        <w:ind w:left="5040" w:hanging="360"/>
      </w:pPr>
    </w:lvl>
    <w:lvl w:ilvl="7" w:tplc="2A1E03C0">
      <w:start w:val="1"/>
      <w:numFmt w:val="lowerLetter"/>
      <w:lvlText w:val="%8."/>
      <w:lvlJc w:val="left"/>
      <w:pPr>
        <w:ind w:left="5760" w:hanging="360"/>
      </w:pPr>
    </w:lvl>
    <w:lvl w:ilvl="8" w:tplc="374A924C">
      <w:start w:val="1"/>
      <w:numFmt w:val="lowerRoman"/>
      <w:lvlText w:val="%9."/>
      <w:lvlJc w:val="right"/>
      <w:pPr>
        <w:ind w:left="6480" w:hanging="180"/>
      </w:pPr>
    </w:lvl>
  </w:abstractNum>
  <w:abstractNum w:abstractNumId="9" w15:restartNumberingAfterBreak="0">
    <w:nsid w:val="75F2EE6C"/>
    <w:multiLevelType w:val="hybridMultilevel"/>
    <w:tmpl w:val="53485158"/>
    <w:lvl w:ilvl="0" w:tplc="F6327C94">
      <w:start w:val="3"/>
      <w:numFmt w:val="lowerLetter"/>
      <w:lvlText w:val="%1."/>
      <w:lvlJc w:val="left"/>
      <w:pPr>
        <w:ind w:left="720" w:hanging="360"/>
      </w:pPr>
    </w:lvl>
    <w:lvl w:ilvl="1" w:tplc="D1648512">
      <w:start w:val="1"/>
      <w:numFmt w:val="lowerLetter"/>
      <w:lvlText w:val="%2."/>
      <w:lvlJc w:val="left"/>
      <w:pPr>
        <w:ind w:left="1440" w:hanging="360"/>
      </w:pPr>
    </w:lvl>
    <w:lvl w:ilvl="2" w:tplc="AAEE01B6">
      <w:start w:val="1"/>
      <w:numFmt w:val="lowerRoman"/>
      <w:lvlText w:val="%3."/>
      <w:lvlJc w:val="right"/>
      <w:pPr>
        <w:ind w:left="2160" w:hanging="180"/>
      </w:pPr>
    </w:lvl>
    <w:lvl w:ilvl="3" w:tplc="F154BD3A">
      <w:start w:val="1"/>
      <w:numFmt w:val="decimal"/>
      <w:lvlText w:val="%4."/>
      <w:lvlJc w:val="left"/>
      <w:pPr>
        <w:ind w:left="2880" w:hanging="360"/>
      </w:pPr>
    </w:lvl>
    <w:lvl w:ilvl="4" w:tplc="EC447120">
      <w:start w:val="1"/>
      <w:numFmt w:val="lowerLetter"/>
      <w:lvlText w:val="%5."/>
      <w:lvlJc w:val="left"/>
      <w:pPr>
        <w:ind w:left="3600" w:hanging="360"/>
      </w:pPr>
    </w:lvl>
    <w:lvl w:ilvl="5" w:tplc="3A508A88">
      <w:start w:val="1"/>
      <w:numFmt w:val="lowerRoman"/>
      <w:lvlText w:val="%6."/>
      <w:lvlJc w:val="right"/>
      <w:pPr>
        <w:ind w:left="4320" w:hanging="180"/>
      </w:pPr>
    </w:lvl>
    <w:lvl w:ilvl="6" w:tplc="1772CDCE">
      <w:start w:val="1"/>
      <w:numFmt w:val="decimal"/>
      <w:lvlText w:val="%7."/>
      <w:lvlJc w:val="left"/>
      <w:pPr>
        <w:ind w:left="5040" w:hanging="360"/>
      </w:pPr>
    </w:lvl>
    <w:lvl w:ilvl="7" w:tplc="098CA9E0">
      <w:start w:val="1"/>
      <w:numFmt w:val="lowerLetter"/>
      <w:lvlText w:val="%8."/>
      <w:lvlJc w:val="left"/>
      <w:pPr>
        <w:ind w:left="5760" w:hanging="360"/>
      </w:pPr>
    </w:lvl>
    <w:lvl w:ilvl="8" w:tplc="65CA62EC">
      <w:start w:val="1"/>
      <w:numFmt w:val="lowerRoman"/>
      <w:lvlText w:val="%9."/>
      <w:lvlJc w:val="right"/>
      <w:pPr>
        <w:ind w:left="6480" w:hanging="180"/>
      </w:pPr>
    </w:lvl>
  </w:abstractNum>
  <w:abstractNum w:abstractNumId="10" w15:restartNumberingAfterBreak="0">
    <w:nsid w:val="77EA5E37"/>
    <w:multiLevelType w:val="hybridMultilevel"/>
    <w:tmpl w:val="9FF4F88C"/>
    <w:lvl w:ilvl="0" w:tplc="CE7ACCB0">
      <w:start w:val="4"/>
      <w:numFmt w:val="lowerLetter"/>
      <w:lvlText w:val="%1."/>
      <w:lvlJc w:val="left"/>
      <w:pPr>
        <w:ind w:left="720" w:hanging="360"/>
      </w:pPr>
    </w:lvl>
    <w:lvl w:ilvl="1" w:tplc="007A9B4C">
      <w:start w:val="1"/>
      <w:numFmt w:val="lowerLetter"/>
      <w:lvlText w:val="%2."/>
      <w:lvlJc w:val="left"/>
      <w:pPr>
        <w:ind w:left="1440" w:hanging="360"/>
      </w:pPr>
    </w:lvl>
    <w:lvl w:ilvl="2" w:tplc="3CBC63A2">
      <w:start w:val="1"/>
      <w:numFmt w:val="lowerRoman"/>
      <w:lvlText w:val="%3."/>
      <w:lvlJc w:val="right"/>
      <w:pPr>
        <w:ind w:left="2160" w:hanging="180"/>
      </w:pPr>
    </w:lvl>
    <w:lvl w:ilvl="3" w:tplc="D522221C">
      <w:start w:val="1"/>
      <w:numFmt w:val="decimal"/>
      <w:lvlText w:val="%4."/>
      <w:lvlJc w:val="left"/>
      <w:pPr>
        <w:ind w:left="2880" w:hanging="360"/>
      </w:pPr>
    </w:lvl>
    <w:lvl w:ilvl="4" w:tplc="0F34BAF2">
      <w:start w:val="1"/>
      <w:numFmt w:val="lowerLetter"/>
      <w:lvlText w:val="%5."/>
      <w:lvlJc w:val="left"/>
      <w:pPr>
        <w:ind w:left="3600" w:hanging="360"/>
      </w:pPr>
    </w:lvl>
    <w:lvl w:ilvl="5" w:tplc="804C6700">
      <w:start w:val="1"/>
      <w:numFmt w:val="lowerRoman"/>
      <w:lvlText w:val="%6."/>
      <w:lvlJc w:val="right"/>
      <w:pPr>
        <w:ind w:left="4320" w:hanging="180"/>
      </w:pPr>
    </w:lvl>
    <w:lvl w:ilvl="6" w:tplc="03AC3042">
      <w:start w:val="1"/>
      <w:numFmt w:val="decimal"/>
      <w:lvlText w:val="%7."/>
      <w:lvlJc w:val="left"/>
      <w:pPr>
        <w:ind w:left="5040" w:hanging="360"/>
      </w:pPr>
    </w:lvl>
    <w:lvl w:ilvl="7" w:tplc="D3B69A66">
      <w:start w:val="1"/>
      <w:numFmt w:val="lowerLetter"/>
      <w:lvlText w:val="%8."/>
      <w:lvlJc w:val="left"/>
      <w:pPr>
        <w:ind w:left="5760" w:hanging="360"/>
      </w:pPr>
    </w:lvl>
    <w:lvl w:ilvl="8" w:tplc="C8ACEE44">
      <w:start w:val="1"/>
      <w:numFmt w:val="lowerRoman"/>
      <w:lvlText w:val="%9."/>
      <w:lvlJc w:val="right"/>
      <w:pPr>
        <w:ind w:left="6480" w:hanging="180"/>
      </w:pPr>
    </w:lvl>
  </w:abstractNum>
  <w:abstractNum w:abstractNumId="11" w15:restartNumberingAfterBreak="0">
    <w:nsid w:val="79B72938"/>
    <w:multiLevelType w:val="hybridMultilevel"/>
    <w:tmpl w:val="7868BFF8"/>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1764064439">
    <w:abstractNumId w:val="8"/>
  </w:num>
  <w:num w:numId="2" w16cid:durableId="854807750">
    <w:abstractNumId w:val="5"/>
  </w:num>
  <w:num w:numId="3" w16cid:durableId="1235777081">
    <w:abstractNumId w:val="10"/>
  </w:num>
  <w:num w:numId="4" w16cid:durableId="420876129">
    <w:abstractNumId w:val="9"/>
  </w:num>
  <w:num w:numId="5" w16cid:durableId="445855530">
    <w:abstractNumId w:val="1"/>
  </w:num>
  <w:num w:numId="6" w16cid:durableId="1445270032">
    <w:abstractNumId w:val="3"/>
  </w:num>
  <w:num w:numId="7" w16cid:durableId="487402857">
    <w:abstractNumId w:val="4"/>
  </w:num>
  <w:num w:numId="8" w16cid:durableId="967321092">
    <w:abstractNumId w:val="11"/>
  </w:num>
  <w:num w:numId="9" w16cid:durableId="1046371944">
    <w:abstractNumId w:val="6"/>
  </w:num>
  <w:num w:numId="10" w16cid:durableId="2046248774">
    <w:abstractNumId w:val="2"/>
  </w:num>
  <w:num w:numId="11" w16cid:durableId="1206018615">
    <w:abstractNumId w:val="0"/>
  </w:num>
  <w:num w:numId="12" w16cid:durableId="12951368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7A3"/>
    <w:rsid w:val="000016E9"/>
    <w:rsid w:val="000175FE"/>
    <w:rsid w:val="0001768F"/>
    <w:rsid w:val="00022EDE"/>
    <w:rsid w:val="000637E3"/>
    <w:rsid w:val="000B4CA2"/>
    <w:rsid w:val="000D6EF7"/>
    <w:rsid w:val="000E03BF"/>
    <w:rsid w:val="00104B50"/>
    <w:rsid w:val="001216B4"/>
    <w:rsid w:val="001327E8"/>
    <w:rsid w:val="001422FF"/>
    <w:rsid w:val="00194C9D"/>
    <w:rsid w:val="00195E91"/>
    <w:rsid w:val="001B38CD"/>
    <w:rsid w:val="001C04B4"/>
    <w:rsid w:val="001C7460"/>
    <w:rsid w:val="001D4DFA"/>
    <w:rsid w:val="0020635B"/>
    <w:rsid w:val="00232337"/>
    <w:rsid w:val="0024266D"/>
    <w:rsid w:val="00275C40"/>
    <w:rsid w:val="0027750F"/>
    <w:rsid w:val="00277E1F"/>
    <w:rsid w:val="002824C9"/>
    <w:rsid w:val="002953E9"/>
    <w:rsid w:val="002B5A67"/>
    <w:rsid w:val="002C7C98"/>
    <w:rsid w:val="002D1C18"/>
    <w:rsid w:val="002D6718"/>
    <w:rsid w:val="0030205A"/>
    <w:rsid w:val="0030480F"/>
    <w:rsid w:val="003326D3"/>
    <w:rsid w:val="0038268C"/>
    <w:rsid w:val="00384DA2"/>
    <w:rsid w:val="00397C2E"/>
    <w:rsid w:val="003A5C13"/>
    <w:rsid w:val="003D1D0B"/>
    <w:rsid w:val="003D2ADA"/>
    <w:rsid w:val="003D6213"/>
    <w:rsid w:val="003E3076"/>
    <w:rsid w:val="00404171"/>
    <w:rsid w:val="0040680B"/>
    <w:rsid w:val="004072BC"/>
    <w:rsid w:val="004170B4"/>
    <w:rsid w:val="0046238D"/>
    <w:rsid w:val="004843BA"/>
    <w:rsid w:val="00487998"/>
    <w:rsid w:val="004B0A96"/>
    <w:rsid w:val="00515DCD"/>
    <w:rsid w:val="00530638"/>
    <w:rsid w:val="00542C0F"/>
    <w:rsid w:val="005648D2"/>
    <w:rsid w:val="0057314C"/>
    <w:rsid w:val="005B193E"/>
    <w:rsid w:val="0063047C"/>
    <w:rsid w:val="006720BE"/>
    <w:rsid w:val="006B73C5"/>
    <w:rsid w:val="006C795B"/>
    <w:rsid w:val="006E4083"/>
    <w:rsid w:val="006E602E"/>
    <w:rsid w:val="00717498"/>
    <w:rsid w:val="00746F29"/>
    <w:rsid w:val="00793328"/>
    <w:rsid w:val="007A53B0"/>
    <w:rsid w:val="007A66C9"/>
    <w:rsid w:val="007C79DB"/>
    <w:rsid w:val="007F0457"/>
    <w:rsid w:val="007F3138"/>
    <w:rsid w:val="00801535"/>
    <w:rsid w:val="008033B6"/>
    <w:rsid w:val="008150A3"/>
    <w:rsid w:val="0083424F"/>
    <w:rsid w:val="008760CB"/>
    <w:rsid w:val="00887361"/>
    <w:rsid w:val="008A2F0D"/>
    <w:rsid w:val="008A7A69"/>
    <w:rsid w:val="008B4BC2"/>
    <w:rsid w:val="008C71D6"/>
    <w:rsid w:val="008D5F6F"/>
    <w:rsid w:val="008E115C"/>
    <w:rsid w:val="008F79CD"/>
    <w:rsid w:val="009339C0"/>
    <w:rsid w:val="0095369B"/>
    <w:rsid w:val="00960CF7"/>
    <w:rsid w:val="0097035B"/>
    <w:rsid w:val="009850C7"/>
    <w:rsid w:val="00995E8C"/>
    <w:rsid w:val="009A058D"/>
    <w:rsid w:val="009B31BF"/>
    <w:rsid w:val="009C10C6"/>
    <w:rsid w:val="009D5C10"/>
    <w:rsid w:val="009F5071"/>
    <w:rsid w:val="00A009C4"/>
    <w:rsid w:val="00A045E6"/>
    <w:rsid w:val="00A54BD5"/>
    <w:rsid w:val="00A54CFC"/>
    <w:rsid w:val="00A70FD1"/>
    <w:rsid w:val="00AA4D4D"/>
    <w:rsid w:val="00AA56F5"/>
    <w:rsid w:val="00AC0170"/>
    <w:rsid w:val="00AD3EE2"/>
    <w:rsid w:val="00AF3C50"/>
    <w:rsid w:val="00B01CAE"/>
    <w:rsid w:val="00B22212"/>
    <w:rsid w:val="00B247A3"/>
    <w:rsid w:val="00B308DE"/>
    <w:rsid w:val="00B3095E"/>
    <w:rsid w:val="00B513A3"/>
    <w:rsid w:val="00BB017D"/>
    <w:rsid w:val="00BB2FE0"/>
    <w:rsid w:val="00C038B1"/>
    <w:rsid w:val="00C07E11"/>
    <w:rsid w:val="00C175D7"/>
    <w:rsid w:val="00C24CD2"/>
    <w:rsid w:val="00C33B33"/>
    <w:rsid w:val="00C50879"/>
    <w:rsid w:val="00C55E4C"/>
    <w:rsid w:val="00C705AE"/>
    <w:rsid w:val="00C84AAB"/>
    <w:rsid w:val="00C90564"/>
    <w:rsid w:val="00CB69E0"/>
    <w:rsid w:val="00D101A6"/>
    <w:rsid w:val="00D3391C"/>
    <w:rsid w:val="00D33C03"/>
    <w:rsid w:val="00D47794"/>
    <w:rsid w:val="00D510EB"/>
    <w:rsid w:val="00D527AD"/>
    <w:rsid w:val="00D542B7"/>
    <w:rsid w:val="00D621E1"/>
    <w:rsid w:val="00D8436A"/>
    <w:rsid w:val="00DB50E5"/>
    <w:rsid w:val="00DC174D"/>
    <w:rsid w:val="00DD2860"/>
    <w:rsid w:val="00E2292A"/>
    <w:rsid w:val="00E60E56"/>
    <w:rsid w:val="00E753B8"/>
    <w:rsid w:val="00E80218"/>
    <w:rsid w:val="00E837DB"/>
    <w:rsid w:val="00EC3A9F"/>
    <w:rsid w:val="00EE1C5E"/>
    <w:rsid w:val="00EF1D0D"/>
    <w:rsid w:val="00EF6D19"/>
    <w:rsid w:val="00F02DFD"/>
    <w:rsid w:val="00F10C55"/>
    <w:rsid w:val="00F137E6"/>
    <w:rsid w:val="00F2468A"/>
    <w:rsid w:val="00F53287"/>
    <w:rsid w:val="00F57461"/>
    <w:rsid w:val="00F822DB"/>
    <w:rsid w:val="00F84F64"/>
    <w:rsid w:val="00FA08DB"/>
    <w:rsid w:val="00FA74BD"/>
    <w:rsid w:val="00FC759C"/>
    <w:rsid w:val="00FF5D13"/>
    <w:rsid w:val="7355E439"/>
    <w:rsid w:val="76F7A3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13489A"/>
  <w15:chartTrackingRefBased/>
  <w15:docId w15:val="{E1ADFF6D-9B40-4156-9CED-FCFB3977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B01C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F5071"/>
    <w:pPr>
      <w:spacing w:after="0" w:line="240" w:lineRule="auto"/>
    </w:pPr>
  </w:style>
  <w:style w:type="character" w:customStyle="1" w:styleId="Ttulo2Car">
    <w:name w:val="Título 2 Car"/>
    <w:basedOn w:val="Fuentedeprrafopredeter"/>
    <w:link w:val="Ttulo2"/>
    <w:uiPriority w:val="9"/>
    <w:semiHidden/>
    <w:rsid w:val="00B01CAE"/>
    <w:rPr>
      <w:rFonts w:asciiTheme="majorHAnsi" w:eastAsiaTheme="majorEastAsia" w:hAnsiTheme="majorHAnsi" w:cstheme="majorBidi"/>
      <w:color w:val="2F5496" w:themeColor="accent1" w:themeShade="BF"/>
      <w:sz w:val="26"/>
      <w:szCs w:val="26"/>
    </w:rPr>
  </w:style>
  <w:style w:type="paragraph" w:styleId="Textodeglobo">
    <w:name w:val="Balloon Text"/>
    <w:basedOn w:val="Normal"/>
    <w:link w:val="TextodegloboCar"/>
    <w:uiPriority w:val="99"/>
    <w:semiHidden/>
    <w:unhideWhenUsed/>
    <w:rsid w:val="001D4D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4DFA"/>
    <w:rPr>
      <w:rFonts w:ascii="Segoe UI" w:hAnsi="Segoe UI" w:cs="Segoe UI"/>
      <w:sz w:val="18"/>
      <w:szCs w:val="18"/>
    </w:rPr>
  </w:style>
  <w:style w:type="paragraph" w:styleId="Prrafodelista">
    <w:name w:val="List Paragraph"/>
    <w:basedOn w:val="Normal"/>
    <w:uiPriority w:val="34"/>
    <w:qFormat/>
    <w:rsid w:val="008150A3"/>
    <w:pPr>
      <w:ind w:left="720"/>
      <w:contextualSpacing/>
    </w:pPr>
  </w:style>
  <w:style w:type="paragraph" w:styleId="Textonotapie">
    <w:name w:val="footnote text"/>
    <w:basedOn w:val="Normal"/>
    <w:link w:val="TextonotapieCar"/>
    <w:uiPriority w:val="99"/>
    <w:semiHidden/>
    <w:unhideWhenUsed/>
    <w:rsid w:val="009D5C1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D5C10"/>
    <w:rPr>
      <w:sz w:val="20"/>
      <w:szCs w:val="20"/>
    </w:rPr>
  </w:style>
  <w:style w:type="character" w:styleId="Refdenotaalpie">
    <w:name w:val="footnote reference"/>
    <w:basedOn w:val="Fuentedeprrafopredeter"/>
    <w:uiPriority w:val="99"/>
    <w:semiHidden/>
    <w:unhideWhenUsed/>
    <w:rsid w:val="009D5C10"/>
    <w:rPr>
      <w:vertAlign w:val="superscript"/>
    </w:rPr>
  </w:style>
  <w:style w:type="paragraph" w:styleId="Encabezado">
    <w:name w:val="header"/>
    <w:basedOn w:val="Normal"/>
    <w:link w:val="EncabezadoCar"/>
    <w:uiPriority w:val="99"/>
    <w:unhideWhenUsed/>
    <w:rsid w:val="000E03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E03BF"/>
  </w:style>
  <w:style w:type="paragraph" w:styleId="Piedepgina">
    <w:name w:val="footer"/>
    <w:basedOn w:val="Normal"/>
    <w:link w:val="PiedepginaCar"/>
    <w:uiPriority w:val="99"/>
    <w:unhideWhenUsed/>
    <w:rsid w:val="000E03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E03BF"/>
  </w:style>
  <w:style w:type="character" w:styleId="Refdecomentario">
    <w:name w:val="annotation reference"/>
    <w:basedOn w:val="Fuentedeprrafopredeter"/>
    <w:uiPriority w:val="99"/>
    <w:semiHidden/>
    <w:unhideWhenUsed/>
    <w:rsid w:val="00F57461"/>
    <w:rPr>
      <w:sz w:val="16"/>
      <w:szCs w:val="16"/>
    </w:rPr>
  </w:style>
  <w:style w:type="paragraph" w:styleId="Textocomentario">
    <w:name w:val="annotation text"/>
    <w:basedOn w:val="Normal"/>
    <w:link w:val="TextocomentarioCar"/>
    <w:uiPriority w:val="99"/>
    <w:unhideWhenUsed/>
    <w:rsid w:val="00F57461"/>
    <w:pPr>
      <w:spacing w:line="240" w:lineRule="auto"/>
    </w:pPr>
    <w:rPr>
      <w:sz w:val="20"/>
      <w:szCs w:val="20"/>
    </w:rPr>
  </w:style>
  <w:style w:type="character" w:customStyle="1" w:styleId="TextocomentarioCar">
    <w:name w:val="Texto comentario Car"/>
    <w:basedOn w:val="Fuentedeprrafopredeter"/>
    <w:link w:val="Textocomentario"/>
    <w:uiPriority w:val="99"/>
    <w:rsid w:val="00F57461"/>
    <w:rPr>
      <w:sz w:val="20"/>
      <w:szCs w:val="20"/>
    </w:rPr>
  </w:style>
  <w:style w:type="paragraph" w:styleId="Asuntodelcomentario">
    <w:name w:val="annotation subject"/>
    <w:basedOn w:val="Textocomentario"/>
    <w:next w:val="Textocomentario"/>
    <w:link w:val="AsuntodelcomentarioCar"/>
    <w:uiPriority w:val="99"/>
    <w:semiHidden/>
    <w:unhideWhenUsed/>
    <w:rsid w:val="00F57461"/>
    <w:rPr>
      <w:b/>
      <w:bCs/>
    </w:rPr>
  </w:style>
  <w:style w:type="character" w:customStyle="1" w:styleId="AsuntodelcomentarioCar">
    <w:name w:val="Asunto del comentario Car"/>
    <w:basedOn w:val="TextocomentarioCar"/>
    <w:link w:val="Asuntodelcomentario"/>
    <w:uiPriority w:val="99"/>
    <w:semiHidden/>
    <w:rsid w:val="00F574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17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C811A9BFD34604F8F388B3011F969F4" ma:contentTypeVersion="2" ma:contentTypeDescription="Crear nuevo documento." ma:contentTypeScope="" ma:versionID="a9a3a62c3f6fc652e147197d569c7a8d">
  <xsd:schema xmlns:xsd="http://www.w3.org/2001/XMLSchema" xmlns:xs="http://www.w3.org/2001/XMLSchema" xmlns:p="http://schemas.microsoft.com/office/2006/metadata/properties" xmlns:ns3="8d94797d-6524-49f8-bcbc-fbd7387d57ce" targetNamespace="http://schemas.microsoft.com/office/2006/metadata/properties" ma:root="true" ma:fieldsID="f3f99db4e5c1e69a62489c9bb6ce35d3" ns3:_="">
    <xsd:import namespace="8d94797d-6524-49f8-bcbc-fbd7387d57c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4797d-6524-49f8-bcbc-fbd7387d5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0BFDF-06D6-4A43-9C75-10387698C5B2}">
  <ds:schemaRefs>
    <ds:schemaRef ds:uri="http://schemas.openxmlformats.org/officeDocument/2006/bibliography"/>
  </ds:schemaRefs>
</ds:datastoreItem>
</file>

<file path=customXml/itemProps2.xml><?xml version="1.0" encoding="utf-8"?>
<ds:datastoreItem xmlns:ds="http://schemas.openxmlformats.org/officeDocument/2006/customXml" ds:itemID="{30B55418-F820-425B-9FCD-4C3757958535}">
  <ds:schemaRefs>
    <ds:schemaRef ds:uri="http://purl.org/dc/term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8d94797d-6524-49f8-bcbc-fbd7387d57ce"/>
    <ds:schemaRef ds:uri="http://www.w3.org/XML/1998/namespace"/>
  </ds:schemaRefs>
</ds:datastoreItem>
</file>

<file path=customXml/itemProps3.xml><?xml version="1.0" encoding="utf-8"?>
<ds:datastoreItem xmlns:ds="http://schemas.openxmlformats.org/officeDocument/2006/customXml" ds:itemID="{5104F131-5B07-4FC3-97E3-6F4DB97CAD6D}">
  <ds:schemaRefs>
    <ds:schemaRef ds:uri="http://schemas.microsoft.com/sharepoint/v3/contenttype/forms"/>
  </ds:schemaRefs>
</ds:datastoreItem>
</file>

<file path=customXml/itemProps4.xml><?xml version="1.0" encoding="utf-8"?>
<ds:datastoreItem xmlns:ds="http://schemas.openxmlformats.org/officeDocument/2006/customXml" ds:itemID="{BE5A9D70-82E4-4448-B7A1-51C8C9577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4797d-6524-49f8-bcbc-fbd7387d5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2964</Words>
  <Characters>16305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Elva Mercedes</dc:creator>
  <cp:keywords/>
  <dc:description/>
  <cp:lastModifiedBy>Gabriel Alex Rivas Santana</cp:lastModifiedBy>
  <cp:revision>15</cp:revision>
  <dcterms:created xsi:type="dcterms:W3CDTF">2023-06-19T16:21:00Z</dcterms:created>
  <dcterms:modified xsi:type="dcterms:W3CDTF">2023-06-19T18:49:00Z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0x0101005C811A9BFD34604F8F388B3011F969F4</vt:lpwstr>
  </property>
</Properties>
</file>