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5170" w14:textId="30DDD8D0" w:rsidR="00A64837" w:rsidRDefault="0A504BA8" w:rsidP="00686015">
      <w:r>
        <w:rPr>
          <w:noProof/>
        </w:rPr>
        <w:drawing>
          <wp:inline distT="0" distB="0" distL="0" distR="0" wp14:anchorId="3E8F91D4" wp14:editId="6786DB66">
            <wp:extent cx="3143250" cy="609600"/>
            <wp:effectExtent l="0" t="0" r="0" b="0"/>
            <wp:docPr id="1574691757" name="Picture 1574691757" descr="UNODC_logo_E_black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43250" cy="609600"/>
                    </a:xfrm>
                    <a:prstGeom prst="rect">
                      <a:avLst/>
                    </a:prstGeom>
                  </pic:spPr>
                </pic:pic>
              </a:graphicData>
            </a:graphic>
          </wp:inline>
        </w:drawing>
      </w:r>
    </w:p>
    <w:p w14:paraId="717E691B" w14:textId="21A6F89E" w:rsidR="00A64837" w:rsidRDefault="0A504BA8" w:rsidP="00132A01">
      <w:pPr>
        <w:pStyle w:val="Heading1"/>
        <w:jc w:val="center"/>
        <w:rPr>
          <w:rFonts w:ascii="Calibri Light" w:eastAsia="Calibri Light" w:hAnsi="Calibri Light" w:cs="Calibri Light"/>
          <w:lang w:val="en-GB"/>
        </w:rPr>
      </w:pPr>
      <w:r w:rsidRPr="6786DB66">
        <w:rPr>
          <w:rFonts w:ascii="Calibri Light" w:eastAsia="Calibri Light" w:hAnsi="Calibri Light" w:cs="Calibri Light"/>
          <w:lang w:val="en-GB"/>
        </w:rPr>
        <w:t xml:space="preserve">UNODC </w:t>
      </w:r>
      <w:r w:rsidR="00316594">
        <w:rPr>
          <w:rFonts w:ascii="Calibri Light" w:eastAsia="Calibri Light" w:hAnsi="Calibri Light" w:cs="Calibri Light"/>
          <w:lang w:val="en-GB"/>
        </w:rPr>
        <w:t>targeted s</w:t>
      </w:r>
      <w:r w:rsidRPr="6786DB66">
        <w:rPr>
          <w:rFonts w:ascii="Calibri Light" w:eastAsia="Calibri Light" w:hAnsi="Calibri Light" w:cs="Calibri Light"/>
          <w:lang w:val="en-GB"/>
        </w:rPr>
        <w:t xml:space="preserve">ubmission </w:t>
      </w:r>
      <w:r w:rsidR="00316594">
        <w:rPr>
          <w:rFonts w:ascii="Calibri Light" w:eastAsia="Calibri Light" w:hAnsi="Calibri Light" w:cs="Calibri Light"/>
          <w:lang w:val="en-GB"/>
        </w:rPr>
        <w:t xml:space="preserve">(focus: trafficking in persons) </w:t>
      </w:r>
      <w:r w:rsidRPr="6786DB66">
        <w:rPr>
          <w:rFonts w:ascii="Calibri Light" w:eastAsia="Calibri Light" w:hAnsi="Calibri Light" w:cs="Calibri Light"/>
          <w:lang w:val="en-GB"/>
        </w:rPr>
        <w:t>to the Report of the UN High Commissioner for Human Rights</w:t>
      </w:r>
      <w:r w:rsidR="682B8A55" w:rsidRPr="6786DB66">
        <w:rPr>
          <w:rFonts w:ascii="Calibri Light" w:eastAsia="Calibri Light" w:hAnsi="Calibri Light" w:cs="Calibri Light"/>
          <w:lang w:val="en-GB"/>
        </w:rPr>
        <w:t xml:space="preserve"> on technical standard-setting processes</w:t>
      </w:r>
      <w:r w:rsidR="00132A01">
        <w:rPr>
          <w:rFonts w:ascii="Calibri Light" w:eastAsia="Calibri Light" w:hAnsi="Calibri Light" w:cs="Calibri Light"/>
          <w:lang w:val="en-GB"/>
        </w:rPr>
        <w:t xml:space="preserve"> </w:t>
      </w:r>
      <w:r w:rsidR="00132A01" w:rsidRPr="00D416A4">
        <w:rPr>
          <w:rFonts w:ascii="Calibri Light" w:eastAsia="Calibri Light" w:hAnsi="Calibri Light" w:cs="Calibri Light"/>
          <w:lang w:val="en-GB"/>
        </w:rPr>
        <w:t>for new and emerging digital technologies</w:t>
      </w:r>
      <w:r w:rsidRPr="00132A01">
        <w:rPr>
          <w:rFonts w:ascii="Calibri Light" w:eastAsia="Calibri Light" w:hAnsi="Calibri Light" w:cs="Calibri Light"/>
          <w:lang w:val="en-GB"/>
        </w:rPr>
        <w:t>,</w:t>
      </w:r>
      <w:r w:rsidRPr="6786DB66">
        <w:rPr>
          <w:rFonts w:ascii="Calibri Light" w:eastAsia="Calibri Light" w:hAnsi="Calibri Light" w:cs="Calibri Light"/>
          <w:lang w:val="en-GB"/>
        </w:rPr>
        <w:t xml:space="preserve"> March 2023</w:t>
      </w:r>
    </w:p>
    <w:p w14:paraId="0FBDB896" w14:textId="04221A32" w:rsidR="00A64837" w:rsidRDefault="00A64837" w:rsidP="6786DB66">
      <w:pPr>
        <w:spacing w:line="276" w:lineRule="auto"/>
        <w:ind w:firstLine="708"/>
        <w:jc w:val="both"/>
        <w:rPr>
          <w:rFonts w:ascii="Calibri" w:eastAsia="Calibri" w:hAnsi="Calibri" w:cs="Calibri"/>
          <w:color w:val="000000" w:themeColor="text1"/>
          <w:sz w:val="24"/>
          <w:szCs w:val="24"/>
          <w:lang w:val="en-GB"/>
        </w:rPr>
      </w:pPr>
    </w:p>
    <w:p w14:paraId="1A28A9A7" w14:textId="582AA83D" w:rsidR="00A64837" w:rsidRPr="00D416A4" w:rsidRDefault="13C66FDE" w:rsidP="00D416A4">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The United Nations Office on Drugs and Crime (UNODC) welcomes the upcoming publication by the UN High Commissioner for Human Rights of a report on “</w:t>
      </w:r>
      <w:r w:rsidR="77A0B3A0" w:rsidRPr="00D416A4">
        <w:rPr>
          <w:rFonts w:eastAsia="Calibri" w:cstheme="minorHAnsi"/>
          <w:i/>
          <w:iCs/>
          <w:color w:val="000000" w:themeColor="text1"/>
          <w:lang w:val="en-GB"/>
        </w:rPr>
        <w:t>the relationship between human rights and technical standard-setting processes for new and emerging digital technologies</w:t>
      </w:r>
      <w:r w:rsidRPr="00D416A4">
        <w:rPr>
          <w:rFonts w:eastAsia="Calibri" w:cstheme="minorHAnsi"/>
          <w:color w:val="000000" w:themeColor="text1"/>
          <w:lang w:val="en-GB"/>
        </w:rPr>
        <w:t>”.</w:t>
      </w:r>
    </w:p>
    <w:p w14:paraId="0219CB70" w14:textId="0996E6BB" w:rsidR="00A64837" w:rsidRPr="00D416A4" w:rsidRDefault="13C66FDE" w:rsidP="00D416A4">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 xml:space="preserve">As the guardian of the United Nations Convention against Transnational Organized Crime (UNTOC) and </w:t>
      </w:r>
      <w:r w:rsidR="006D5E24">
        <w:rPr>
          <w:rFonts w:eastAsia="Calibri" w:cstheme="minorHAnsi"/>
          <w:color w:val="000000" w:themeColor="text1"/>
          <w:lang w:val="en-GB"/>
        </w:rPr>
        <w:t>its</w:t>
      </w:r>
      <w:r w:rsidRPr="00D416A4">
        <w:rPr>
          <w:rFonts w:eastAsia="Calibri" w:cstheme="minorHAnsi"/>
          <w:color w:val="000000" w:themeColor="text1"/>
          <w:lang w:val="en-GB"/>
        </w:rPr>
        <w:t xml:space="preserve"> Protocol against Trafficking in Persons, especially Women and Children (Trafficking in Persons Protocol), UNODC strives to advance the agenda on countering human trafficking, as well as to protect and assist trafficking victims, with full respect for their human rights. UNODC wishes to support the </w:t>
      </w:r>
      <w:r w:rsidR="0C897884" w:rsidRPr="00D416A4">
        <w:rPr>
          <w:rFonts w:eastAsia="Calibri" w:cstheme="minorHAnsi"/>
          <w:color w:val="000000" w:themeColor="text1"/>
          <w:lang w:val="en-GB"/>
        </w:rPr>
        <w:t>High Commissioner</w:t>
      </w:r>
      <w:r w:rsidRPr="00D416A4">
        <w:rPr>
          <w:rFonts w:eastAsia="Calibri" w:cstheme="minorHAnsi"/>
          <w:color w:val="000000" w:themeColor="text1"/>
          <w:lang w:val="en-GB"/>
        </w:rPr>
        <w:t xml:space="preserve"> by identifying the </w:t>
      </w:r>
      <w:r w:rsidRPr="00316594">
        <w:rPr>
          <w:rFonts w:eastAsia="Calibri" w:cstheme="minorHAnsi"/>
          <w:b/>
          <w:bCs/>
          <w:color w:val="000000" w:themeColor="text1"/>
          <w:u w:val="single"/>
          <w:lang w:val="en-GB"/>
        </w:rPr>
        <w:t>following priority areas</w:t>
      </w:r>
      <w:r w:rsidRPr="00D416A4">
        <w:rPr>
          <w:rFonts w:eastAsia="Calibri" w:cstheme="minorHAnsi"/>
          <w:color w:val="000000" w:themeColor="text1"/>
          <w:lang w:val="en-GB"/>
        </w:rPr>
        <w:t xml:space="preserve"> related to </w:t>
      </w:r>
      <w:r w:rsidR="00B1489F" w:rsidRPr="00D416A4">
        <w:rPr>
          <w:rFonts w:eastAsia="Calibri" w:cstheme="minorHAnsi"/>
          <w:color w:val="000000" w:themeColor="text1"/>
          <w:lang w:val="en-GB"/>
        </w:rPr>
        <w:t xml:space="preserve">the linkages between new technologies and the combat against </w:t>
      </w:r>
      <w:r w:rsidRPr="00D416A4">
        <w:rPr>
          <w:rFonts w:eastAsia="Calibri" w:cstheme="minorHAnsi"/>
          <w:color w:val="000000" w:themeColor="text1"/>
          <w:lang w:val="en-GB"/>
        </w:rPr>
        <w:t xml:space="preserve">human trafficking, </w:t>
      </w:r>
      <w:r w:rsidRPr="00316594">
        <w:rPr>
          <w:rFonts w:eastAsia="Calibri" w:cstheme="minorHAnsi"/>
          <w:b/>
          <w:bCs/>
          <w:color w:val="000000" w:themeColor="text1"/>
          <w:u w:val="single"/>
          <w:lang w:val="en-GB"/>
        </w:rPr>
        <w:t>which could inform the report</w:t>
      </w:r>
      <w:r w:rsidRPr="00D416A4">
        <w:rPr>
          <w:rFonts w:eastAsia="Calibri" w:cstheme="minorHAnsi"/>
          <w:color w:val="000000" w:themeColor="text1"/>
          <w:lang w:val="en-GB"/>
        </w:rPr>
        <w:t>.</w:t>
      </w:r>
    </w:p>
    <w:p w14:paraId="0744D115" w14:textId="7B968C13" w:rsidR="00A64837" w:rsidRPr="00D416A4" w:rsidRDefault="00635E47" w:rsidP="00355D52">
      <w:pPr>
        <w:pStyle w:val="ListParagraph"/>
        <w:numPr>
          <w:ilvl w:val="0"/>
          <w:numId w:val="4"/>
        </w:numPr>
        <w:spacing w:line="276" w:lineRule="auto"/>
        <w:jc w:val="both"/>
        <w:rPr>
          <w:rFonts w:eastAsia="Calibri" w:cstheme="minorHAnsi"/>
          <w:b/>
          <w:bCs/>
          <w:color w:val="4472C4" w:themeColor="accent1"/>
          <w:lang w:val="en-GB"/>
        </w:rPr>
      </w:pPr>
      <w:r w:rsidRPr="00D416A4">
        <w:rPr>
          <w:rFonts w:eastAsia="Calibri" w:cstheme="minorHAnsi"/>
          <w:b/>
          <w:bCs/>
          <w:color w:val="4472C4" w:themeColor="accent1"/>
          <w:lang w:val="en-GB"/>
        </w:rPr>
        <w:t>A grim reality: t</w:t>
      </w:r>
      <w:r w:rsidR="6D31E396" w:rsidRPr="00D416A4">
        <w:rPr>
          <w:rFonts w:eastAsia="Calibri" w:cstheme="minorHAnsi"/>
          <w:b/>
          <w:bCs/>
          <w:color w:val="4472C4" w:themeColor="accent1"/>
          <w:lang w:val="en-GB"/>
        </w:rPr>
        <w:t xml:space="preserve">he misuse of </w:t>
      </w:r>
      <w:r w:rsidR="00EC399B" w:rsidRPr="00D416A4">
        <w:rPr>
          <w:rFonts w:eastAsia="Calibri" w:cstheme="minorHAnsi"/>
          <w:b/>
          <w:bCs/>
          <w:color w:val="4472C4" w:themeColor="accent1"/>
          <w:lang w:val="en-GB"/>
        </w:rPr>
        <w:t xml:space="preserve">new </w:t>
      </w:r>
      <w:r w:rsidR="6D31E396" w:rsidRPr="00D416A4">
        <w:rPr>
          <w:rFonts w:eastAsia="Calibri" w:cstheme="minorHAnsi"/>
          <w:b/>
          <w:bCs/>
          <w:color w:val="4472C4" w:themeColor="accent1"/>
          <w:lang w:val="en-GB"/>
        </w:rPr>
        <w:t>technolog</w:t>
      </w:r>
      <w:r w:rsidR="00EC399B" w:rsidRPr="00D416A4">
        <w:rPr>
          <w:rFonts w:eastAsia="Calibri" w:cstheme="minorHAnsi"/>
          <w:b/>
          <w:bCs/>
          <w:color w:val="4472C4" w:themeColor="accent1"/>
          <w:lang w:val="en-GB"/>
        </w:rPr>
        <w:t>ies</w:t>
      </w:r>
      <w:r w:rsidR="6D31E396" w:rsidRPr="00D416A4">
        <w:rPr>
          <w:rFonts w:eastAsia="Calibri" w:cstheme="minorHAnsi"/>
          <w:b/>
          <w:bCs/>
          <w:color w:val="4472C4" w:themeColor="accent1"/>
          <w:lang w:val="en-GB"/>
        </w:rPr>
        <w:t xml:space="preserve"> </w:t>
      </w:r>
      <w:r w:rsidR="00AD422E" w:rsidRPr="00D416A4">
        <w:rPr>
          <w:rFonts w:eastAsia="Calibri" w:cstheme="minorHAnsi"/>
          <w:b/>
          <w:bCs/>
          <w:color w:val="4472C4" w:themeColor="accent1"/>
          <w:lang w:val="en-GB"/>
        </w:rPr>
        <w:t xml:space="preserve">to </w:t>
      </w:r>
      <w:r w:rsidR="00EC399B" w:rsidRPr="00D416A4">
        <w:rPr>
          <w:rFonts w:eastAsia="Calibri" w:cstheme="minorHAnsi"/>
          <w:b/>
          <w:bCs/>
          <w:color w:val="4472C4" w:themeColor="accent1"/>
          <w:lang w:val="en-GB"/>
        </w:rPr>
        <w:t>commit</w:t>
      </w:r>
      <w:r w:rsidR="00AD422E" w:rsidRPr="00D416A4">
        <w:rPr>
          <w:rFonts w:eastAsia="Calibri" w:cstheme="minorHAnsi"/>
          <w:b/>
          <w:bCs/>
          <w:color w:val="4472C4" w:themeColor="accent1"/>
          <w:lang w:val="en-GB"/>
        </w:rPr>
        <w:t xml:space="preserve"> </w:t>
      </w:r>
      <w:r w:rsidR="6D31E396" w:rsidRPr="00D416A4">
        <w:rPr>
          <w:rFonts w:eastAsia="Calibri" w:cstheme="minorHAnsi"/>
          <w:b/>
          <w:bCs/>
          <w:color w:val="4472C4" w:themeColor="accent1"/>
          <w:lang w:val="en-GB"/>
        </w:rPr>
        <w:t>trafficking in persons</w:t>
      </w:r>
    </w:p>
    <w:p w14:paraId="002B2703" w14:textId="6E05986C" w:rsidR="003402C6" w:rsidRPr="00D416A4" w:rsidRDefault="003402C6" w:rsidP="00D416A4">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 xml:space="preserve">Information and communications technology (ICT) has become an indispensable element of our lives, particularly following the </w:t>
      </w:r>
      <w:r w:rsidR="00316594">
        <w:rPr>
          <w:rFonts w:eastAsia="Calibri" w:cstheme="minorHAnsi"/>
          <w:color w:val="000000" w:themeColor="text1"/>
          <w:lang w:val="en-GB"/>
        </w:rPr>
        <w:t>onset</w:t>
      </w:r>
      <w:r w:rsidRPr="00D416A4">
        <w:rPr>
          <w:rFonts w:eastAsia="Calibri" w:cstheme="minorHAnsi"/>
          <w:color w:val="000000" w:themeColor="text1"/>
          <w:lang w:val="en-GB"/>
        </w:rPr>
        <w:t xml:space="preserve"> of the COVID-19 pandemic. However, as the use of technology expands and the world continues to digitally transform, human traffickers have kept pace and used the increased accessibility of technology to continue their criminal operations. </w:t>
      </w:r>
    </w:p>
    <w:p w14:paraId="1284461B" w14:textId="77777777" w:rsidR="003402C6" w:rsidRPr="00D416A4" w:rsidRDefault="003402C6" w:rsidP="00D416A4">
      <w:pPr>
        <w:spacing w:line="276" w:lineRule="auto"/>
        <w:jc w:val="both"/>
        <w:rPr>
          <w:rFonts w:eastAsia="Calibri" w:cstheme="minorHAnsi"/>
          <w:i/>
          <w:iCs/>
          <w:color w:val="000000" w:themeColor="text1"/>
          <w:lang w:val="en-GB"/>
        </w:rPr>
      </w:pPr>
      <w:r w:rsidRPr="00D416A4">
        <w:rPr>
          <w:rFonts w:eastAsia="Calibri" w:cstheme="minorHAnsi"/>
          <w:color w:val="000000" w:themeColor="text1"/>
          <w:lang w:val="en-GB"/>
        </w:rPr>
        <w:t>Advancements in communication encryption, the increasing use of virtual assets, the increasing number of users, and the lack of adequate legislation have all provided further incentives to traffickers to adapt their modus operandi and invest in misusing technology.</w:t>
      </w:r>
      <w:r w:rsidRPr="00D416A4">
        <w:rPr>
          <w:rStyle w:val="FootnoteReference"/>
          <w:rFonts w:eastAsia="Calibri" w:cstheme="minorHAnsi"/>
          <w:color w:val="000000" w:themeColor="text1"/>
          <w:lang w:val="en-GB"/>
        </w:rPr>
        <w:footnoteReference w:id="1"/>
      </w:r>
      <w:r w:rsidRPr="00D416A4">
        <w:rPr>
          <w:rFonts w:eastAsia="Calibri" w:cstheme="minorHAnsi"/>
          <w:color w:val="000000" w:themeColor="text1"/>
          <w:lang w:val="en-GB"/>
        </w:rPr>
        <w:t xml:space="preserve"> Such advancements have even led to some trafficking in persons activities moving almost completely online as there are reduced risks for perpetrators and can at times lead to a higher profitability of their market. They have developed sophisticated systems and used technology to continue committing criminal activities at every stage of the process (from identifying future victims and recruiting them to laundering the proceeds of the exploitation), across borders, and simultaneously in multiple locations.</w:t>
      </w:r>
    </w:p>
    <w:p w14:paraId="77822D22" w14:textId="67B55321" w:rsidR="003402C6" w:rsidRPr="00D416A4" w:rsidRDefault="003402C6" w:rsidP="00D416A4">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 xml:space="preserve">Traffickers can find a large volume of personal information about potential victims on the Internet, particularly on social media platforms, which contain publicly accessible details related to victims’ friends, family, location, job, holidays and tastes, revealing vulnerabilities and habits. Dating websites and apps can additionally enable for the geo-localisation of victims. This easily accessible information may enable </w:t>
      </w:r>
      <w:r w:rsidRPr="00D416A4">
        <w:rPr>
          <w:rFonts w:eastAsia="Calibri" w:cstheme="minorHAnsi"/>
          <w:color w:val="000000" w:themeColor="text1"/>
          <w:lang w:val="en-GB"/>
        </w:rPr>
        <w:lastRenderedPageBreak/>
        <w:t xml:space="preserve">traffickers to profile their victims before entering in contact with them and develop grooming strategies. Furthermore, </w:t>
      </w:r>
      <w:r w:rsidR="002C2415">
        <w:rPr>
          <w:rFonts w:eastAsia="Calibri" w:cstheme="minorHAnsi"/>
          <w:color w:val="000000" w:themeColor="text1"/>
          <w:lang w:val="en-GB"/>
        </w:rPr>
        <w:t>information and communications technology</w:t>
      </w:r>
      <w:r w:rsidRPr="00D416A4">
        <w:rPr>
          <w:rFonts w:eastAsia="Calibri" w:cstheme="minorHAnsi"/>
          <w:color w:val="000000" w:themeColor="text1"/>
          <w:lang w:val="en-GB"/>
        </w:rPr>
        <w:t xml:space="preserve"> offers traffickers a mask of anonymity while interacting with potential victims on social networks and communication apps as they can hide under different names or identities. End-to-end encryption of communications between traffickers and victims enables anonymity and confidentiality as it ensures that no third parties can access the communications. Traffickers may control the phone records of victims by using spyware, location-tracking applications and GPS to know victims’ location, or cameras in smartphones and video calls to see victims and their surroundings, all of which gives traffickers the ability to control victims remotely without ever having to meet them face-to-face. Traffickers can also use technology to execute psychological methods of control such as by threatening to upload nude photographs or the recording of sexual acts on video to the Internet. Finally</w:t>
      </w:r>
      <w:r w:rsidRPr="00D416A4">
        <w:rPr>
          <w:rFonts w:eastAsia="Calibri" w:cstheme="minorHAnsi"/>
          <w:i/>
          <w:iCs/>
          <w:color w:val="000000" w:themeColor="text1"/>
          <w:lang w:val="en-GB"/>
        </w:rPr>
        <w:t xml:space="preserve">, </w:t>
      </w:r>
      <w:r w:rsidRPr="00D416A4">
        <w:rPr>
          <w:rFonts w:eastAsia="Calibri" w:cstheme="minorHAnsi"/>
          <w:color w:val="000000" w:themeColor="text1"/>
          <w:lang w:val="en-GB"/>
        </w:rPr>
        <w:t>a fundamental feature of sexual exploitation is the use of online platforms. Traffickers advertise the sexual services of victims to clients on numerous platforms, repeatedly exploit victims through live streaming on multiple websites, upload videos of victims to be viewed limitlessly, and to trade and sell material created through trafficking in persons to a global audience. Further, ICT is often used to archive, store</w:t>
      </w:r>
      <w:r w:rsidR="002C2415">
        <w:rPr>
          <w:rFonts w:eastAsia="Calibri" w:cstheme="minorHAnsi"/>
          <w:color w:val="000000" w:themeColor="text1"/>
          <w:lang w:val="en-GB"/>
        </w:rPr>
        <w:t>,</w:t>
      </w:r>
      <w:r w:rsidRPr="00D416A4">
        <w:rPr>
          <w:rFonts w:eastAsia="Calibri" w:cstheme="minorHAnsi"/>
          <w:color w:val="000000" w:themeColor="text1"/>
          <w:lang w:val="en-GB"/>
        </w:rPr>
        <w:t xml:space="preserve"> and conceal materials, including on darknets, as they provide perpetrators with a greater degree of anonymity and enable them to better hide illegal materials from investigators.</w:t>
      </w:r>
      <w:r w:rsidRPr="00D416A4">
        <w:rPr>
          <w:rStyle w:val="FootnoteReference"/>
          <w:rFonts w:eastAsia="Calibri" w:cstheme="minorHAnsi"/>
          <w:color w:val="000000" w:themeColor="text1"/>
          <w:lang w:val="en-GB"/>
        </w:rPr>
        <w:footnoteReference w:id="2"/>
      </w:r>
      <w:r w:rsidRPr="00D416A4">
        <w:rPr>
          <w:rFonts w:eastAsia="Calibri" w:cstheme="minorHAnsi"/>
          <w:color w:val="000000" w:themeColor="text1"/>
          <w:lang w:val="en-GB"/>
        </w:rPr>
        <w:t xml:space="preserve"> </w:t>
      </w:r>
    </w:p>
    <w:p w14:paraId="65645F22" w14:textId="14B188D7" w:rsidR="003402C6" w:rsidRPr="00D416A4" w:rsidRDefault="003402C6" w:rsidP="00D416A4">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 xml:space="preserve">This overview </w:t>
      </w:r>
      <w:r w:rsidR="00316594">
        <w:rPr>
          <w:rFonts w:eastAsia="Calibri" w:cstheme="minorHAnsi"/>
          <w:color w:val="000000" w:themeColor="text1"/>
          <w:lang w:val="en-GB"/>
        </w:rPr>
        <w:t>seeks to demonstrate</w:t>
      </w:r>
      <w:r w:rsidRPr="00D416A4">
        <w:rPr>
          <w:rFonts w:eastAsia="Calibri" w:cstheme="minorHAnsi"/>
          <w:color w:val="000000" w:themeColor="text1"/>
          <w:lang w:val="en-GB"/>
        </w:rPr>
        <w:t xml:space="preserve"> that </w:t>
      </w:r>
      <w:r w:rsidRPr="004528B3">
        <w:rPr>
          <w:rFonts w:eastAsia="Calibri" w:cstheme="minorHAnsi"/>
          <w:b/>
          <w:bCs/>
          <w:color w:val="000000" w:themeColor="text1"/>
          <w:u w:val="single"/>
          <w:lang w:val="en-GB"/>
        </w:rPr>
        <w:t>traffickers have been fast at using new technologies for committing their crime</w:t>
      </w:r>
      <w:r w:rsidRPr="00D416A4">
        <w:rPr>
          <w:rFonts w:eastAsia="Calibri" w:cstheme="minorHAnsi"/>
          <w:color w:val="000000" w:themeColor="text1"/>
          <w:lang w:val="en-GB"/>
        </w:rPr>
        <w:t xml:space="preserve">. Moreover, as the </w:t>
      </w:r>
      <w:r w:rsidR="00316594">
        <w:rPr>
          <w:rFonts w:eastAsia="Calibri" w:cstheme="minorHAnsi"/>
          <w:color w:val="000000" w:themeColor="text1"/>
          <w:lang w:val="en-GB"/>
        </w:rPr>
        <w:t xml:space="preserve">UN </w:t>
      </w:r>
      <w:r w:rsidRPr="00D416A4">
        <w:rPr>
          <w:rFonts w:eastAsia="Calibri" w:cstheme="minorHAnsi"/>
          <w:color w:val="000000" w:themeColor="text1"/>
          <w:lang w:val="en-GB"/>
        </w:rPr>
        <w:t xml:space="preserve">Global Report on Trafficking in Persons (2022) states, </w:t>
      </w:r>
      <w:r w:rsidRPr="004528B3">
        <w:rPr>
          <w:rFonts w:eastAsia="Calibri" w:cstheme="minorHAnsi"/>
          <w:b/>
          <w:bCs/>
          <w:color w:val="000000" w:themeColor="text1"/>
          <w:u w:val="single"/>
          <w:lang w:val="en-GB"/>
        </w:rPr>
        <w:t>advancement toward communication encryption, increasing use of virtual assets, increasing number of users and a lack of adequate legislation are likely to provide further incentives to traffickers to invest in misusing technology</w:t>
      </w:r>
      <w:r w:rsidRPr="00D416A4">
        <w:rPr>
          <w:rFonts w:eastAsia="Calibri" w:cstheme="minorHAnsi"/>
          <w:color w:val="000000" w:themeColor="text1"/>
          <w:lang w:val="en-GB"/>
        </w:rPr>
        <w:t>.</w:t>
      </w:r>
      <w:r w:rsidRPr="00D416A4">
        <w:rPr>
          <w:rFonts w:cstheme="minorHAnsi"/>
          <w:vertAlign w:val="superscript"/>
          <w:lang w:val="en-GB"/>
        </w:rPr>
        <w:footnoteReference w:id="3"/>
      </w:r>
    </w:p>
    <w:p w14:paraId="3FA71B1F" w14:textId="40CCA79D" w:rsidR="003402C6" w:rsidRPr="00D416A4" w:rsidRDefault="003402C6" w:rsidP="00D416A4">
      <w:pPr>
        <w:pStyle w:val="ListParagraph"/>
        <w:numPr>
          <w:ilvl w:val="0"/>
          <w:numId w:val="4"/>
        </w:numPr>
        <w:spacing w:line="276" w:lineRule="auto"/>
        <w:jc w:val="both"/>
        <w:rPr>
          <w:rFonts w:eastAsia="Calibri" w:cstheme="minorHAnsi"/>
          <w:b/>
          <w:bCs/>
          <w:color w:val="4472C4" w:themeColor="accent1"/>
          <w:lang w:val="en-GB"/>
        </w:rPr>
      </w:pPr>
      <w:r w:rsidRPr="00D416A4">
        <w:rPr>
          <w:rFonts w:eastAsia="Calibri" w:cstheme="minorHAnsi"/>
          <w:b/>
          <w:bCs/>
          <w:color w:val="4472C4" w:themeColor="accent1"/>
          <w:lang w:val="en-GB"/>
        </w:rPr>
        <w:t xml:space="preserve">The use of technological solutions </w:t>
      </w:r>
      <w:r w:rsidR="003D7A79" w:rsidRPr="00D416A4">
        <w:rPr>
          <w:rFonts w:eastAsia="Calibri" w:cstheme="minorHAnsi"/>
          <w:b/>
          <w:bCs/>
          <w:color w:val="4472C4" w:themeColor="accent1"/>
          <w:lang w:val="en-GB"/>
        </w:rPr>
        <w:t xml:space="preserve">by law enforcement </w:t>
      </w:r>
      <w:r w:rsidR="008B397C" w:rsidRPr="00D416A4">
        <w:rPr>
          <w:rFonts w:eastAsia="Calibri" w:cstheme="minorHAnsi"/>
          <w:b/>
          <w:bCs/>
          <w:color w:val="4472C4" w:themeColor="accent1"/>
          <w:lang w:val="en-GB"/>
        </w:rPr>
        <w:t xml:space="preserve">must be </w:t>
      </w:r>
      <w:r w:rsidRPr="00D416A4">
        <w:rPr>
          <w:rFonts w:eastAsia="Calibri" w:cstheme="minorHAnsi"/>
          <w:b/>
          <w:bCs/>
          <w:color w:val="4472C4" w:themeColor="accent1"/>
          <w:lang w:val="en-GB"/>
        </w:rPr>
        <w:t>in line with human rights obligations</w:t>
      </w:r>
    </w:p>
    <w:p w14:paraId="3FB6613D" w14:textId="7152FDEB" w:rsidR="001830E0" w:rsidRPr="00D416A4" w:rsidRDefault="001830E0" w:rsidP="00355D52">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 xml:space="preserve">For these reasons, it has become essential for States </w:t>
      </w:r>
      <w:r w:rsidR="00B84D56" w:rsidRPr="00D416A4">
        <w:rPr>
          <w:rFonts w:eastAsia="Calibri" w:cstheme="minorHAnsi"/>
          <w:color w:val="000000" w:themeColor="text1"/>
          <w:lang w:val="en-GB"/>
        </w:rPr>
        <w:t xml:space="preserve">and their criminal justice system </w:t>
      </w:r>
      <w:r w:rsidRPr="00D416A4">
        <w:rPr>
          <w:rFonts w:eastAsia="Calibri" w:cstheme="minorHAnsi"/>
          <w:color w:val="000000" w:themeColor="text1"/>
          <w:lang w:val="en-GB"/>
        </w:rPr>
        <w:t>to</w:t>
      </w:r>
      <w:r w:rsidR="00B84D56" w:rsidRPr="00D416A4">
        <w:rPr>
          <w:rFonts w:eastAsia="Calibri" w:cstheme="minorHAnsi"/>
          <w:color w:val="000000" w:themeColor="text1"/>
          <w:lang w:val="en-GB"/>
        </w:rPr>
        <w:t xml:space="preserve"> have the tools</w:t>
      </w:r>
      <w:r w:rsidR="0099057A" w:rsidRPr="00D416A4">
        <w:rPr>
          <w:rFonts w:eastAsia="Calibri" w:cstheme="minorHAnsi"/>
          <w:color w:val="000000" w:themeColor="text1"/>
          <w:lang w:val="en-GB"/>
        </w:rPr>
        <w:t>, digital expertise</w:t>
      </w:r>
      <w:r w:rsidR="000F7959" w:rsidRPr="00D416A4">
        <w:rPr>
          <w:rFonts w:eastAsia="Calibri" w:cstheme="minorHAnsi"/>
          <w:color w:val="000000" w:themeColor="text1"/>
          <w:lang w:val="en-GB"/>
        </w:rPr>
        <w:t xml:space="preserve"> and framework</w:t>
      </w:r>
      <w:r w:rsidR="0099057A" w:rsidRPr="00D416A4">
        <w:rPr>
          <w:rFonts w:eastAsia="Calibri" w:cstheme="minorHAnsi"/>
          <w:color w:val="000000" w:themeColor="text1"/>
          <w:lang w:val="en-GB"/>
        </w:rPr>
        <w:t>s</w:t>
      </w:r>
      <w:r w:rsidRPr="00D416A4">
        <w:rPr>
          <w:rFonts w:eastAsia="Calibri" w:cstheme="minorHAnsi"/>
          <w:color w:val="000000" w:themeColor="text1"/>
          <w:lang w:val="en-GB"/>
        </w:rPr>
        <w:t xml:space="preserve"> be able to investigate and prosecute this crime</w:t>
      </w:r>
      <w:r w:rsidR="0099057A" w:rsidRPr="00D416A4">
        <w:rPr>
          <w:rFonts w:eastAsia="Calibri" w:cstheme="minorHAnsi"/>
          <w:color w:val="000000" w:themeColor="text1"/>
          <w:lang w:val="en-GB"/>
        </w:rPr>
        <w:t xml:space="preserve"> effectively</w:t>
      </w:r>
      <w:r w:rsidR="000F7959" w:rsidRPr="00D416A4">
        <w:rPr>
          <w:rFonts w:eastAsia="Calibri" w:cstheme="minorHAnsi"/>
          <w:color w:val="000000" w:themeColor="text1"/>
          <w:lang w:val="en-GB"/>
        </w:rPr>
        <w:t xml:space="preserve">. </w:t>
      </w:r>
      <w:r w:rsidRPr="00D416A4">
        <w:rPr>
          <w:rFonts w:eastAsia="Calibri" w:cstheme="minorHAnsi"/>
          <w:color w:val="000000" w:themeColor="text1"/>
          <w:lang w:val="en-GB"/>
        </w:rPr>
        <w:t xml:space="preserve">However, </w:t>
      </w:r>
      <w:r w:rsidR="000F7959" w:rsidRPr="00D416A4">
        <w:rPr>
          <w:rFonts w:eastAsia="Calibri" w:cstheme="minorHAnsi"/>
          <w:color w:val="000000" w:themeColor="text1"/>
          <w:lang w:val="en-GB"/>
        </w:rPr>
        <w:t xml:space="preserve">in </w:t>
      </w:r>
      <w:r w:rsidR="001409E6" w:rsidRPr="00D416A4">
        <w:rPr>
          <w:rFonts w:eastAsia="Calibri" w:cstheme="minorHAnsi"/>
          <w:color w:val="000000" w:themeColor="text1"/>
          <w:lang w:val="en-GB"/>
        </w:rPr>
        <w:t xml:space="preserve">this rapidly evolving environment, </w:t>
      </w:r>
      <w:r w:rsidR="00AA30FA" w:rsidRPr="00D416A4">
        <w:rPr>
          <w:rFonts w:eastAsia="Calibri" w:cstheme="minorHAnsi"/>
          <w:color w:val="000000" w:themeColor="text1"/>
          <w:lang w:val="en-GB"/>
        </w:rPr>
        <w:t xml:space="preserve">States must be acutely aware of the dangers </w:t>
      </w:r>
      <w:r w:rsidR="00934F0F" w:rsidRPr="00D416A4">
        <w:rPr>
          <w:rFonts w:eastAsia="Calibri" w:cstheme="minorHAnsi"/>
          <w:color w:val="000000" w:themeColor="text1"/>
          <w:lang w:val="en-GB"/>
        </w:rPr>
        <w:t>new technologies</w:t>
      </w:r>
      <w:r w:rsidR="00AA30FA" w:rsidRPr="00D416A4">
        <w:rPr>
          <w:rFonts w:eastAsia="Calibri" w:cstheme="minorHAnsi"/>
          <w:color w:val="000000" w:themeColor="text1"/>
          <w:lang w:val="en-GB"/>
        </w:rPr>
        <w:t xml:space="preserve"> </w:t>
      </w:r>
      <w:r w:rsidR="00316594">
        <w:rPr>
          <w:rFonts w:eastAsia="Calibri" w:cstheme="minorHAnsi"/>
          <w:color w:val="000000" w:themeColor="text1"/>
          <w:lang w:val="en-GB"/>
        </w:rPr>
        <w:t>pose</w:t>
      </w:r>
      <w:r w:rsidR="00AA30FA" w:rsidRPr="00D416A4">
        <w:rPr>
          <w:rFonts w:eastAsia="Calibri" w:cstheme="minorHAnsi"/>
          <w:color w:val="000000" w:themeColor="text1"/>
          <w:lang w:val="en-GB"/>
        </w:rPr>
        <w:t xml:space="preserve"> for the enjoyment of human rights</w:t>
      </w:r>
      <w:r w:rsidR="00EF4B1F" w:rsidRPr="00D416A4">
        <w:rPr>
          <w:rFonts w:eastAsia="Calibri" w:cstheme="minorHAnsi"/>
          <w:color w:val="000000" w:themeColor="text1"/>
          <w:lang w:val="en-GB"/>
        </w:rPr>
        <w:t xml:space="preserve">. Similarly, </w:t>
      </w:r>
      <w:r w:rsidR="00AA30FA" w:rsidRPr="00D416A4">
        <w:rPr>
          <w:rFonts w:eastAsia="Calibri" w:cstheme="minorHAnsi"/>
          <w:color w:val="000000" w:themeColor="text1"/>
          <w:lang w:val="en-GB"/>
        </w:rPr>
        <w:t xml:space="preserve">the use of </w:t>
      </w:r>
      <w:r w:rsidR="00F00CE1" w:rsidRPr="00D416A4">
        <w:rPr>
          <w:rFonts w:eastAsia="Calibri" w:cstheme="minorHAnsi"/>
          <w:color w:val="000000" w:themeColor="text1"/>
          <w:lang w:val="en-GB"/>
        </w:rPr>
        <w:t>new technology tools</w:t>
      </w:r>
      <w:r w:rsidR="00AA30FA" w:rsidRPr="00D416A4">
        <w:rPr>
          <w:rFonts w:eastAsia="Calibri" w:cstheme="minorHAnsi"/>
          <w:color w:val="000000" w:themeColor="text1"/>
          <w:lang w:val="en-GB"/>
        </w:rPr>
        <w:t xml:space="preserve"> </w:t>
      </w:r>
      <w:r w:rsidR="00EF4B1F" w:rsidRPr="00D416A4">
        <w:rPr>
          <w:rFonts w:eastAsia="Calibri" w:cstheme="minorHAnsi"/>
          <w:color w:val="000000" w:themeColor="text1"/>
          <w:lang w:val="en-GB"/>
        </w:rPr>
        <w:t xml:space="preserve">by law enforcement officials </w:t>
      </w:r>
      <w:r w:rsidR="00AA30FA" w:rsidRPr="00D416A4">
        <w:rPr>
          <w:rFonts w:eastAsia="Calibri" w:cstheme="minorHAnsi"/>
          <w:color w:val="000000" w:themeColor="text1"/>
          <w:lang w:val="en-GB"/>
        </w:rPr>
        <w:t>to fight human trafficking and child sexual exploitation online</w:t>
      </w:r>
      <w:r w:rsidR="00F430AA" w:rsidRPr="00D416A4">
        <w:rPr>
          <w:rFonts w:eastAsia="Calibri" w:cstheme="minorHAnsi"/>
          <w:color w:val="000000" w:themeColor="text1"/>
          <w:lang w:val="en-GB"/>
        </w:rPr>
        <w:t xml:space="preserve"> entails many severe risks of human rights violations if not </w:t>
      </w:r>
      <w:r w:rsidR="00D26709" w:rsidRPr="00D416A4">
        <w:rPr>
          <w:rFonts w:eastAsia="Calibri" w:cstheme="minorHAnsi"/>
          <w:color w:val="000000" w:themeColor="text1"/>
          <w:lang w:val="en-GB"/>
        </w:rPr>
        <w:t>accompanied by the right guarantees and safeguards</w:t>
      </w:r>
      <w:r w:rsidR="00AA30FA" w:rsidRPr="00D416A4">
        <w:rPr>
          <w:rFonts w:eastAsia="Calibri" w:cstheme="minorHAnsi"/>
          <w:color w:val="000000" w:themeColor="text1"/>
          <w:lang w:val="en-GB"/>
        </w:rPr>
        <w:t>.</w:t>
      </w:r>
      <w:r w:rsidR="0097204F" w:rsidRPr="00D416A4">
        <w:rPr>
          <w:rFonts w:eastAsia="Calibri" w:cstheme="minorHAnsi"/>
          <w:color w:val="000000" w:themeColor="text1"/>
          <w:lang w:val="en-GB"/>
        </w:rPr>
        <w:t xml:space="preserve"> While</w:t>
      </w:r>
      <w:r w:rsidR="00555823" w:rsidRPr="00D416A4">
        <w:rPr>
          <w:rFonts w:eastAsia="Calibri" w:cstheme="minorHAnsi"/>
          <w:color w:val="000000" w:themeColor="text1"/>
          <w:lang w:val="en-GB"/>
        </w:rPr>
        <w:t xml:space="preserve"> </w:t>
      </w:r>
      <w:r w:rsidR="002037B6" w:rsidRPr="00D416A4">
        <w:rPr>
          <w:rFonts w:eastAsia="Calibri" w:cstheme="minorHAnsi"/>
          <w:color w:val="000000" w:themeColor="text1"/>
          <w:lang w:val="en-GB"/>
        </w:rPr>
        <w:t xml:space="preserve">traditional </w:t>
      </w:r>
      <w:r w:rsidR="00466802" w:rsidRPr="00D416A4">
        <w:rPr>
          <w:rFonts w:eastAsia="Calibri" w:cstheme="minorHAnsi"/>
          <w:color w:val="000000" w:themeColor="text1"/>
          <w:lang w:val="en-GB"/>
        </w:rPr>
        <w:t xml:space="preserve">criminal justice and law enforcement must be </w:t>
      </w:r>
      <w:r w:rsidR="000852AC" w:rsidRPr="00D416A4">
        <w:rPr>
          <w:rFonts w:eastAsia="Calibri" w:cstheme="minorHAnsi"/>
          <w:color w:val="000000" w:themeColor="text1"/>
          <w:lang w:val="en-GB"/>
        </w:rPr>
        <w:t>framed</w:t>
      </w:r>
      <w:r w:rsidR="00466802" w:rsidRPr="00D416A4">
        <w:rPr>
          <w:rFonts w:eastAsia="Calibri" w:cstheme="minorHAnsi"/>
          <w:color w:val="000000" w:themeColor="text1"/>
          <w:lang w:val="en-GB"/>
        </w:rPr>
        <w:t xml:space="preserve"> within a human right-based approach</w:t>
      </w:r>
      <w:r w:rsidR="00360828" w:rsidRPr="00D416A4">
        <w:rPr>
          <w:rFonts w:eastAsia="Calibri" w:cstheme="minorHAnsi"/>
          <w:color w:val="000000" w:themeColor="text1"/>
          <w:lang w:val="en-GB"/>
        </w:rPr>
        <w:t>, and these principles apply equally to the online world, some specific tools and</w:t>
      </w:r>
      <w:r w:rsidR="000852AC" w:rsidRPr="00D416A4">
        <w:rPr>
          <w:rFonts w:eastAsia="Calibri" w:cstheme="minorHAnsi"/>
          <w:color w:val="000000" w:themeColor="text1"/>
          <w:lang w:val="en-GB"/>
        </w:rPr>
        <w:t xml:space="preserve"> issues have emerged that are only related to new technologies.</w:t>
      </w:r>
    </w:p>
    <w:p w14:paraId="7B751640" w14:textId="4DD4E154" w:rsidR="00981D50" w:rsidRPr="00D416A4" w:rsidRDefault="008B1265" w:rsidP="00355D52">
      <w:pPr>
        <w:spacing w:line="276" w:lineRule="auto"/>
        <w:jc w:val="both"/>
        <w:rPr>
          <w:rFonts w:eastAsia="Calibri" w:cstheme="minorHAnsi"/>
          <w:i/>
          <w:iCs/>
          <w:color w:val="000000" w:themeColor="text1"/>
          <w:lang w:val="en-GB"/>
        </w:rPr>
      </w:pPr>
      <w:r w:rsidRPr="00D416A4">
        <w:rPr>
          <w:rFonts w:eastAsia="Calibri" w:cstheme="minorHAnsi"/>
          <w:i/>
          <w:iCs/>
          <w:color w:val="000000" w:themeColor="text1"/>
          <w:lang w:val="en-GB"/>
        </w:rPr>
        <w:t>E</w:t>
      </w:r>
      <w:r w:rsidR="00981D50" w:rsidRPr="00D416A4">
        <w:rPr>
          <w:rFonts w:eastAsia="Calibri" w:cstheme="minorHAnsi"/>
          <w:i/>
          <w:iCs/>
          <w:color w:val="000000" w:themeColor="text1"/>
          <w:lang w:val="en-GB"/>
        </w:rPr>
        <w:t>xcessive power</w:t>
      </w:r>
      <w:r w:rsidR="00822C7F" w:rsidRPr="00D416A4">
        <w:rPr>
          <w:rFonts w:eastAsia="Calibri" w:cstheme="minorHAnsi"/>
          <w:i/>
          <w:iCs/>
          <w:color w:val="000000" w:themeColor="text1"/>
          <w:lang w:val="en-GB"/>
        </w:rPr>
        <w:t>: the need for clear safeguards and oversight</w:t>
      </w:r>
    </w:p>
    <w:p w14:paraId="39EB8881" w14:textId="13A66CC5" w:rsidR="00007578" w:rsidRDefault="008407B4" w:rsidP="00F93DAF">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lastRenderedPageBreak/>
        <w:t xml:space="preserve">When investigating allegations of human trafficking </w:t>
      </w:r>
      <w:r w:rsidR="00EE2F20" w:rsidRPr="00D416A4">
        <w:rPr>
          <w:rFonts w:eastAsia="Calibri" w:cstheme="minorHAnsi"/>
          <w:color w:val="000000" w:themeColor="text1"/>
          <w:lang w:val="en-GB"/>
        </w:rPr>
        <w:t>or</w:t>
      </w:r>
      <w:r w:rsidRPr="00D416A4">
        <w:rPr>
          <w:rFonts w:eastAsia="Calibri" w:cstheme="minorHAnsi"/>
          <w:color w:val="000000" w:themeColor="text1"/>
          <w:lang w:val="en-GB"/>
        </w:rPr>
        <w:t xml:space="preserve"> proactively trying to </w:t>
      </w:r>
      <w:r w:rsidR="00F44B20" w:rsidRPr="00D416A4">
        <w:rPr>
          <w:rFonts w:eastAsia="Calibri" w:cstheme="minorHAnsi"/>
          <w:color w:val="000000" w:themeColor="text1"/>
          <w:lang w:val="en-GB"/>
        </w:rPr>
        <w:t xml:space="preserve">dismantle criminal networks using </w:t>
      </w:r>
      <w:r w:rsidR="009A5531" w:rsidRPr="00D416A4">
        <w:rPr>
          <w:rFonts w:eastAsia="Calibri" w:cstheme="minorHAnsi"/>
          <w:color w:val="000000" w:themeColor="text1"/>
          <w:lang w:val="en-GB"/>
        </w:rPr>
        <w:t>technology-based tools</w:t>
      </w:r>
      <w:r w:rsidR="00F44B20" w:rsidRPr="00D416A4">
        <w:rPr>
          <w:rFonts w:eastAsia="Calibri" w:cstheme="minorHAnsi"/>
          <w:color w:val="000000" w:themeColor="text1"/>
          <w:lang w:val="en-GB"/>
        </w:rPr>
        <w:t xml:space="preserve">, law enforcement officials </w:t>
      </w:r>
      <w:r w:rsidR="00EE2F20" w:rsidRPr="00D416A4">
        <w:rPr>
          <w:rFonts w:eastAsia="Calibri" w:cstheme="minorHAnsi"/>
          <w:color w:val="000000" w:themeColor="text1"/>
          <w:lang w:val="en-GB"/>
        </w:rPr>
        <w:t xml:space="preserve">should not be </w:t>
      </w:r>
      <w:r w:rsidR="00316594">
        <w:rPr>
          <w:rFonts w:eastAsia="Calibri" w:cstheme="minorHAnsi"/>
          <w:color w:val="000000" w:themeColor="text1"/>
          <w:lang w:val="en-GB"/>
        </w:rPr>
        <w:t xml:space="preserve">put </w:t>
      </w:r>
      <w:r w:rsidR="00EE2F20" w:rsidRPr="00D416A4">
        <w:rPr>
          <w:rFonts w:eastAsia="Calibri" w:cstheme="minorHAnsi"/>
          <w:color w:val="000000" w:themeColor="text1"/>
          <w:lang w:val="en-GB"/>
        </w:rPr>
        <w:t xml:space="preserve">in </w:t>
      </w:r>
      <w:r w:rsidR="00316594">
        <w:rPr>
          <w:rFonts w:eastAsia="Calibri" w:cstheme="minorHAnsi"/>
          <w:color w:val="000000" w:themeColor="text1"/>
          <w:lang w:val="en-GB"/>
        </w:rPr>
        <w:t xml:space="preserve">a </w:t>
      </w:r>
      <w:r w:rsidR="00EE2F20" w:rsidRPr="00D416A4">
        <w:rPr>
          <w:rFonts w:eastAsia="Calibri" w:cstheme="minorHAnsi"/>
          <w:color w:val="000000" w:themeColor="text1"/>
          <w:lang w:val="en-GB"/>
        </w:rPr>
        <w:t>position to use</w:t>
      </w:r>
      <w:r w:rsidR="00F44B20" w:rsidRPr="00D416A4">
        <w:rPr>
          <w:rFonts w:eastAsia="Calibri" w:cstheme="minorHAnsi"/>
          <w:color w:val="000000" w:themeColor="text1"/>
          <w:lang w:val="en-GB"/>
        </w:rPr>
        <w:t xml:space="preserve"> excessive power</w:t>
      </w:r>
      <w:r w:rsidR="009B5B34" w:rsidRPr="00D416A4">
        <w:rPr>
          <w:rFonts w:eastAsia="Calibri" w:cstheme="minorHAnsi"/>
          <w:color w:val="000000" w:themeColor="text1"/>
          <w:lang w:val="en-GB"/>
        </w:rPr>
        <w:t xml:space="preserve">. </w:t>
      </w:r>
      <w:r w:rsidR="00721AAE" w:rsidRPr="00D416A4">
        <w:rPr>
          <w:rFonts w:eastAsia="Calibri" w:cstheme="minorHAnsi"/>
          <w:color w:val="000000" w:themeColor="text1"/>
          <w:lang w:val="en-GB"/>
        </w:rPr>
        <w:t>In counter-trafficking investigations, officials mu</w:t>
      </w:r>
      <w:r w:rsidR="006E0C9A" w:rsidRPr="00D416A4">
        <w:rPr>
          <w:rFonts w:eastAsia="Calibri" w:cstheme="minorHAnsi"/>
          <w:color w:val="000000" w:themeColor="text1"/>
          <w:lang w:val="en-GB"/>
        </w:rPr>
        <w:t xml:space="preserve">st strictly abide to </w:t>
      </w:r>
      <w:r w:rsidR="00721AAE" w:rsidRPr="00D416A4">
        <w:rPr>
          <w:rFonts w:eastAsia="Calibri" w:cstheme="minorHAnsi"/>
          <w:color w:val="000000" w:themeColor="text1"/>
          <w:lang w:val="en-GB"/>
        </w:rPr>
        <w:t xml:space="preserve">the principles of necessity, proportionality, </w:t>
      </w:r>
      <w:r w:rsidR="009A5531" w:rsidRPr="00D416A4">
        <w:rPr>
          <w:rFonts w:eastAsia="Calibri" w:cstheme="minorHAnsi"/>
          <w:color w:val="000000" w:themeColor="text1"/>
          <w:lang w:val="en-GB"/>
        </w:rPr>
        <w:t>accountability,</w:t>
      </w:r>
      <w:r w:rsidR="007C5145" w:rsidRPr="00D416A4">
        <w:rPr>
          <w:rFonts w:eastAsia="Calibri" w:cstheme="minorHAnsi"/>
          <w:color w:val="000000" w:themeColor="text1"/>
          <w:lang w:val="en-GB"/>
        </w:rPr>
        <w:t xml:space="preserve"> </w:t>
      </w:r>
      <w:r w:rsidR="00721AAE" w:rsidRPr="00D416A4">
        <w:rPr>
          <w:rFonts w:eastAsia="Calibri" w:cstheme="minorHAnsi"/>
          <w:color w:val="000000" w:themeColor="text1"/>
          <w:lang w:val="en-GB"/>
        </w:rPr>
        <w:t xml:space="preserve">and legality, </w:t>
      </w:r>
      <w:r w:rsidR="006E0C9A" w:rsidRPr="00D416A4">
        <w:rPr>
          <w:rFonts w:eastAsia="Calibri" w:cstheme="minorHAnsi"/>
          <w:color w:val="000000" w:themeColor="text1"/>
          <w:lang w:val="en-GB"/>
        </w:rPr>
        <w:t>and respect</w:t>
      </w:r>
      <w:r w:rsidR="00721AAE" w:rsidRPr="00D416A4">
        <w:rPr>
          <w:rFonts w:eastAsia="Calibri" w:cstheme="minorHAnsi"/>
          <w:color w:val="000000" w:themeColor="text1"/>
          <w:lang w:val="en-GB"/>
        </w:rPr>
        <w:t xml:space="preserve"> </w:t>
      </w:r>
      <w:r w:rsidR="00721AAE" w:rsidRPr="00D416A4">
        <w:rPr>
          <w:rFonts w:cstheme="minorHAnsi"/>
        </w:rPr>
        <w:t>the protection of privacy</w:t>
      </w:r>
      <w:r w:rsidR="001E663A" w:rsidRPr="00D416A4">
        <w:rPr>
          <w:rFonts w:cstheme="minorHAnsi"/>
        </w:rPr>
        <w:t>, freedom of expression</w:t>
      </w:r>
      <w:r w:rsidR="00721AAE" w:rsidRPr="00D416A4">
        <w:rPr>
          <w:rFonts w:cstheme="minorHAnsi"/>
        </w:rPr>
        <w:t xml:space="preserve"> and personal data</w:t>
      </w:r>
      <w:r w:rsidR="00721AAE" w:rsidRPr="00D416A4">
        <w:rPr>
          <w:rFonts w:eastAsia="Calibri" w:cstheme="minorHAnsi"/>
          <w:color w:val="000000" w:themeColor="text1"/>
          <w:lang w:val="en-GB"/>
        </w:rPr>
        <w:t>.</w:t>
      </w:r>
      <w:r w:rsidR="00020943" w:rsidRPr="00D416A4">
        <w:rPr>
          <w:rFonts w:eastAsia="Calibri" w:cstheme="minorHAnsi"/>
          <w:color w:val="000000" w:themeColor="text1"/>
          <w:lang w:val="en-GB"/>
        </w:rPr>
        <w:t xml:space="preserve"> </w:t>
      </w:r>
      <w:r w:rsidR="00DF3F6A" w:rsidRPr="00DB0A52">
        <w:rPr>
          <w:rFonts w:eastAsia="Calibri" w:cstheme="minorHAnsi"/>
          <w:b/>
          <w:bCs/>
          <w:color w:val="000000" w:themeColor="text1"/>
          <w:u w:val="single"/>
          <w:lang w:val="en-GB"/>
        </w:rPr>
        <w:t xml:space="preserve">In the absence of </w:t>
      </w:r>
      <w:r w:rsidR="00C65E25" w:rsidRPr="00DB0A52">
        <w:rPr>
          <w:rFonts w:eastAsia="Calibri" w:cstheme="minorHAnsi"/>
          <w:b/>
          <w:bCs/>
          <w:color w:val="000000" w:themeColor="text1"/>
          <w:u w:val="single"/>
          <w:lang w:val="en-GB"/>
        </w:rPr>
        <w:t xml:space="preserve">sufficient </w:t>
      </w:r>
      <w:r w:rsidR="00DF3F6A" w:rsidRPr="00DB0A52">
        <w:rPr>
          <w:rFonts w:eastAsia="Calibri" w:cstheme="minorHAnsi"/>
          <w:b/>
          <w:bCs/>
          <w:color w:val="000000" w:themeColor="text1"/>
          <w:u w:val="single"/>
          <w:lang w:val="en-GB"/>
        </w:rPr>
        <w:t>safeguards</w:t>
      </w:r>
      <w:r w:rsidR="00842A97" w:rsidRPr="00DB0A52">
        <w:rPr>
          <w:rFonts w:eastAsia="Calibri" w:cstheme="minorHAnsi"/>
          <w:b/>
          <w:bCs/>
          <w:color w:val="000000" w:themeColor="text1"/>
          <w:u w:val="single"/>
          <w:lang w:val="en-GB"/>
        </w:rPr>
        <w:t xml:space="preserve"> and oversight</w:t>
      </w:r>
      <w:r w:rsidR="00020943" w:rsidRPr="00DB0A52">
        <w:rPr>
          <w:rFonts w:eastAsia="Calibri" w:cstheme="minorHAnsi"/>
          <w:b/>
          <w:bCs/>
          <w:color w:val="000000" w:themeColor="text1"/>
          <w:u w:val="single"/>
          <w:lang w:val="en-GB"/>
        </w:rPr>
        <w:t xml:space="preserve">, there could be for example </w:t>
      </w:r>
      <w:r w:rsidR="009B5B34" w:rsidRPr="00DB0A52">
        <w:rPr>
          <w:rFonts w:eastAsia="Calibri" w:cstheme="minorHAnsi"/>
          <w:b/>
          <w:bCs/>
          <w:color w:val="000000" w:themeColor="text1"/>
          <w:u w:val="single"/>
          <w:lang w:val="en-GB"/>
        </w:rPr>
        <w:t>risk</w:t>
      </w:r>
      <w:r w:rsidR="00020943" w:rsidRPr="00DB0A52">
        <w:rPr>
          <w:rFonts w:eastAsia="Calibri" w:cstheme="minorHAnsi"/>
          <w:b/>
          <w:bCs/>
          <w:color w:val="000000" w:themeColor="text1"/>
          <w:u w:val="single"/>
          <w:lang w:val="en-GB"/>
        </w:rPr>
        <w:t>s</w:t>
      </w:r>
      <w:r w:rsidR="009B5B34" w:rsidRPr="00DB0A52">
        <w:rPr>
          <w:rFonts w:eastAsia="Calibri" w:cstheme="minorHAnsi"/>
          <w:b/>
          <w:bCs/>
          <w:color w:val="000000" w:themeColor="text1"/>
          <w:u w:val="single"/>
          <w:lang w:val="en-GB"/>
        </w:rPr>
        <w:t xml:space="preserve"> of </w:t>
      </w:r>
      <w:r w:rsidR="001830E0" w:rsidRPr="00DB0A52">
        <w:rPr>
          <w:rFonts w:eastAsia="Calibri" w:cstheme="minorHAnsi"/>
          <w:b/>
          <w:bCs/>
          <w:color w:val="000000" w:themeColor="text1"/>
          <w:u w:val="single"/>
          <w:lang w:val="en-GB"/>
        </w:rPr>
        <w:t>unlawful and arbitrary surveillance of social</w:t>
      </w:r>
      <w:r w:rsidR="009B5B34" w:rsidRPr="00DB0A52">
        <w:rPr>
          <w:rFonts w:eastAsia="Calibri" w:cstheme="minorHAnsi"/>
          <w:b/>
          <w:bCs/>
          <w:color w:val="000000" w:themeColor="text1"/>
          <w:u w:val="single"/>
          <w:lang w:val="en-GB"/>
        </w:rPr>
        <w:t xml:space="preserve"> media</w:t>
      </w:r>
      <w:r w:rsidR="001830E0" w:rsidRPr="00DB0A52">
        <w:rPr>
          <w:rFonts w:eastAsia="Calibri" w:cstheme="minorHAnsi"/>
          <w:b/>
          <w:bCs/>
          <w:color w:val="000000" w:themeColor="text1"/>
          <w:u w:val="single"/>
          <w:lang w:val="en-GB"/>
        </w:rPr>
        <w:t xml:space="preserve"> platforms</w:t>
      </w:r>
      <w:r w:rsidR="00721AAE" w:rsidRPr="00DB0A52">
        <w:rPr>
          <w:rFonts w:eastAsia="Calibri" w:cstheme="minorHAnsi"/>
          <w:b/>
          <w:bCs/>
          <w:color w:val="000000" w:themeColor="text1"/>
          <w:u w:val="single"/>
          <w:lang w:val="en-GB"/>
        </w:rPr>
        <w:t xml:space="preserve"> and</w:t>
      </w:r>
      <w:r w:rsidR="001830E0" w:rsidRPr="00DB0A52">
        <w:rPr>
          <w:rFonts w:eastAsia="Calibri" w:cstheme="minorHAnsi"/>
          <w:b/>
          <w:bCs/>
          <w:color w:val="000000" w:themeColor="text1"/>
          <w:u w:val="single"/>
          <w:lang w:val="en-GB"/>
        </w:rPr>
        <w:t xml:space="preserve"> messaging app</w:t>
      </w:r>
      <w:r w:rsidR="009B5B34" w:rsidRPr="00DB0A52">
        <w:rPr>
          <w:rFonts w:eastAsia="Calibri" w:cstheme="minorHAnsi"/>
          <w:b/>
          <w:bCs/>
          <w:color w:val="000000" w:themeColor="text1"/>
          <w:u w:val="single"/>
          <w:lang w:val="en-GB"/>
        </w:rPr>
        <w:t>lications</w:t>
      </w:r>
      <w:r w:rsidR="00534CA1" w:rsidRPr="00DB0A52">
        <w:rPr>
          <w:rFonts w:eastAsia="Calibri" w:cstheme="minorHAnsi"/>
          <w:b/>
          <w:bCs/>
          <w:color w:val="000000" w:themeColor="text1"/>
          <w:u w:val="single"/>
          <w:lang w:val="en-GB"/>
        </w:rPr>
        <w:t xml:space="preserve"> under the pretext of fighting </w:t>
      </w:r>
      <w:r w:rsidR="003F7654" w:rsidRPr="00DB0A52">
        <w:rPr>
          <w:rFonts w:eastAsia="Calibri" w:cstheme="minorHAnsi"/>
          <w:b/>
          <w:bCs/>
          <w:color w:val="000000" w:themeColor="text1"/>
          <w:u w:val="single"/>
          <w:lang w:val="en-GB"/>
        </w:rPr>
        <w:t>trafficking in persons and other crimes</w:t>
      </w:r>
      <w:r w:rsidR="00020943" w:rsidRPr="00D416A4">
        <w:rPr>
          <w:rFonts w:eastAsia="Calibri" w:cstheme="minorHAnsi"/>
          <w:color w:val="000000" w:themeColor="text1"/>
          <w:lang w:val="en-GB"/>
        </w:rPr>
        <w:t>.</w:t>
      </w:r>
      <w:r w:rsidR="00B616BA" w:rsidRPr="00D416A4">
        <w:rPr>
          <w:rFonts w:eastAsia="Calibri" w:cstheme="minorHAnsi"/>
          <w:color w:val="000000" w:themeColor="text1"/>
          <w:lang w:val="en-GB"/>
        </w:rPr>
        <w:t xml:space="preserve"> </w:t>
      </w:r>
    </w:p>
    <w:p w14:paraId="67CB8E24" w14:textId="0048D2B3" w:rsidR="00397D3D" w:rsidRPr="00D416A4" w:rsidRDefault="00F93DAF" w:rsidP="00D416A4">
      <w:pPr>
        <w:spacing w:line="276" w:lineRule="auto"/>
        <w:jc w:val="both"/>
        <w:rPr>
          <w:rFonts w:eastAsia="Calibri" w:cstheme="minorHAnsi"/>
          <w:color w:val="000000" w:themeColor="text1"/>
          <w:lang w:val="en-GB"/>
        </w:rPr>
      </w:pPr>
      <w:r w:rsidRPr="004300B4">
        <w:rPr>
          <w:rFonts w:eastAsia="Calibri" w:cstheme="minorHAnsi"/>
          <w:color w:val="000000" w:themeColor="text1"/>
          <w:lang w:val="en-GB"/>
        </w:rPr>
        <w:t xml:space="preserve">In addition, the digital privacy of suspects and accused persons and </w:t>
      </w:r>
      <w:r w:rsidRPr="00DB0A52">
        <w:rPr>
          <w:rFonts w:eastAsia="Calibri" w:cstheme="minorHAnsi"/>
          <w:b/>
          <w:bCs/>
          <w:color w:val="000000" w:themeColor="text1"/>
          <w:u w:val="single"/>
          <w:lang w:val="en-GB"/>
        </w:rPr>
        <w:t>the adequate existence of safeguards and standards for law enforcement authorities in the obtaining of smartphones or computer passwords and in the decryption of private sector messaging apps should be ensured and monitored</w:t>
      </w:r>
      <w:r w:rsidR="00804346" w:rsidRPr="00DB0A52">
        <w:rPr>
          <w:rFonts w:eastAsia="Calibri" w:cstheme="minorHAnsi"/>
          <w:b/>
          <w:bCs/>
          <w:color w:val="000000" w:themeColor="text1"/>
          <w:u w:val="single"/>
          <w:lang w:val="en-GB"/>
        </w:rPr>
        <w:t>.</w:t>
      </w:r>
      <w:r w:rsidR="00804346">
        <w:rPr>
          <w:rStyle w:val="FootnoteReference"/>
          <w:rFonts w:eastAsia="Calibri" w:cstheme="minorHAnsi"/>
          <w:color w:val="000000" w:themeColor="text1"/>
          <w:lang w:val="en-GB"/>
        </w:rPr>
        <w:footnoteReference w:id="4"/>
      </w:r>
      <w:r w:rsidR="00804346" w:rsidRPr="00804346">
        <w:rPr>
          <w:rFonts w:eastAsia="Calibri" w:cstheme="minorHAnsi"/>
          <w:color w:val="000000" w:themeColor="text1"/>
          <w:lang w:val="en-GB"/>
        </w:rPr>
        <w:t xml:space="preserve"> </w:t>
      </w:r>
      <w:r w:rsidR="00B616BA" w:rsidRPr="00D416A4">
        <w:rPr>
          <w:rFonts w:eastAsia="Calibri" w:cstheme="minorHAnsi"/>
          <w:color w:val="000000" w:themeColor="text1"/>
          <w:lang w:val="en-GB"/>
        </w:rPr>
        <w:t xml:space="preserve">Law enforcement officials must thus follow </w:t>
      </w:r>
      <w:r w:rsidR="001830E0" w:rsidRPr="00D416A4">
        <w:rPr>
          <w:rFonts w:eastAsia="Calibri" w:cstheme="minorHAnsi"/>
          <w:color w:val="000000" w:themeColor="text1"/>
          <w:lang w:val="en-GB"/>
        </w:rPr>
        <w:t xml:space="preserve">a human rights-based approach </w:t>
      </w:r>
      <w:r w:rsidR="00B616BA" w:rsidRPr="00D416A4">
        <w:rPr>
          <w:rFonts w:eastAsia="Calibri" w:cstheme="minorHAnsi"/>
          <w:color w:val="000000" w:themeColor="text1"/>
          <w:lang w:val="en-GB"/>
        </w:rPr>
        <w:t>to</w:t>
      </w:r>
      <w:r w:rsidR="001830E0" w:rsidRPr="00D416A4">
        <w:rPr>
          <w:rFonts w:eastAsia="Calibri" w:cstheme="minorHAnsi"/>
          <w:color w:val="000000" w:themeColor="text1"/>
          <w:lang w:val="en-GB"/>
        </w:rPr>
        <w:t xml:space="preserve"> the fight against</w:t>
      </w:r>
      <w:r w:rsidR="00B616BA" w:rsidRPr="00D416A4">
        <w:rPr>
          <w:rFonts w:eastAsia="Calibri" w:cstheme="minorHAnsi"/>
          <w:color w:val="000000" w:themeColor="text1"/>
          <w:lang w:val="en-GB"/>
        </w:rPr>
        <w:t xml:space="preserve"> human trafficking online</w:t>
      </w:r>
      <w:r w:rsidR="00842A97" w:rsidRPr="00D416A4">
        <w:rPr>
          <w:rFonts w:eastAsia="Calibri" w:cstheme="minorHAnsi"/>
          <w:color w:val="000000" w:themeColor="text1"/>
          <w:lang w:val="en-GB"/>
        </w:rPr>
        <w:t xml:space="preserve"> under clear and strong safeguards</w:t>
      </w:r>
      <w:r w:rsidR="001B0499" w:rsidRPr="00D416A4">
        <w:rPr>
          <w:rFonts w:eastAsia="Calibri" w:cstheme="minorHAnsi"/>
          <w:color w:val="000000" w:themeColor="text1"/>
          <w:lang w:val="en-GB"/>
        </w:rPr>
        <w:t xml:space="preserve"> and oversight</w:t>
      </w:r>
      <w:r w:rsidR="00B616BA" w:rsidRPr="00D416A4">
        <w:rPr>
          <w:rFonts w:eastAsia="Calibri" w:cstheme="minorHAnsi"/>
          <w:color w:val="000000" w:themeColor="text1"/>
          <w:lang w:val="en-GB"/>
        </w:rPr>
        <w:t>.</w:t>
      </w:r>
      <w:r w:rsidR="008B4F17">
        <w:rPr>
          <w:rFonts w:eastAsia="Calibri" w:cstheme="minorHAnsi"/>
          <w:color w:val="000000" w:themeColor="text1"/>
          <w:lang w:val="en-GB"/>
        </w:rPr>
        <w:t xml:space="preserve"> </w:t>
      </w:r>
    </w:p>
    <w:p w14:paraId="267CC022" w14:textId="6B65040C" w:rsidR="00CF3EB3" w:rsidRPr="00D416A4" w:rsidRDefault="00CF3EB3" w:rsidP="00355D52">
      <w:pPr>
        <w:spacing w:line="276" w:lineRule="auto"/>
        <w:jc w:val="both"/>
        <w:rPr>
          <w:rFonts w:eastAsia="Calibri" w:cstheme="minorHAnsi"/>
          <w:i/>
          <w:iCs/>
          <w:color w:val="000000" w:themeColor="text1"/>
          <w:lang w:val="en-GB"/>
        </w:rPr>
      </w:pPr>
      <w:r w:rsidRPr="00D416A4">
        <w:rPr>
          <w:rFonts w:eastAsia="Calibri" w:cstheme="minorHAnsi"/>
          <w:i/>
          <w:iCs/>
          <w:color w:val="000000" w:themeColor="text1"/>
          <w:lang w:val="en-GB"/>
        </w:rPr>
        <w:t>Powerful tools to counter human trafficking</w:t>
      </w:r>
      <w:r w:rsidR="00A14008" w:rsidRPr="00D416A4">
        <w:rPr>
          <w:rFonts w:eastAsia="Calibri" w:cstheme="minorHAnsi"/>
          <w:i/>
          <w:iCs/>
          <w:color w:val="000000" w:themeColor="text1"/>
          <w:lang w:val="en-GB"/>
        </w:rPr>
        <w:t>? The risks linked to the misuse of new technologies</w:t>
      </w:r>
    </w:p>
    <w:p w14:paraId="43403E9A" w14:textId="632EA9D2" w:rsidR="002B2A6D" w:rsidRPr="00D416A4" w:rsidRDefault="002157E1" w:rsidP="00355D52">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T</w:t>
      </w:r>
      <w:r w:rsidRPr="00D416A4">
        <w:rPr>
          <w:rFonts w:cstheme="minorHAnsi"/>
        </w:rPr>
        <w:t>echnology</w:t>
      </w:r>
      <w:r w:rsidR="008F23F8" w:rsidRPr="00D416A4">
        <w:rPr>
          <w:rFonts w:cstheme="minorHAnsi"/>
        </w:rPr>
        <w:t xml:space="preserve">-based solutions that address the global scope of trafficking in persons, such as </w:t>
      </w:r>
      <w:r w:rsidR="008F23F8" w:rsidRPr="00D416A4">
        <w:rPr>
          <w:rFonts w:cstheme="minorHAnsi"/>
          <w:u w:val="single"/>
        </w:rPr>
        <w:t>data aggregation and data scanning tools</w:t>
      </w:r>
      <w:r w:rsidR="008F23F8" w:rsidRPr="00D416A4">
        <w:rPr>
          <w:rFonts w:cstheme="minorHAnsi"/>
        </w:rPr>
        <w:t xml:space="preserve"> that facilitate automatized information analysis</w:t>
      </w:r>
      <w:r w:rsidR="008F23F8" w:rsidRPr="00D416A4">
        <w:rPr>
          <w:rFonts w:eastAsia="Calibri" w:cstheme="minorHAnsi"/>
          <w:color w:val="000000" w:themeColor="text1"/>
          <w:lang w:val="en-GB"/>
        </w:rPr>
        <w:t xml:space="preserve"> </w:t>
      </w:r>
      <w:r w:rsidR="005B4B86" w:rsidRPr="00D416A4">
        <w:rPr>
          <w:rFonts w:eastAsia="Calibri" w:cstheme="minorHAnsi"/>
          <w:color w:val="000000" w:themeColor="text1"/>
          <w:lang w:val="en-GB"/>
        </w:rPr>
        <w:t xml:space="preserve">represent an opportunity for State to better </w:t>
      </w:r>
      <w:r w:rsidR="00B54947" w:rsidRPr="00D416A4">
        <w:rPr>
          <w:rFonts w:eastAsia="Calibri" w:cstheme="minorHAnsi"/>
          <w:color w:val="000000" w:themeColor="text1"/>
          <w:lang w:val="en-GB"/>
        </w:rPr>
        <w:t xml:space="preserve">investigate the criminal activities of human traffickers. </w:t>
      </w:r>
      <w:r w:rsidR="002B2A6D" w:rsidRPr="00D416A4">
        <w:rPr>
          <w:rFonts w:eastAsia="Calibri" w:cstheme="minorHAnsi"/>
          <w:color w:val="000000" w:themeColor="text1"/>
          <w:lang w:val="en-GB"/>
        </w:rPr>
        <w:t>Forensic processes to advance investigations of cases of trafficking in persons for sexual exploitation have been greatly improved through innovative technological methods and databases. For example, PhotoDNA, a technological tool developed by Microsoft, is used to create unique digital fingerprints (hashes) of confirmed child sexual abuse images and then compares the hash against other photos to find copies of the same image. By using this technology, Internet Service Providers and social media companies can block known, verified, child abuse content. Further, databases such as the Counter-Trafficking Data Collaborative (CTDC) and Tellfinder work to aggregate data human trafficking to better enable the eradication of crimes of trafficking and exploitation.</w:t>
      </w:r>
    </w:p>
    <w:p w14:paraId="685902BA" w14:textId="6B62A290" w:rsidR="00F4237E" w:rsidRPr="00D416A4" w:rsidRDefault="00F4237E" w:rsidP="00355D52">
      <w:pPr>
        <w:spacing w:line="276" w:lineRule="auto"/>
        <w:jc w:val="both"/>
        <w:rPr>
          <w:rFonts w:cstheme="minorHAnsi"/>
          <w:lang w:val="en-GB"/>
        </w:rPr>
      </w:pPr>
      <w:r w:rsidRPr="00D416A4">
        <w:rPr>
          <w:rFonts w:eastAsia="Calibri" w:cstheme="minorHAnsi"/>
          <w:color w:val="000000" w:themeColor="text1"/>
          <w:lang w:val="en-GB"/>
        </w:rPr>
        <w:t xml:space="preserve">However, their use must be </w:t>
      </w:r>
      <w:r w:rsidRPr="00D416A4">
        <w:rPr>
          <w:rFonts w:cstheme="minorHAnsi"/>
        </w:rPr>
        <w:t xml:space="preserve">in full compliance with international law and human rights obligations, including the right to privacy. </w:t>
      </w:r>
      <w:r w:rsidRPr="00D416A4">
        <w:rPr>
          <w:rFonts w:eastAsia="Calibri" w:cstheme="minorHAnsi"/>
          <w:color w:val="000000" w:themeColor="text1"/>
          <w:lang w:val="en-GB"/>
        </w:rPr>
        <w:t>For example, data aggregators and databanks can contain the personal details of millions of individuals. The misuse of these tools by law enforcement officials can lead to human rights abuses, such as violations of the right to liberty and security and freedom of expression.</w:t>
      </w:r>
      <w:r w:rsidR="004E60BC" w:rsidRPr="00D416A4">
        <w:rPr>
          <w:rFonts w:cstheme="minorHAnsi"/>
          <w:lang w:val="en-GB"/>
        </w:rPr>
        <w:t xml:space="preserve"> States should therefore </w:t>
      </w:r>
      <w:r w:rsidR="004E60BC" w:rsidRPr="00DB0A52">
        <w:rPr>
          <w:rFonts w:cstheme="minorHAnsi"/>
          <w:b/>
          <w:bCs/>
          <w:u w:val="single"/>
          <w:lang w:val="en-GB"/>
        </w:rPr>
        <w:t xml:space="preserve">ensure that data protection standards are respected and regularly assess the ethical and rights implications of using technological solutions such as </w:t>
      </w:r>
      <w:r w:rsidR="00BD5D5B" w:rsidRPr="00DB0A52">
        <w:rPr>
          <w:rFonts w:cstheme="minorHAnsi"/>
          <w:b/>
          <w:bCs/>
          <w:u w:val="single"/>
          <w:lang w:val="en-GB"/>
        </w:rPr>
        <w:t>large databanks</w:t>
      </w:r>
      <w:r w:rsidR="004E60BC" w:rsidRPr="00DB0A52">
        <w:rPr>
          <w:rFonts w:cstheme="minorHAnsi"/>
          <w:b/>
          <w:bCs/>
          <w:u w:val="single"/>
          <w:lang w:val="en-GB"/>
        </w:rPr>
        <w:t xml:space="preserve"> to fight trafficking in persons</w:t>
      </w:r>
      <w:r w:rsidR="004E60BC" w:rsidRPr="00D416A4">
        <w:rPr>
          <w:rFonts w:cstheme="minorHAnsi"/>
          <w:lang w:val="en-GB"/>
        </w:rPr>
        <w:t>.</w:t>
      </w:r>
    </w:p>
    <w:p w14:paraId="7D100916" w14:textId="6B958662" w:rsidR="005E4C76" w:rsidRPr="00D416A4" w:rsidRDefault="00DA2796" w:rsidP="00355D52">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 xml:space="preserve">The power of </w:t>
      </w:r>
      <w:r w:rsidRPr="00D416A4">
        <w:rPr>
          <w:rFonts w:eastAsia="Calibri" w:cstheme="minorHAnsi"/>
          <w:color w:val="000000" w:themeColor="text1"/>
          <w:u w:val="single"/>
          <w:lang w:val="en-GB"/>
        </w:rPr>
        <w:t>artificial intelligence</w:t>
      </w:r>
      <w:r w:rsidR="00D058E3" w:rsidRPr="00D416A4">
        <w:rPr>
          <w:rFonts w:eastAsia="Calibri" w:cstheme="minorHAnsi"/>
          <w:color w:val="000000" w:themeColor="text1"/>
          <w:u w:val="single"/>
          <w:lang w:val="en-GB"/>
        </w:rPr>
        <w:t>, data analytics</w:t>
      </w:r>
      <w:r w:rsidRPr="00D416A4">
        <w:rPr>
          <w:rFonts w:eastAsia="Calibri" w:cstheme="minorHAnsi"/>
          <w:color w:val="000000" w:themeColor="text1"/>
          <w:u w:val="single"/>
          <w:lang w:val="en-GB"/>
        </w:rPr>
        <w:t xml:space="preserve"> and machine learning</w:t>
      </w:r>
      <w:r w:rsidRPr="00D416A4">
        <w:rPr>
          <w:rFonts w:eastAsia="Calibri" w:cstheme="minorHAnsi"/>
          <w:color w:val="000000" w:themeColor="text1"/>
          <w:lang w:val="en-GB"/>
        </w:rPr>
        <w:t xml:space="preserve"> is increasingly being explored </w:t>
      </w:r>
      <w:r w:rsidR="00316594">
        <w:rPr>
          <w:rFonts w:eastAsia="Calibri" w:cstheme="minorHAnsi"/>
          <w:color w:val="000000" w:themeColor="text1"/>
          <w:lang w:val="en-GB"/>
        </w:rPr>
        <w:t xml:space="preserve">to enhance </w:t>
      </w:r>
      <w:r w:rsidRPr="00D416A4">
        <w:rPr>
          <w:rFonts w:eastAsia="Calibri" w:cstheme="minorHAnsi"/>
          <w:color w:val="000000" w:themeColor="text1"/>
          <w:lang w:val="en-GB"/>
        </w:rPr>
        <w:t>response</w:t>
      </w:r>
      <w:r w:rsidR="004528B3">
        <w:rPr>
          <w:rFonts w:eastAsia="Calibri" w:cstheme="minorHAnsi"/>
          <w:color w:val="000000" w:themeColor="text1"/>
          <w:lang w:val="en-GB"/>
        </w:rPr>
        <w:t>s</w:t>
      </w:r>
      <w:r w:rsidRPr="00D416A4">
        <w:rPr>
          <w:rFonts w:eastAsia="Calibri" w:cstheme="minorHAnsi"/>
          <w:color w:val="000000" w:themeColor="text1"/>
          <w:lang w:val="en-GB"/>
        </w:rPr>
        <w:t xml:space="preserve"> </w:t>
      </w:r>
      <w:r w:rsidR="004528B3">
        <w:rPr>
          <w:rFonts w:eastAsia="Calibri" w:cstheme="minorHAnsi"/>
          <w:color w:val="000000" w:themeColor="text1"/>
          <w:lang w:val="en-GB"/>
        </w:rPr>
        <w:t>to</w:t>
      </w:r>
      <w:r w:rsidRPr="00D416A4">
        <w:rPr>
          <w:rFonts w:eastAsia="Calibri" w:cstheme="minorHAnsi"/>
          <w:color w:val="000000" w:themeColor="text1"/>
          <w:lang w:val="en-GB"/>
        </w:rPr>
        <w:t xml:space="preserve"> trafficking in persons. </w:t>
      </w:r>
      <w:r w:rsidR="004528B3">
        <w:rPr>
          <w:rFonts w:eastAsia="Calibri" w:cstheme="minorHAnsi"/>
          <w:color w:val="000000" w:themeColor="text1"/>
          <w:lang w:val="en-GB"/>
        </w:rPr>
        <w:t>Such technology</w:t>
      </w:r>
      <w:r w:rsidRPr="00D416A4">
        <w:rPr>
          <w:rFonts w:eastAsia="Calibri" w:cstheme="minorHAnsi"/>
          <w:color w:val="000000" w:themeColor="text1"/>
          <w:lang w:val="en-GB"/>
        </w:rPr>
        <w:t xml:space="preserve"> can help to make large scale predictions and conclusion</w:t>
      </w:r>
      <w:r w:rsidR="004528B3">
        <w:rPr>
          <w:rFonts w:eastAsia="Calibri" w:cstheme="minorHAnsi"/>
          <w:color w:val="000000" w:themeColor="text1"/>
          <w:lang w:val="en-GB"/>
        </w:rPr>
        <w:t>s</w:t>
      </w:r>
      <w:r w:rsidRPr="00D416A4">
        <w:rPr>
          <w:rFonts w:eastAsia="Calibri" w:cstheme="minorHAnsi"/>
          <w:color w:val="000000" w:themeColor="text1"/>
          <w:lang w:val="en-GB"/>
        </w:rPr>
        <w:t xml:space="preserve"> without human intervention by combining and analysing intelligence from multiple sources through algorithms, such as those that enable facial recognition. Further, </w:t>
      </w:r>
      <w:r w:rsidR="002C3C47" w:rsidRPr="00D416A4">
        <w:rPr>
          <w:rFonts w:eastAsia="Calibri" w:cstheme="minorHAnsi"/>
          <w:color w:val="000000" w:themeColor="text1"/>
          <w:lang w:val="en-GB"/>
        </w:rPr>
        <w:t xml:space="preserve">artificial intelligence </w:t>
      </w:r>
      <w:r w:rsidRPr="00D416A4">
        <w:rPr>
          <w:rFonts w:eastAsia="Calibri" w:cstheme="minorHAnsi"/>
          <w:color w:val="000000" w:themeColor="text1"/>
          <w:lang w:val="en-GB"/>
        </w:rPr>
        <w:t xml:space="preserve">is reported </w:t>
      </w:r>
      <w:r w:rsidRPr="00D416A4">
        <w:rPr>
          <w:rFonts w:eastAsia="Calibri" w:cstheme="minorHAnsi"/>
          <w:color w:val="000000" w:themeColor="text1"/>
          <w:lang w:val="en-GB"/>
        </w:rPr>
        <w:lastRenderedPageBreak/>
        <w:t xml:space="preserve">to be an efficient tool for preventing and tracing money laundering from illicit trafficking activities by interpreting the signals that indicate criminal activity and analysing vase amounts of data. </w:t>
      </w:r>
    </w:p>
    <w:p w14:paraId="6F540CF0" w14:textId="698F0BE8" w:rsidR="001D5D7D" w:rsidRPr="00D416A4" w:rsidRDefault="00DA2796" w:rsidP="00355D52">
      <w:pPr>
        <w:spacing w:line="276" w:lineRule="auto"/>
        <w:jc w:val="both"/>
        <w:rPr>
          <w:rFonts w:eastAsia="Calibri" w:cstheme="minorHAnsi"/>
          <w:i/>
          <w:iCs/>
          <w:color w:val="000000" w:themeColor="text1"/>
          <w:lang w:val="en-GB"/>
        </w:rPr>
      </w:pPr>
      <w:r w:rsidRPr="00D416A4">
        <w:rPr>
          <w:rFonts w:eastAsia="Calibri" w:cstheme="minorHAnsi"/>
          <w:color w:val="000000" w:themeColor="text1"/>
          <w:lang w:val="en-GB"/>
        </w:rPr>
        <w:t xml:space="preserve">However, in using this technology there have been multiple instances of racial or gender bias and the inaccurate identification of targets. Thus, this </w:t>
      </w:r>
      <w:r w:rsidR="00D058E3" w:rsidRPr="00D416A4">
        <w:rPr>
          <w:rFonts w:eastAsia="Calibri" w:cstheme="minorHAnsi"/>
          <w:color w:val="000000" w:themeColor="text1"/>
          <w:lang w:val="en-GB"/>
        </w:rPr>
        <w:t xml:space="preserve">powerful </w:t>
      </w:r>
      <w:r w:rsidRPr="00D416A4">
        <w:rPr>
          <w:rFonts w:eastAsia="Calibri" w:cstheme="minorHAnsi"/>
          <w:color w:val="000000" w:themeColor="text1"/>
          <w:lang w:val="en-GB"/>
        </w:rPr>
        <w:t>technology must be framed by strict safeguards and oversight, with human inputs and supervision to remove erroneous identifications, but also because it may lead to abusive government surveillance, corporate manipulation</w:t>
      </w:r>
      <w:r w:rsidR="0062529A" w:rsidRPr="00D416A4">
        <w:rPr>
          <w:rFonts w:eastAsia="Calibri" w:cstheme="minorHAnsi"/>
          <w:color w:val="000000" w:themeColor="text1"/>
          <w:lang w:val="en-GB"/>
        </w:rPr>
        <w:t>, as well as violations of the principles of non-discrimination</w:t>
      </w:r>
      <w:r w:rsidRPr="00D416A4">
        <w:rPr>
          <w:rFonts w:eastAsia="Calibri" w:cstheme="minorHAnsi"/>
          <w:color w:val="000000" w:themeColor="text1"/>
          <w:lang w:val="en-GB"/>
        </w:rPr>
        <w:t xml:space="preserve"> </w:t>
      </w:r>
      <w:r w:rsidR="0062529A" w:rsidRPr="00D416A4">
        <w:rPr>
          <w:rFonts w:eastAsia="Calibri" w:cstheme="minorHAnsi"/>
          <w:color w:val="000000" w:themeColor="text1"/>
          <w:lang w:val="en-GB"/>
        </w:rPr>
        <w:t>and</w:t>
      </w:r>
      <w:r w:rsidRPr="00D416A4">
        <w:rPr>
          <w:rFonts w:eastAsia="Calibri" w:cstheme="minorHAnsi"/>
          <w:color w:val="000000" w:themeColor="text1"/>
          <w:lang w:val="en-GB"/>
        </w:rPr>
        <w:t xml:space="preserve"> privacy if misused.</w:t>
      </w:r>
      <w:r w:rsidR="00C97844" w:rsidRPr="00D416A4">
        <w:rPr>
          <w:rFonts w:cstheme="minorHAnsi"/>
        </w:rPr>
        <w:t xml:space="preserve"> </w:t>
      </w:r>
      <w:r w:rsidR="005E4C76" w:rsidRPr="004528B3">
        <w:rPr>
          <w:rFonts w:cstheme="minorHAnsi"/>
          <w:b/>
          <w:bCs/>
          <w:u w:val="single"/>
        </w:rPr>
        <w:t>States must thus ensure</w:t>
      </w:r>
      <w:r w:rsidR="005E4C76" w:rsidRPr="004528B3">
        <w:rPr>
          <w:rFonts w:cstheme="minorHAnsi"/>
          <w:b/>
          <w:bCs/>
          <w:u w:val="single"/>
          <w:lang w:val="en-GB"/>
        </w:rPr>
        <w:t xml:space="preserve"> that the application of artificial intelligence in investigating and prosecuting trafficking in persons is complemented by appropriate regulations to foster online safety, with due regard for the protection of victims’ rights.</w:t>
      </w:r>
    </w:p>
    <w:p w14:paraId="534FA9DD" w14:textId="559B4551" w:rsidR="00981D50" w:rsidRPr="00D416A4" w:rsidRDefault="00981D50" w:rsidP="00355D52">
      <w:pPr>
        <w:spacing w:line="276" w:lineRule="auto"/>
        <w:jc w:val="both"/>
        <w:rPr>
          <w:rFonts w:eastAsia="Calibri" w:cstheme="minorHAnsi"/>
          <w:i/>
          <w:iCs/>
          <w:color w:val="000000" w:themeColor="text1"/>
          <w:lang w:val="en-GB"/>
        </w:rPr>
      </w:pPr>
      <w:r w:rsidRPr="00D416A4">
        <w:rPr>
          <w:rFonts w:eastAsia="Calibri" w:cstheme="minorHAnsi"/>
          <w:i/>
          <w:iCs/>
          <w:color w:val="000000" w:themeColor="text1"/>
          <w:lang w:val="en-GB"/>
        </w:rPr>
        <w:t>Lack of digital expertise</w:t>
      </w:r>
      <w:r w:rsidR="00B72DB4" w:rsidRPr="00D416A4">
        <w:rPr>
          <w:rFonts w:eastAsia="Calibri" w:cstheme="minorHAnsi"/>
          <w:i/>
          <w:iCs/>
          <w:color w:val="000000" w:themeColor="text1"/>
          <w:lang w:val="en-GB"/>
        </w:rPr>
        <w:t xml:space="preserve"> by investigative authorities</w:t>
      </w:r>
    </w:p>
    <w:p w14:paraId="286145DD" w14:textId="77777777" w:rsidR="00AC7376" w:rsidRDefault="00A731AD" w:rsidP="00355D52">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The rapid evolution of new technologies represents a great challenge for States and their law enforcement officials tend to face difficulties to keep up with digitalisation and have sufficient digital expertise. In the fight against human traffickers using online technologies, the challenge is not only to manage to uncover their actions and prosecute them, but also to safely handle information and e</w:t>
      </w:r>
      <w:r w:rsidR="00DD6F28" w:rsidRPr="00D416A4">
        <w:rPr>
          <w:rFonts w:eastAsia="Calibri" w:cstheme="minorHAnsi"/>
          <w:color w:val="000000" w:themeColor="text1"/>
          <w:lang w:val="en-GB"/>
        </w:rPr>
        <w:t>lectronic e</w:t>
      </w:r>
      <w:r w:rsidRPr="00D416A4">
        <w:rPr>
          <w:rFonts w:eastAsia="Calibri" w:cstheme="minorHAnsi"/>
          <w:color w:val="000000" w:themeColor="text1"/>
          <w:lang w:val="en-GB"/>
        </w:rPr>
        <w:t xml:space="preserve">vidence during these investigations. </w:t>
      </w:r>
    </w:p>
    <w:p w14:paraId="52135FA8" w14:textId="62513BB6" w:rsidR="00AC7376" w:rsidRDefault="00A731AD" w:rsidP="00355D52">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This is concerning, for example</w:t>
      </w:r>
      <w:r w:rsidR="004528B3">
        <w:rPr>
          <w:rFonts w:eastAsia="Calibri" w:cstheme="minorHAnsi"/>
          <w:color w:val="000000" w:themeColor="text1"/>
          <w:lang w:val="en-GB"/>
        </w:rPr>
        <w:t>,</w:t>
      </w:r>
      <w:r w:rsidRPr="00D416A4">
        <w:rPr>
          <w:rFonts w:eastAsia="Calibri" w:cstheme="minorHAnsi"/>
          <w:color w:val="000000" w:themeColor="text1"/>
          <w:lang w:val="en-GB"/>
        </w:rPr>
        <w:t xml:space="preserve"> in the case where e</w:t>
      </w:r>
      <w:r w:rsidR="00DD6F28" w:rsidRPr="00D416A4">
        <w:rPr>
          <w:rFonts w:eastAsia="Calibri" w:cstheme="minorHAnsi"/>
          <w:color w:val="000000" w:themeColor="text1"/>
          <w:lang w:val="en-GB"/>
        </w:rPr>
        <w:t xml:space="preserve">lectronic </w:t>
      </w:r>
      <w:r w:rsidRPr="00D416A4">
        <w:rPr>
          <w:rFonts w:eastAsia="Calibri" w:cstheme="minorHAnsi"/>
          <w:color w:val="000000" w:themeColor="text1"/>
          <w:lang w:val="en-GB"/>
        </w:rPr>
        <w:t>evidence would be exchanged, handled, and stored inappropriately, leading to violations of the right to privacy and eventually undermine the right to a fair trial. This risk is even more acute in transnational anti-trafficking operations, where investigative authorities from different countries possess different levels of digital expertise, leading to the unsafe collection and handling of e</w:t>
      </w:r>
      <w:r w:rsidR="006A6B1A" w:rsidRPr="00D416A4">
        <w:rPr>
          <w:rFonts w:eastAsia="Calibri" w:cstheme="minorHAnsi"/>
          <w:color w:val="000000" w:themeColor="text1"/>
          <w:lang w:val="en-GB"/>
        </w:rPr>
        <w:t>lectronic e</w:t>
      </w:r>
      <w:r w:rsidRPr="00D416A4">
        <w:rPr>
          <w:rFonts w:eastAsia="Calibri" w:cstheme="minorHAnsi"/>
          <w:color w:val="000000" w:themeColor="text1"/>
          <w:lang w:val="en-GB"/>
        </w:rPr>
        <w:t xml:space="preserve">vidence. </w:t>
      </w:r>
      <w:r w:rsidR="00AC7376" w:rsidRPr="00DB0A52">
        <w:rPr>
          <w:rFonts w:eastAsia="Calibri" w:cstheme="minorHAnsi"/>
          <w:b/>
          <w:bCs/>
          <w:color w:val="000000" w:themeColor="text1"/>
          <w:u w:val="single"/>
          <w:lang w:val="en-CA"/>
        </w:rPr>
        <w:t xml:space="preserve">In the course of criminal investigations, it is </w:t>
      </w:r>
      <w:r w:rsidR="00BC4BD5" w:rsidRPr="00DB0A52">
        <w:rPr>
          <w:rFonts w:eastAsia="Calibri" w:cstheme="minorHAnsi"/>
          <w:b/>
          <w:bCs/>
          <w:color w:val="000000" w:themeColor="text1"/>
          <w:u w:val="single"/>
          <w:lang w:val="en-CA"/>
        </w:rPr>
        <w:t xml:space="preserve">therefore </w:t>
      </w:r>
      <w:r w:rsidR="00AC7376" w:rsidRPr="00DB0A52">
        <w:rPr>
          <w:rFonts w:eastAsia="Calibri" w:cstheme="minorHAnsi"/>
          <w:b/>
          <w:bCs/>
          <w:color w:val="000000" w:themeColor="text1"/>
          <w:u w:val="single"/>
          <w:lang w:val="en-CA"/>
        </w:rPr>
        <w:t>essential that location tracking, data collection and surveillance technologies ensure</w:t>
      </w:r>
      <w:r w:rsidR="00AC7376" w:rsidRPr="00DB0A52">
        <w:rPr>
          <w:rFonts w:eastAsia="Calibri" w:cstheme="minorHAnsi"/>
          <w:b/>
          <w:bCs/>
          <w:color w:val="000000" w:themeColor="text1"/>
          <w:u w:val="single"/>
          <w:lang w:val="en-GB"/>
        </w:rPr>
        <w:t xml:space="preserve"> consistency with human rights, fairness, accountability and transparency standards</w:t>
      </w:r>
      <w:r w:rsidR="00AC7376" w:rsidRPr="004300B4">
        <w:rPr>
          <w:rFonts w:eastAsia="Calibri" w:cstheme="minorHAnsi"/>
          <w:color w:val="000000" w:themeColor="text1"/>
          <w:lang w:val="en-GB"/>
        </w:rPr>
        <w:t xml:space="preserve">. Sensitive and personal data should also be securely stored and access to it restricted to authorized persons only. </w:t>
      </w:r>
    </w:p>
    <w:p w14:paraId="5E304E22" w14:textId="6B618E2B" w:rsidR="004300B4" w:rsidRPr="00D416A4" w:rsidRDefault="00A731AD" w:rsidP="00007578">
      <w:pPr>
        <w:spacing w:line="276" w:lineRule="auto"/>
        <w:jc w:val="both"/>
        <w:rPr>
          <w:rFonts w:eastAsia="Calibri" w:cstheme="minorHAnsi"/>
          <w:color w:val="000000" w:themeColor="text1"/>
          <w:lang w:val="en-GB"/>
        </w:rPr>
      </w:pPr>
      <w:r w:rsidRPr="00DB0A52">
        <w:rPr>
          <w:rFonts w:eastAsia="Calibri" w:cstheme="minorHAnsi"/>
          <w:b/>
          <w:bCs/>
          <w:color w:val="000000" w:themeColor="text1"/>
          <w:u w:val="single"/>
          <w:lang w:val="en-GB"/>
        </w:rPr>
        <w:t xml:space="preserve">States should therefore strengthen expertise and capacity of </w:t>
      </w:r>
      <w:r w:rsidR="00205157" w:rsidRPr="00DB0A52">
        <w:rPr>
          <w:rFonts w:eastAsia="Calibri" w:cstheme="minorHAnsi"/>
          <w:b/>
          <w:bCs/>
          <w:color w:val="000000" w:themeColor="text1"/>
          <w:u w:val="single"/>
          <w:lang w:val="en-GB"/>
        </w:rPr>
        <w:t>all relevant actors</w:t>
      </w:r>
      <w:r w:rsidRPr="00DB0A52">
        <w:rPr>
          <w:rFonts w:eastAsia="Calibri" w:cstheme="minorHAnsi"/>
          <w:b/>
          <w:bCs/>
          <w:color w:val="000000" w:themeColor="text1"/>
          <w:u w:val="single"/>
          <w:lang w:val="en-GB"/>
        </w:rPr>
        <w:t xml:space="preserve"> in conducting efficient investigations and operations in the cyberspace, and seizing electronic evidence,</w:t>
      </w:r>
      <w:r w:rsidRPr="00D416A4">
        <w:rPr>
          <w:rFonts w:eastAsia="Calibri" w:cstheme="minorHAnsi"/>
          <w:color w:val="000000" w:themeColor="text1"/>
          <w:lang w:val="en-GB"/>
        </w:rPr>
        <w:t xml:space="preserve"> including in the Darkweb, so that they act in full compliance with human rights and do not violate the right to privacy and the right to a fai</w:t>
      </w:r>
      <w:r w:rsidR="00EB6560" w:rsidRPr="00D416A4">
        <w:rPr>
          <w:rFonts w:eastAsia="Calibri" w:cstheme="minorHAnsi"/>
          <w:color w:val="000000" w:themeColor="text1"/>
          <w:lang w:val="en-GB"/>
        </w:rPr>
        <w:t>r</w:t>
      </w:r>
      <w:r w:rsidRPr="00D416A4">
        <w:rPr>
          <w:rFonts w:eastAsia="Calibri" w:cstheme="minorHAnsi"/>
          <w:color w:val="000000" w:themeColor="text1"/>
          <w:lang w:val="en-GB"/>
        </w:rPr>
        <w:t xml:space="preserve"> trial, in particular.</w:t>
      </w:r>
    </w:p>
    <w:p w14:paraId="699F370F" w14:textId="6998581F" w:rsidR="006A6B1A" w:rsidRPr="00D416A4" w:rsidRDefault="006A6B1A" w:rsidP="00355D52">
      <w:pPr>
        <w:spacing w:line="276" w:lineRule="auto"/>
        <w:jc w:val="both"/>
        <w:rPr>
          <w:rFonts w:eastAsia="Calibri" w:cstheme="minorHAnsi"/>
          <w:i/>
          <w:iCs/>
          <w:color w:val="000000" w:themeColor="text1"/>
          <w:lang w:val="en-GB"/>
        </w:rPr>
      </w:pPr>
      <w:r w:rsidRPr="00D416A4">
        <w:rPr>
          <w:rFonts w:eastAsia="Calibri" w:cstheme="minorHAnsi"/>
          <w:i/>
          <w:iCs/>
          <w:color w:val="000000" w:themeColor="text1"/>
          <w:lang w:val="en-GB"/>
        </w:rPr>
        <w:t>The role of technology companies and social media platforms: need for regulations</w:t>
      </w:r>
    </w:p>
    <w:p w14:paraId="167D3E9B" w14:textId="206DC699" w:rsidR="008D629C" w:rsidRPr="00D416A4" w:rsidRDefault="00C13203" w:rsidP="00355D52">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Knowingly or not, online platforms and tech</w:t>
      </w:r>
      <w:r w:rsidR="00897251" w:rsidRPr="00D416A4">
        <w:rPr>
          <w:rFonts w:eastAsia="Calibri" w:cstheme="minorHAnsi"/>
          <w:color w:val="000000" w:themeColor="text1"/>
          <w:lang w:val="en-GB"/>
        </w:rPr>
        <w:t>nology</w:t>
      </w:r>
      <w:r w:rsidRPr="00D416A4">
        <w:rPr>
          <w:rFonts w:eastAsia="Calibri" w:cstheme="minorHAnsi"/>
          <w:color w:val="000000" w:themeColor="text1"/>
          <w:lang w:val="en-GB"/>
        </w:rPr>
        <w:t xml:space="preserve"> companies also play a role in the facilitation of human trafficking through their infrastructure and services. When their services are misused, and in the absence of (self-) regulations, several challenges emerge, such as limited or non-existent industry standards</w:t>
      </w:r>
      <w:r w:rsidR="00DB0A52">
        <w:rPr>
          <w:rFonts w:eastAsia="Calibri" w:cstheme="minorHAnsi"/>
          <w:color w:val="000000" w:themeColor="text1"/>
          <w:lang w:val="en-GB"/>
        </w:rPr>
        <w:t>,</w:t>
      </w:r>
      <w:r w:rsidRPr="00D416A4">
        <w:rPr>
          <w:rFonts w:eastAsia="Calibri" w:cstheme="minorHAnsi"/>
          <w:color w:val="000000" w:themeColor="text1"/>
          <w:lang w:val="en-GB"/>
        </w:rPr>
        <w:t xml:space="preserve"> slow responses to documented abuse, failure to report abuse, and/or active complicity in facilitating exploitation from certain segments of the industry, like pornography, sexual services, and short-term job seeking, the </w:t>
      </w:r>
      <w:r w:rsidR="008D629C" w:rsidRPr="00D416A4">
        <w:rPr>
          <w:rFonts w:eastAsia="Calibri" w:cstheme="minorHAnsi"/>
          <w:color w:val="000000" w:themeColor="text1"/>
          <w:lang w:val="en-GB"/>
        </w:rPr>
        <w:t>new UNODC Global Report on Trafficking in Persons (2022)</w:t>
      </w:r>
      <w:r w:rsidRPr="00D416A4">
        <w:rPr>
          <w:rFonts w:eastAsia="Calibri" w:cstheme="minorHAnsi"/>
          <w:color w:val="000000" w:themeColor="text1"/>
          <w:lang w:val="en-GB"/>
        </w:rPr>
        <w:t xml:space="preserve"> reports.</w:t>
      </w:r>
      <w:r w:rsidRPr="00D416A4">
        <w:rPr>
          <w:rFonts w:eastAsia="Calibri" w:cstheme="minorHAnsi"/>
          <w:color w:val="000000" w:themeColor="text1"/>
          <w:vertAlign w:val="superscript"/>
          <w:lang w:val="en-GB"/>
        </w:rPr>
        <w:footnoteReference w:id="5"/>
      </w:r>
      <w:r w:rsidRPr="00D416A4">
        <w:rPr>
          <w:rFonts w:eastAsia="Calibri" w:cstheme="minorHAnsi"/>
          <w:color w:val="000000" w:themeColor="text1"/>
          <w:lang w:val="en-GB"/>
        </w:rPr>
        <w:t xml:space="preserve"> </w:t>
      </w:r>
    </w:p>
    <w:p w14:paraId="1F7AE58D" w14:textId="77777777" w:rsidR="003E535D" w:rsidRPr="00D416A4" w:rsidRDefault="00086A76" w:rsidP="00355D52">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lastRenderedPageBreak/>
        <w:t xml:space="preserve">States, as part of their duty to protect, respect and fulfil human rights, and their obligation of due diligence, should design a more robust regulatory framework with social platforms and other </w:t>
      </w:r>
      <w:r w:rsidR="003C0755" w:rsidRPr="00D416A4">
        <w:rPr>
          <w:rFonts w:eastAsia="Calibri" w:cstheme="minorHAnsi"/>
          <w:color w:val="000000" w:themeColor="text1"/>
          <w:lang w:val="en-GB"/>
        </w:rPr>
        <w:t>technology companies</w:t>
      </w:r>
      <w:r w:rsidRPr="00D416A4">
        <w:rPr>
          <w:rFonts w:eastAsia="Calibri" w:cstheme="minorHAnsi"/>
          <w:color w:val="000000" w:themeColor="text1"/>
          <w:lang w:val="en-GB"/>
        </w:rPr>
        <w:t>, to facilitate for example the</w:t>
      </w:r>
      <w:r w:rsidR="003C0755" w:rsidRPr="00D416A4">
        <w:rPr>
          <w:rFonts w:eastAsia="Calibri" w:cstheme="minorHAnsi"/>
          <w:color w:val="000000" w:themeColor="text1"/>
          <w:lang w:val="en-GB"/>
        </w:rPr>
        <w:t xml:space="preserve"> swift</w:t>
      </w:r>
      <w:r w:rsidRPr="00D416A4">
        <w:rPr>
          <w:rFonts w:eastAsia="Calibri" w:cstheme="minorHAnsi"/>
          <w:color w:val="000000" w:themeColor="text1"/>
          <w:lang w:val="en-GB"/>
        </w:rPr>
        <w:t xml:space="preserve"> removal of materials produced by sexual exploitation and online child sexual abuse </w:t>
      </w:r>
      <w:r w:rsidR="003C0755" w:rsidRPr="00D416A4">
        <w:rPr>
          <w:rFonts w:eastAsia="Calibri" w:cstheme="minorHAnsi"/>
          <w:color w:val="000000" w:themeColor="text1"/>
          <w:lang w:val="en-GB"/>
        </w:rPr>
        <w:t>in order to prevent</w:t>
      </w:r>
      <w:r w:rsidRPr="00D416A4">
        <w:rPr>
          <w:rFonts w:eastAsia="Calibri" w:cstheme="minorHAnsi"/>
          <w:color w:val="000000" w:themeColor="text1"/>
          <w:lang w:val="en-GB"/>
        </w:rPr>
        <w:t xml:space="preserve"> the revictimization of victims of trafficking and online</w:t>
      </w:r>
      <w:r w:rsidR="003A2555" w:rsidRPr="00D416A4">
        <w:rPr>
          <w:rFonts w:eastAsia="Calibri" w:cstheme="minorHAnsi"/>
          <w:color w:val="000000" w:themeColor="text1"/>
          <w:lang w:val="en-GB"/>
        </w:rPr>
        <w:t xml:space="preserve"> </w:t>
      </w:r>
      <w:r w:rsidRPr="00D416A4">
        <w:rPr>
          <w:rFonts w:eastAsia="Calibri" w:cstheme="minorHAnsi"/>
          <w:color w:val="000000" w:themeColor="text1"/>
          <w:lang w:val="en-GB"/>
        </w:rPr>
        <w:t>exploitation. There is currently a clear need for regulatory efforts.</w:t>
      </w:r>
      <w:r w:rsidR="003A2555" w:rsidRPr="00D416A4">
        <w:rPr>
          <w:rFonts w:eastAsia="Calibri" w:cstheme="minorHAnsi"/>
          <w:color w:val="000000" w:themeColor="text1"/>
          <w:lang w:val="en-GB"/>
        </w:rPr>
        <w:t xml:space="preserve"> </w:t>
      </w:r>
    </w:p>
    <w:p w14:paraId="0564E8CE" w14:textId="14AB55F1" w:rsidR="00C13203" w:rsidRPr="00D416A4" w:rsidRDefault="003A2555" w:rsidP="00355D52">
      <w:pPr>
        <w:spacing w:line="276" w:lineRule="auto"/>
        <w:jc w:val="both"/>
        <w:rPr>
          <w:rFonts w:eastAsia="Calibri" w:cstheme="minorHAnsi"/>
          <w:color w:val="000000" w:themeColor="text1"/>
        </w:rPr>
      </w:pPr>
      <w:r w:rsidRPr="00D416A4">
        <w:rPr>
          <w:rFonts w:eastAsia="Calibri" w:cstheme="minorHAnsi"/>
          <w:color w:val="000000" w:themeColor="text1"/>
          <w:lang w:val="en-GB"/>
        </w:rPr>
        <w:t>T</w:t>
      </w:r>
      <w:r w:rsidR="00C13203" w:rsidRPr="00D416A4">
        <w:rPr>
          <w:rFonts w:eastAsia="Calibri" w:cstheme="minorHAnsi"/>
          <w:color w:val="000000" w:themeColor="text1"/>
          <w:lang w:val="en-GB"/>
        </w:rPr>
        <w:t xml:space="preserve">he Inter-Agency Coordination Group against Trafficking in Persons </w:t>
      </w:r>
      <w:r w:rsidR="00C13203" w:rsidRPr="00DB0A52">
        <w:rPr>
          <w:rFonts w:eastAsia="Calibri" w:cstheme="minorHAnsi"/>
          <w:b/>
          <w:bCs/>
          <w:color w:val="000000" w:themeColor="text1"/>
          <w:u w:val="single"/>
          <w:lang w:val="en-GB"/>
        </w:rPr>
        <w:t>(ICAT) recommend</w:t>
      </w:r>
      <w:r w:rsidR="003E535D" w:rsidRPr="00DB0A52">
        <w:rPr>
          <w:rFonts w:eastAsia="Calibri" w:cstheme="minorHAnsi"/>
          <w:b/>
          <w:bCs/>
          <w:color w:val="000000" w:themeColor="text1"/>
          <w:u w:val="single"/>
          <w:lang w:val="en-GB"/>
        </w:rPr>
        <w:t>s</w:t>
      </w:r>
      <w:r w:rsidR="00C13203" w:rsidRPr="00DB0A52">
        <w:rPr>
          <w:rFonts w:eastAsia="Calibri" w:cstheme="minorHAnsi"/>
          <w:b/>
          <w:bCs/>
          <w:color w:val="000000" w:themeColor="text1"/>
          <w:u w:val="single"/>
          <w:lang w:val="en-GB"/>
        </w:rPr>
        <w:t xml:space="preserve"> States to legally require online platforms under their national jurisdiction to put in place effective content moderation measures as a way to curb human trafficking activities</w:t>
      </w:r>
      <w:r w:rsidR="00C13203" w:rsidRPr="00D416A4">
        <w:rPr>
          <w:rFonts w:eastAsia="Calibri" w:cstheme="minorHAnsi"/>
          <w:color w:val="000000" w:themeColor="text1"/>
          <w:lang w:val="en-GB"/>
        </w:rPr>
        <w:t>.</w:t>
      </w:r>
      <w:r w:rsidR="00C13203" w:rsidRPr="00D416A4">
        <w:rPr>
          <w:rFonts w:eastAsia="Calibri" w:cstheme="minorHAnsi"/>
          <w:color w:val="000000" w:themeColor="text1"/>
          <w:vertAlign w:val="superscript"/>
          <w:lang w:val="en-GB"/>
        </w:rPr>
        <w:footnoteReference w:id="6"/>
      </w:r>
      <w:r w:rsidR="00DD2FE0" w:rsidRPr="00D416A4">
        <w:rPr>
          <w:rFonts w:eastAsia="Calibri" w:cstheme="minorHAnsi"/>
          <w:color w:val="000000" w:themeColor="text1"/>
          <w:lang w:val="en-GB"/>
        </w:rPr>
        <w:t xml:space="preserve"> ICAT further </w:t>
      </w:r>
      <w:r w:rsidR="00DD2FE0" w:rsidRPr="00D416A4">
        <w:rPr>
          <w:rFonts w:eastAsia="Calibri" w:cstheme="minorHAnsi"/>
          <w:color w:val="000000" w:themeColor="text1"/>
        </w:rPr>
        <w:t>recommend</w:t>
      </w:r>
      <w:r w:rsidR="003E535D" w:rsidRPr="00D416A4">
        <w:rPr>
          <w:rFonts w:eastAsia="Calibri" w:cstheme="minorHAnsi"/>
          <w:color w:val="000000" w:themeColor="text1"/>
        </w:rPr>
        <w:t>s</w:t>
      </w:r>
      <w:r w:rsidR="00DD2FE0" w:rsidRPr="00D416A4">
        <w:rPr>
          <w:rFonts w:eastAsia="Calibri" w:cstheme="minorHAnsi"/>
          <w:color w:val="000000" w:themeColor="text1"/>
        </w:rPr>
        <w:t xml:space="preserve"> States to </w:t>
      </w:r>
      <w:r w:rsidR="00DD2FE0" w:rsidRPr="00DB0A52">
        <w:rPr>
          <w:rFonts w:eastAsia="Calibri" w:cstheme="minorHAnsi"/>
          <w:b/>
          <w:bCs/>
          <w:color w:val="000000" w:themeColor="text1"/>
          <w:u w:val="single"/>
        </w:rPr>
        <w:t>establish accountability and liability mechanisms for technology companies for harm caused by content on their platforms or exploitation occurring through their platforms,</w:t>
      </w:r>
      <w:r w:rsidR="00DD2FE0" w:rsidRPr="00D416A4">
        <w:rPr>
          <w:rFonts w:eastAsia="Calibri" w:cstheme="minorHAnsi"/>
          <w:color w:val="000000" w:themeColor="text1"/>
        </w:rPr>
        <w:t xml:space="preserve"> notably where they fail to implement moderation and other appropriate measures.</w:t>
      </w:r>
      <w:r w:rsidR="00C0094F" w:rsidRPr="00D416A4">
        <w:rPr>
          <w:rStyle w:val="FootnoteReference"/>
          <w:rFonts w:eastAsia="Calibri" w:cstheme="minorHAnsi"/>
          <w:color w:val="000000" w:themeColor="text1"/>
        </w:rPr>
        <w:footnoteReference w:id="7"/>
      </w:r>
    </w:p>
    <w:p w14:paraId="34182E30" w14:textId="306F6AC3" w:rsidR="003E535D" w:rsidRPr="00D416A4" w:rsidRDefault="003E535D" w:rsidP="00D416A4">
      <w:pPr>
        <w:tabs>
          <w:tab w:val="left" w:pos="360"/>
        </w:tabs>
        <w:spacing w:line="276" w:lineRule="auto"/>
        <w:jc w:val="both"/>
        <w:rPr>
          <w:rFonts w:cstheme="minorHAnsi"/>
        </w:rPr>
      </w:pPr>
      <w:r w:rsidRPr="00355D52">
        <w:rPr>
          <w:rFonts w:eastAsia="Calibri" w:cstheme="minorHAnsi"/>
        </w:rPr>
        <w:t xml:space="preserve">UNODC published in 2021 a </w:t>
      </w:r>
      <w:hyperlink r:id="rId12" w:history="1">
        <w:r w:rsidRPr="00355D52">
          <w:rPr>
            <w:rStyle w:val="Hyperlink"/>
            <w:rFonts w:eastAsia="Calibri" w:cstheme="minorHAnsi"/>
          </w:rPr>
          <w:t>Compendium of Promising Practices on Public-Private Partnerships (PPPs) to Prevent and Counter Trafficking in Persons</w:t>
        </w:r>
      </w:hyperlink>
      <w:r w:rsidRPr="00355D52">
        <w:rPr>
          <w:rFonts w:eastAsia="Calibri" w:cstheme="minorHAnsi"/>
        </w:rPr>
        <w:t xml:space="preserve"> which highlighted promising practices in inter alia the technology sector as they pertain to preventing and countering trafficking in persons</w:t>
      </w:r>
      <w:r w:rsidR="00286B39" w:rsidRPr="00355D52">
        <w:rPr>
          <w:rFonts w:eastAsia="Calibri" w:cstheme="minorHAnsi"/>
        </w:rPr>
        <w:t xml:space="preserve"> in line with human rights obligations</w:t>
      </w:r>
      <w:r w:rsidRPr="00355D52">
        <w:rPr>
          <w:rFonts w:eastAsia="Calibri" w:cstheme="minorHAnsi"/>
        </w:rPr>
        <w:t>. </w:t>
      </w:r>
    </w:p>
    <w:p w14:paraId="0C0CBDA5" w14:textId="77777777" w:rsidR="003E535D" w:rsidRPr="00D416A4" w:rsidRDefault="003E535D" w:rsidP="00355D52">
      <w:pPr>
        <w:spacing w:line="276" w:lineRule="auto"/>
        <w:jc w:val="both"/>
        <w:rPr>
          <w:rFonts w:eastAsia="Calibri" w:cstheme="minorHAnsi"/>
          <w:color w:val="000000" w:themeColor="text1"/>
        </w:rPr>
      </w:pPr>
    </w:p>
    <w:p w14:paraId="44F0370E" w14:textId="661F08B7" w:rsidR="00A64837" w:rsidRPr="00D416A4" w:rsidRDefault="10C9A46A" w:rsidP="00355D52">
      <w:pPr>
        <w:spacing w:line="276" w:lineRule="auto"/>
        <w:jc w:val="both"/>
        <w:rPr>
          <w:rFonts w:eastAsia="Calibri" w:cstheme="minorHAnsi"/>
          <w:b/>
          <w:bCs/>
          <w:color w:val="4472C4" w:themeColor="accent1"/>
          <w:lang w:val="en-GB"/>
        </w:rPr>
      </w:pPr>
      <w:r w:rsidRPr="00D416A4">
        <w:rPr>
          <w:rFonts w:eastAsia="Calibri" w:cstheme="minorHAnsi"/>
          <w:b/>
          <w:bCs/>
          <w:color w:val="4472C4" w:themeColor="accent1"/>
          <w:lang w:val="en-GB"/>
        </w:rPr>
        <w:t xml:space="preserve">3.  </w:t>
      </w:r>
      <w:r w:rsidR="1E1E8153" w:rsidRPr="00D416A4">
        <w:rPr>
          <w:rFonts w:eastAsia="Calibri" w:cstheme="minorHAnsi"/>
          <w:b/>
          <w:bCs/>
          <w:color w:val="4472C4" w:themeColor="accent1"/>
          <w:lang w:val="en-GB"/>
        </w:rPr>
        <w:t>Conclusion</w:t>
      </w:r>
    </w:p>
    <w:p w14:paraId="385A7D56" w14:textId="49F1ACC4" w:rsidR="00A64837" w:rsidRPr="00D416A4" w:rsidRDefault="00286B39" w:rsidP="00355D52">
      <w:pPr>
        <w:spacing w:line="276" w:lineRule="auto"/>
        <w:jc w:val="both"/>
        <w:rPr>
          <w:rFonts w:eastAsia="Calibri" w:cstheme="minorHAnsi"/>
          <w:color w:val="000000" w:themeColor="text1"/>
          <w:lang w:val="en-GB"/>
        </w:rPr>
      </w:pPr>
      <w:r w:rsidRPr="00D416A4">
        <w:rPr>
          <w:rFonts w:eastAsia="Calibri" w:cstheme="minorHAnsi"/>
          <w:color w:val="000000" w:themeColor="text1"/>
          <w:lang w:val="en-GB"/>
        </w:rPr>
        <w:t>New technologies can be</w:t>
      </w:r>
      <w:r w:rsidR="5D6B76EF" w:rsidRPr="00D416A4">
        <w:rPr>
          <w:rFonts w:eastAsia="Calibri" w:cstheme="minorHAnsi"/>
          <w:color w:val="000000" w:themeColor="text1"/>
          <w:lang w:val="en-GB"/>
        </w:rPr>
        <w:t xml:space="preserve"> used as both an enable</w:t>
      </w:r>
      <w:r w:rsidR="349B48B1" w:rsidRPr="00D416A4">
        <w:rPr>
          <w:rFonts w:eastAsia="Calibri" w:cstheme="minorHAnsi"/>
          <w:color w:val="000000" w:themeColor="text1"/>
          <w:lang w:val="en-GB"/>
        </w:rPr>
        <w:t>r</w:t>
      </w:r>
      <w:r w:rsidR="5D6B76EF" w:rsidRPr="00D416A4">
        <w:rPr>
          <w:rFonts w:eastAsia="Calibri" w:cstheme="minorHAnsi"/>
          <w:color w:val="000000" w:themeColor="text1"/>
          <w:lang w:val="en-GB"/>
        </w:rPr>
        <w:t xml:space="preserve"> and disabler of human trafficking. However,</w:t>
      </w:r>
      <w:r w:rsidR="0AD0EF49" w:rsidRPr="00D416A4">
        <w:rPr>
          <w:rFonts w:eastAsia="Calibri" w:cstheme="minorHAnsi"/>
          <w:color w:val="000000" w:themeColor="text1"/>
          <w:lang w:val="en-GB"/>
        </w:rPr>
        <w:t xml:space="preserve"> while technology-based tools can be useful entry points for addressing human trafficking,</w:t>
      </w:r>
      <w:r w:rsidR="5D6B76EF" w:rsidRPr="00D416A4">
        <w:rPr>
          <w:rFonts w:eastAsia="Calibri" w:cstheme="minorHAnsi"/>
          <w:color w:val="000000" w:themeColor="text1"/>
          <w:lang w:val="en-GB"/>
        </w:rPr>
        <w:t xml:space="preserve"> all those involved in this process must ensure that considerations around human rights, data privacy, ethics and informed consent are being addressed in the most comprehensive way</w:t>
      </w:r>
      <w:r w:rsidR="0FC7617B" w:rsidRPr="00D416A4">
        <w:rPr>
          <w:rFonts w:eastAsia="Calibri" w:cstheme="minorHAnsi"/>
          <w:color w:val="000000" w:themeColor="text1"/>
          <w:lang w:val="en-GB"/>
        </w:rPr>
        <w:t>. If these concerns are not addressed,</w:t>
      </w:r>
      <w:r w:rsidR="5D6B76EF" w:rsidRPr="00D416A4">
        <w:rPr>
          <w:rFonts w:eastAsia="Calibri" w:cstheme="minorHAnsi"/>
          <w:color w:val="000000" w:themeColor="text1"/>
          <w:lang w:val="en-GB"/>
        </w:rPr>
        <w:t xml:space="preserve"> the risks of technology having a negative impact rather than a positive one in combating human trafficking can increase.</w:t>
      </w:r>
      <w:r w:rsidR="4E6C46AC" w:rsidRPr="00D416A4">
        <w:rPr>
          <w:rFonts w:eastAsia="Calibri" w:cstheme="minorHAnsi"/>
          <w:color w:val="000000" w:themeColor="text1"/>
          <w:lang w:val="en-GB"/>
        </w:rPr>
        <w:t xml:space="preserve"> </w:t>
      </w:r>
    </w:p>
    <w:p w14:paraId="2C078E63" w14:textId="0FED03C2" w:rsidR="00A64837" w:rsidRPr="00D416A4" w:rsidRDefault="00A64837" w:rsidP="00355D52">
      <w:pPr>
        <w:spacing w:line="276" w:lineRule="auto"/>
        <w:jc w:val="both"/>
        <w:rPr>
          <w:rFonts w:cstheme="minorHAnsi"/>
        </w:rPr>
      </w:pPr>
    </w:p>
    <w:sectPr w:rsidR="00A64837" w:rsidRPr="00D416A4" w:rsidSect="00D416A4">
      <w:footerReference w:type="default" r:id="rId13"/>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098D" w14:textId="77777777" w:rsidR="00116821" w:rsidRDefault="00116821">
      <w:pPr>
        <w:spacing w:after="0" w:line="240" w:lineRule="auto"/>
      </w:pPr>
      <w:r>
        <w:separator/>
      </w:r>
    </w:p>
  </w:endnote>
  <w:endnote w:type="continuationSeparator" w:id="0">
    <w:p w14:paraId="7DCBB9B2" w14:textId="77777777" w:rsidR="00116821" w:rsidRDefault="0011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12697"/>
      <w:docPartObj>
        <w:docPartGallery w:val="Page Numbers (Bottom of Page)"/>
        <w:docPartUnique/>
      </w:docPartObj>
    </w:sdtPr>
    <w:sdtEndPr>
      <w:rPr>
        <w:noProof/>
      </w:rPr>
    </w:sdtEndPr>
    <w:sdtContent>
      <w:p w14:paraId="3D46E6A9" w14:textId="7AB4F4A5" w:rsidR="001D238B" w:rsidRDefault="001D23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33C86D" w14:textId="77777777" w:rsidR="001D238B" w:rsidRDefault="001D2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1ACC7" w14:textId="77777777" w:rsidR="00116821" w:rsidRDefault="00116821">
      <w:pPr>
        <w:spacing w:after="0" w:line="240" w:lineRule="auto"/>
      </w:pPr>
      <w:r>
        <w:separator/>
      </w:r>
    </w:p>
  </w:footnote>
  <w:footnote w:type="continuationSeparator" w:id="0">
    <w:p w14:paraId="332D966C" w14:textId="77777777" w:rsidR="00116821" w:rsidRDefault="00116821">
      <w:pPr>
        <w:spacing w:after="0" w:line="240" w:lineRule="auto"/>
      </w:pPr>
      <w:r>
        <w:continuationSeparator/>
      </w:r>
    </w:p>
  </w:footnote>
  <w:footnote w:id="1">
    <w:p w14:paraId="228A5BB5" w14:textId="01155B8E" w:rsidR="003402C6" w:rsidRDefault="003402C6" w:rsidP="003402C6">
      <w:pPr>
        <w:pStyle w:val="FootnoteText"/>
      </w:pPr>
      <w:r w:rsidRPr="6786DB66">
        <w:rPr>
          <w:rStyle w:val="FootnoteReference"/>
        </w:rPr>
        <w:footnoteRef/>
      </w:r>
      <w:r>
        <w:t xml:space="preserve"> </w:t>
      </w:r>
      <w:r w:rsidR="00FC641D">
        <w:t>Global Report on Trafficking in Persons (2022), UNODC, p. 70 to 72.</w:t>
      </w:r>
    </w:p>
  </w:footnote>
  <w:footnote w:id="2">
    <w:p w14:paraId="30ECEDFF" w14:textId="77777777" w:rsidR="003402C6" w:rsidRDefault="003402C6" w:rsidP="003402C6">
      <w:pPr>
        <w:pStyle w:val="FootnoteText"/>
      </w:pPr>
      <w:r>
        <w:rPr>
          <w:rStyle w:val="FootnoteReference"/>
        </w:rPr>
        <w:footnoteRef/>
      </w:r>
      <w:r>
        <w:t xml:space="preserve"> For more information, see Working Group on Trafficking in Persons, background paper on </w:t>
      </w:r>
      <w:hyperlink r:id="rId1" w:history="1">
        <w:r w:rsidRPr="005778D6">
          <w:rPr>
            <w:rStyle w:val="Hyperlink"/>
            <w:i/>
            <w:iCs/>
          </w:rPr>
          <w:t>Successful strategies for addressing the use of technology to facilitate trafficking in persons and to prevent and investigate trafficking in persons</w:t>
        </w:r>
      </w:hyperlink>
      <w:r>
        <w:rPr>
          <w:i/>
          <w:iCs/>
        </w:rPr>
        <w:t xml:space="preserve">, </w:t>
      </w:r>
      <w:r w:rsidRPr="00521D0F">
        <w:t>2021.</w:t>
      </w:r>
      <w:r w:rsidRPr="00BD3BC4">
        <w:t xml:space="preserve"> </w:t>
      </w:r>
    </w:p>
  </w:footnote>
  <w:footnote w:id="3">
    <w:p w14:paraId="0C730ECE" w14:textId="6E6CE5CF" w:rsidR="003402C6" w:rsidRPr="00B009B2" w:rsidRDefault="003402C6" w:rsidP="003402C6">
      <w:pPr>
        <w:pStyle w:val="FootnoteText"/>
      </w:pPr>
      <w:r>
        <w:rPr>
          <w:rStyle w:val="FootnoteReference"/>
        </w:rPr>
        <w:footnoteRef/>
      </w:r>
      <w:r>
        <w:t xml:space="preserve"> Global Report on Trafficking in Persons (2022), UNODC, p. 70 to 72</w:t>
      </w:r>
      <w:r w:rsidR="00FC641D">
        <w:t>.</w:t>
      </w:r>
    </w:p>
  </w:footnote>
  <w:footnote w:id="4">
    <w:p w14:paraId="04C7D42E" w14:textId="3CF9F236" w:rsidR="00804346" w:rsidRDefault="00804346">
      <w:pPr>
        <w:pStyle w:val="FootnoteText"/>
      </w:pPr>
      <w:r>
        <w:rPr>
          <w:rStyle w:val="FootnoteReference"/>
        </w:rPr>
        <w:footnoteRef/>
      </w:r>
      <w:r>
        <w:t xml:space="preserve"> </w:t>
      </w:r>
      <w:r w:rsidRPr="00C64080">
        <w:rPr>
          <w:rFonts w:asciiTheme="majorBidi" w:hAnsiTheme="majorBidi" w:cstheme="majorBidi"/>
          <w:szCs w:val="17"/>
        </w:rPr>
        <w:t>See Special Rapporteur on the promotion and protection of the right to freedom of opinion and expression, “</w:t>
      </w:r>
      <w:r w:rsidRPr="00ED0D26">
        <w:rPr>
          <w:rFonts w:asciiTheme="majorBidi" w:hAnsiTheme="majorBidi" w:cstheme="majorBidi"/>
          <w:i/>
          <w:iCs/>
          <w:szCs w:val="17"/>
        </w:rPr>
        <w:t>Encryption and anonymity follow-up report</w:t>
      </w:r>
      <w:r w:rsidRPr="00C64080">
        <w:rPr>
          <w:rFonts w:asciiTheme="majorBidi" w:hAnsiTheme="majorBidi" w:cstheme="majorBidi"/>
          <w:szCs w:val="17"/>
        </w:rPr>
        <w:t>”</w:t>
      </w:r>
      <w:r>
        <w:rPr>
          <w:rFonts w:asciiTheme="majorBidi" w:hAnsiTheme="majorBidi" w:cstheme="majorBidi"/>
          <w:szCs w:val="17"/>
        </w:rPr>
        <w:t xml:space="preserve">, </w:t>
      </w:r>
      <w:r w:rsidRPr="00C64080">
        <w:rPr>
          <w:rFonts w:asciiTheme="majorBidi" w:hAnsiTheme="majorBidi" w:cstheme="majorBidi"/>
          <w:szCs w:val="17"/>
        </w:rPr>
        <w:t>June 2018.</w:t>
      </w:r>
    </w:p>
  </w:footnote>
  <w:footnote w:id="5">
    <w:p w14:paraId="0B43E6E7" w14:textId="77777777" w:rsidR="00C13203" w:rsidRPr="001E19A4" w:rsidRDefault="00C13203" w:rsidP="00C13203">
      <w:pPr>
        <w:pStyle w:val="FootnoteText"/>
      </w:pPr>
      <w:r>
        <w:rPr>
          <w:rStyle w:val="FootnoteReference"/>
        </w:rPr>
        <w:footnoteRef/>
      </w:r>
      <w:r>
        <w:t xml:space="preserve"> Ibid., GLOTIP (2022), p. 72.</w:t>
      </w:r>
    </w:p>
  </w:footnote>
  <w:footnote w:id="6">
    <w:p w14:paraId="46FDEB02" w14:textId="77777777" w:rsidR="00C13203" w:rsidRPr="002F074E" w:rsidRDefault="00C13203" w:rsidP="00C13203">
      <w:pPr>
        <w:pStyle w:val="FootnoteText"/>
      </w:pPr>
      <w:r>
        <w:rPr>
          <w:rStyle w:val="FootnoteReference"/>
        </w:rPr>
        <w:footnoteRef/>
      </w:r>
      <w:r>
        <w:t xml:space="preserve"> </w:t>
      </w:r>
      <w:r w:rsidRPr="002223E8">
        <w:t>Inter-Agency Coordination Group against Trafficking in Persons (ICAT)</w:t>
      </w:r>
      <w:r>
        <w:t xml:space="preserve">, </w:t>
      </w:r>
      <w:r w:rsidRPr="002223E8">
        <w:t>Joint Statement on the World Day against Trafficking in Persons, 30 July 2022</w:t>
      </w:r>
      <w:r>
        <w:t>:</w:t>
      </w:r>
      <w:r w:rsidRPr="002223E8">
        <w:t xml:space="preserve"> “</w:t>
      </w:r>
      <w:hyperlink r:id="rId2" w:history="1">
        <w:r w:rsidRPr="00613C8F">
          <w:rPr>
            <w:rStyle w:val="Hyperlink"/>
          </w:rPr>
          <w:t>Use and abuse of technology</w:t>
        </w:r>
      </w:hyperlink>
      <w:r w:rsidRPr="002223E8">
        <w:t>”</w:t>
      </w:r>
      <w:r>
        <w:t>, 2022.</w:t>
      </w:r>
    </w:p>
  </w:footnote>
  <w:footnote w:id="7">
    <w:p w14:paraId="08687ABF" w14:textId="4A2F8D8B" w:rsidR="00C0094F" w:rsidRDefault="00C0094F">
      <w:pPr>
        <w:pStyle w:val="FootnoteText"/>
      </w:pPr>
      <w:r>
        <w:rPr>
          <w:rStyle w:val="FootnoteReference"/>
        </w:rPr>
        <w:footnoteRef/>
      </w:r>
      <w:r>
        <w:t xml:space="preserve"> Ibid., p.2.</w:t>
      </w:r>
    </w:p>
  </w:footnote>
</w:footnotes>
</file>

<file path=word/intelligence2.xml><?xml version="1.0" encoding="utf-8"?>
<int2:intelligence xmlns:int2="http://schemas.microsoft.com/office/intelligence/2020/intelligence" xmlns:oel="http://schemas.microsoft.com/office/2019/extlst">
  <int2:observations>
    <int2:textHash int2:hashCode="kGVmkYhr5bg5c1" int2:id="QC0NNPW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EADC"/>
    <w:multiLevelType w:val="hybridMultilevel"/>
    <w:tmpl w:val="07824478"/>
    <w:lvl w:ilvl="0" w:tplc="FFE48CF8">
      <w:start w:val="1"/>
      <w:numFmt w:val="decimal"/>
      <w:lvlText w:val="%1."/>
      <w:lvlJc w:val="left"/>
      <w:pPr>
        <w:ind w:left="720" w:hanging="360"/>
      </w:pPr>
    </w:lvl>
    <w:lvl w:ilvl="1" w:tplc="93DCDE74">
      <w:start w:val="1"/>
      <w:numFmt w:val="lowerLetter"/>
      <w:lvlText w:val="%2."/>
      <w:lvlJc w:val="left"/>
      <w:pPr>
        <w:ind w:left="1440" w:hanging="360"/>
      </w:pPr>
    </w:lvl>
    <w:lvl w:ilvl="2" w:tplc="9022FF8A">
      <w:start w:val="1"/>
      <w:numFmt w:val="lowerRoman"/>
      <w:lvlText w:val="%3."/>
      <w:lvlJc w:val="right"/>
      <w:pPr>
        <w:ind w:left="2160" w:hanging="180"/>
      </w:pPr>
    </w:lvl>
    <w:lvl w:ilvl="3" w:tplc="1108AE7E">
      <w:start w:val="1"/>
      <w:numFmt w:val="decimal"/>
      <w:lvlText w:val="%4."/>
      <w:lvlJc w:val="left"/>
      <w:pPr>
        <w:ind w:left="2880" w:hanging="360"/>
      </w:pPr>
    </w:lvl>
    <w:lvl w:ilvl="4" w:tplc="B406F6D8">
      <w:start w:val="1"/>
      <w:numFmt w:val="lowerLetter"/>
      <w:lvlText w:val="%5."/>
      <w:lvlJc w:val="left"/>
      <w:pPr>
        <w:ind w:left="3600" w:hanging="360"/>
      </w:pPr>
    </w:lvl>
    <w:lvl w:ilvl="5" w:tplc="739824A2">
      <w:start w:val="1"/>
      <w:numFmt w:val="lowerRoman"/>
      <w:lvlText w:val="%6."/>
      <w:lvlJc w:val="right"/>
      <w:pPr>
        <w:ind w:left="4320" w:hanging="180"/>
      </w:pPr>
    </w:lvl>
    <w:lvl w:ilvl="6" w:tplc="B7F60E34">
      <w:start w:val="1"/>
      <w:numFmt w:val="decimal"/>
      <w:lvlText w:val="%7."/>
      <w:lvlJc w:val="left"/>
      <w:pPr>
        <w:ind w:left="5040" w:hanging="360"/>
      </w:pPr>
    </w:lvl>
    <w:lvl w:ilvl="7" w:tplc="3B080092">
      <w:start w:val="1"/>
      <w:numFmt w:val="lowerLetter"/>
      <w:lvlText w:val="%8."/>
      <w:lvlJc w:val="left"/>
      <w:pPr>
        <w:ind w:left="5760" w:hanging="360"/>
      </w:pPr>
    </w:lvl>
    <w:lvl w:ilvl="8" w:tplc="1BAAB036">
      <w:start w:val="1"/>
      <w:numFmt w:val="lowerRoman"/>
      <w:lvlText w:val="%9."/>
      <w:lvlJc w:val="right"/>
      <w:pPr>
        <w:ind w:left="6480" w:hanging="180"/>
      </w:pPr>
    </w:lvl>
  </w:abstractNum>
  <w:abstractNum w:abstractNumId="1" w15:restartNumberingAfterBreak="0">
    <w:nsid w:val="59E44B40"/>
    <w:multiLevelType w:val="hybridMultilevel"/>
    <w:tmpl w:val="53684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643940"/>
    <w:multiLevelType w:val="hybridMultilevel"/>
    <w:tmpl w:val="7A8E2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F36219D"/>
    <w:multiLevelType w:val="hybridMultilevel"/>
    <w:tmpl w:val="29D8B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806627">
    <w:abstractNumId w:val="0"/>
  </w:num>
  <w:num w:numId="2" w16cid:durableId="1548058005">
    <w:abstractNumId w:val="2"/>
  </w:num>
  <w:num w:numId="3" w16cid:durableId="583219951">
    <w:abstractNumId w:val="1"/>
  </w:num>
  <w:num w:numId="4" w16cid:durableId="565146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8C010E"/>
    <w:rsid w:val="00000C00"/>
    <w:rsid w:val="00007578"/>
    <w:rsid w:val="00020943"/>
    <w:rsid w:val="00025A70"/>
    <w:rsid w:val="000271A8"/>
    <w:rsid w:val="00044748"/>
    <w:rsid w:val="00051C31"/>
    <w:rsid w:val="000852AC"/>
    <w:rsid w:val="00086A76"/>
    <w:rsid w:val="000955EE"/>
    <w:rsid w:val="000C5548"/>
    <w:rsid w:val="000D8330"/>
    <w:rsid w:val="000F7959"/>
    <w:rsid w:val="00112753"/>
    <w:rsid w:val="00116821"/>
    <w:rsid w:val="00132A01"/>
    <w:rsid w:val="001409E6"/>
    <w:rsid w:val="00150983"/>
    <w:rsid w:val="001706AC"/>
    <w:rsid w:val="001830E0"/>
    <w:rsid w:val="00183A9B"/>
    <w:rsid w:val="001A7053"/>
    <w:rsid w:val="001B0499"/>
    <w:rsid w:val="001D238B"/>
    <w:rsid w:val="001D5D7D"/>
    <w:rsid w:val="001E663A"/>
    <w:rsid w:val="002037B6"/>
    <w:rsid w:val="00204DD7"/>
    <w:rsid w:val="00205157"/>
    <w:rsid w:val="0020631C"/>
    <w:rsid w:val="00214BB8"/>
    <w:rsid w:val="002157E1"/>
    <w:rsid w:val="0022E6D9"/>
    <w:rsid w:val="00240029"/>
    <w:rsid w:val="00241EDB"/>
    <w:rsid w:val="00260A39"/>
    <w:rsid w:val="0027299A"/>
    <w:rsid w:val="00274844"/>
    <w:rsid w:val="00286B39"/>
    <w:rsid w:val="0029714F"/>
    <w:rsid w:val="002A012B"/>
    <w:rsid w:val="002B08E8"/>
    <w:rsid w:val="002B2A6D"/>
    <w:rsid w:val="002C2415"/>
    <w:rsid w:val="002C3C47"/>
    <w:rsid w:val="002C70E8"/>
    <w:rsid w:val="002C78B4"/>
    <w:rsid w:val="002F0A7E"/>
    <w:rsid w:val="0030108A"/>
    <w:rsid w:val="00316594"/>
    <w:rsid w:val="00331F0F"/>
    <w:rsid w:val="003402C6"/>
    <w:rsid w:val="00355D52"/>
    <w:rsid w:val="00360828"/>
    <w:rsid w:val="00371624"/>
    <w:rsid w:val="00372B15"/>
    <w:rsid w:val="00382601"/>
    <w:rsid w:val="00397D3D"/>
    <w:rsid w:val="003A2555"/>
    <w:rsid w:val="003B18FA"/>
    <w:rsid w:val="003C0755"/>
    <w:rsid w:val="003D676A"/>
    <w:rsid w:val="003D6B7D"/>
    <w:rsid w:val="003D7A79"/>
    <w:rsid w:val="003E26B3"/>
    <w:rsid w:val="003E535D"/>
    <w:rsid w:val="003F2B93"/>
    <w:rsid w:val="003F7654"/>
    <w:rsid w:val="004300B4"/>
    <w:rsid w:val="004528B3"/>
    <w:rsid w:val="00466802"/>
    <w:rsid w:val="00486440"/>
    <w:rsid w:val="004C4F77"/>
    <w:rsid w:val="004DAD4C"/>
    <w:rsid w:val="004E434C"/>
    <w:rsid w:val="004E60BC"/>
    <w:rsid w:val="00531F8B"/>
    <w:rsid w:val="00534CA1"/>
    <w:rsid w:val="00555823"/>
    <w:rsid w:val="00561C02"/>
    <w:rsid w:val="005778D6"/>
    <w:rsid w:val="005A297A"/>
    <w:rsid w:val="005B4B86"/>
    <w:rsid w:val="005E3CE5"/>
    <w:rsid w:val="005E4507"/>
    <w:rsid w:val="005E4C76"/>
    <w:rsid w:val="0062529A"/>
    <w:rsid w:val="00632526"/>
    <w:rsid w:val="00635E47"/>
    <w:rsid w:val="00686015"/>
    <w:rsid w:val="006A6B1A"/>
    <w:rsid w:val="006D5E24"/>
    <w:rsid w:val="006E0C9A"/>
    <w:rsid w:val="00721AAE"/>
    <w:rsid w:val="00746804"/>
    <w:rsid w:val="00755014"/>
    <w:rsid w:val="007A64EB"/>
    <w:rsid w:val="007B3EDA"/>
    <w:rsid w:val="007C5145"/>
    <w:rsid w:val="007D3899"/>
    <w:rsid w:val="007E2D9F"/>
    <w:rsid w:val="00804346"/>
    <w:rsid w:val="00822C7F"/>
    <w:rsid w:val="008407B4"/>
    <w:rsid w:val="00842A97"/>
    <w:rsid w:val="00864490"/>
    <w:rsid w:val="008822E9"/>
    <w:rsid w:val="00882822"/>
    <w:rsid w:val="00883763"/>
    <w:rsid w:val="00897251"/>
    <w:rsid w:val="008A47DC"/>
    <w:rsid w:val="008B1265"/>
    <w:rsid w:val="008B28EC"/>
    <w:rsid w:val="008B397C"/>
    <w:rsid w:val="008B4F17"/>
    <w:rsid w:val="008C6A9D"/>
    <w:rsid w:val="008C7DA1"/>
    <w:rsid w:val="008D629C"/>
    <w:rsid w:val="008F23F8"/>
    <w:rsid w:val="00931146"/>
    <w:rsid w:val="00934F0F"/>
    <w:rsid w:val="00937655"/>
    <w:rsid w:val="00956629"/>
    <w:rsid w:val="00971735"/>
    <w:rsid w:val="0097204F"/>
    <w:rsid w:val="00974F5A"/>
    <w:rsid w:val="00981D50"/>
    <w:rsid w:val="0099057A"/>
    <w:rsid w:val="009A5531"/>
    <w:rsid w:val="009A7831"/>
    <w:rsid w:val="009B5B34"/>
    <w:rsid w:val="00A14008"/>
    <w:rsid w:val="00A500F0"/>
    <w:rsid w:val="00A526B4"/>
    <w:rsid w:val="00A64837"/>
    <w:rsid w:val="00A65E73"/>
    <w:rsid w:val="00A731AD"/>
    <w:rsid w:val="00A9485B"/>
    <w:rsid w:val="00AA30FA"/>
    <w:rsid w:val="00AA7230"/>
    <w:rsid w:val="00AB6C85"/>
    <w:rsid w:val="00AC4BE9"/>
    <w:rsid w:val="00AC7376"/>
    <w:rsid w:val="00AD1A4D"/>
    <w:rsid w:val="00AD422E"/>
    <w:rsid w:val="00AE0C13"/>
    <w:rsid w:val="00AF2212"/>
    <w:rsid w:val="00B0516D"/>
    <w:rsid w:val="00B1489F"/>
    <w:rsid w:val="00B22A44"/>
    <w:rsid w:val="00B30161"/>
    <w:rsid w:val="00B311EB"/>
    <w:rsid w:val="00B54947"/>
    <w:rsid w:val="00B610EC"/>
    <w:rsid w:val="00B616BA"/>
    <w:rsid w:val="00B65B43"/>
    <w:rsid w:val="00B677A8"/>
    <w:rsid w:val="00B72DB4"/>
    <w:rsid w:val="00B84D56"/>
    <w:rsid w:val="00B93151"/>
    <w:rsid w:val="00BC4BD5"/>
    <w:rsid w:val="00BD1687"/>
    <w:rsid w:val="00BD5D5B"/>
    <w:rsid w:val="00C0094F"/>
    <w:rsid w:val="00C121F4"/>
    <w:rsid w:val="00C13203"/>
    <w:rsid w:val="00C3E4F0"/>
    <w:rsid w:val="00C641EC"/>
    <w:rsid w:val="00C65E25"/>
    <w:rsid w:val="00C768F0"/>
    <w:rsid w:val="00C97844"/>
    <w:rsid w:val="00CC23B9"/>
    <w:rsid w:val="00CD53DA"/>
    <w:rsid w:val="00CF3EB3"/>
    <w:rsid w:val="00CF5E3F"/>
    <w:rsid w:val="00D058E3"/>
    <w:rsid w:val="00D26709"/>
    <w:rsid w:val="00D32C5B"/>
    <w:rsid w:val="00D416A4"/>
    <w:rsid w:val="00D61F27"/>
    <w:rsid w:val="00D80656"/>
    <w:rsid w:val="00D90164"/>
    <w:rsid w:val="00DA2796"/>
    <w:rsid w:val="00DB0A52"/>
    <w:rsid w:val="00DB579F"/>
    <w:rsid w:val="00DD2FE0"/>
    <w:rsid w:val="00DD6F28"/>
    <w:rsid w:val="00DE011A"/>
    <w:rsid w:val="00DF077E"/>
    <w:rsid w:val="00DF3F6A"/>
    <w:rsid w:val="00E01869"/>
    <w:rsid w:val="00E23291"/>
    <w:rsid w:val="00E2623F"/>
    <w:rsid w:val="00E370B4"/>
    <w:rsid w:val="00E763B1"/>
    <w:rsid w:val="00E77A62"/>
    <w:rsid w:val="00E9341F"/>
    <w:rsid w:val="00EB6560"/>
    <w:rsid w:val="00EC399B"/>
    <w:rsid w:val="00EE0709"/>
    <w:rsid w:val="00EE2F20"/>
    <w:rsid w:val="00EF2068"/>
    <w:rsid w:val="00EF4B1F"/>
    <w:rsid w:val="00F0073D"/>
    <w:rsid w:val="00F00CE1"/>
    <w:rsid w:val="00F146FE"/>
    <w:rsid w:val="00F21A19"/>
    <w:rsid w:val="00F4237E"/>
    <w:rsid w:val="00F430AA"/>
    <w:rsid w:val="00F43C0C"/>
    <w:rsid w:val="00F44B20"/>
    <w:rsid w:val="00F93DAF"/>
    <w:rsid w:val="00FC048A"/>
    <w:rsid w:val="00FC641D"/>
    <w:rsid w:val="00FF2230"/>
    <w:rsid w:val="01D0E5AC"/>
    <w:rsid w:val="024AF376"/>
    <w:rsid w:val="0289557C"/>
    <w:rsid w:val="02C6BD47"/>
    <w:rsid w:val="02E87A61"/>
    <w:rsid w:val="04A54535"/>
    <w:rsid w:val="04E0F453"/>
    <w:rsid w:val="04E405AC"/>
    <w:rsid w:val="0535A1C6"/>
    <w:rsid w:val="056B405D"/>
    <w:rsid w:val="057EE419"/>
    <w:rsid w:val="05975613"/>
    <w:rsid w:val="05EF85F0"/>
    <w:rsid w:val="066F8831"/>
    <w:rsid w:val="067CC4B4"/>
    <w:rsid w:val="070E9553"/>
    <w:rsid w:val="071AB47A"/>
    <w:rsid w:val="07B4D510"/>
    <w:rsid w:val="07DCE5F7"/>
    <w:rsid w:val="080B5892"/>
    <w:rsid w:val="08189515"/>
    <w:rsid w:val="082480EF"/>
    <w:rsid w:val="08B938D3"/>
    <w:rsid w:val="09A728F3"/>
    <w:rsid w:val="09B0A0C2"/>
    <w:rsid w:val="0A504BA8"/>
    <w:rsid w:val="0AD0EF49"/>
    <w:rsid w:val="0B8BCD67"/>
    <w:rsid w:val="0BA4B498"/>
    <w:rsid w:val="0C20CE91"/>
    <w:rsid w:val="0C3BD96E"/>
    <w:rsid w:val="0C86DD1A"/>
    <w:rsid w:val="0C897884"/>
    <w:rsid w:val="0CEBB010"/>
    <w:rsid w:val="0DD0E5E8"/>
    <w:rsid w:val="0DE3C77F"/>
    <w:rsid w:val="0E137335"/>
    <w:rsid w:val="0E2EF936"/>
    <w:rsid w:val="0E431705"/>
    <w:rsid w:val="0E93C273"/>
    <w:rsid w:val="0F15EBE1"/>
    <w:rsid w:val="0FC7617B"/>
    <w:rsid w:val="10C9A46A"/>
    <w:rsid w:val="1124F3DD"/>
    <w:rsid w:val="11590310"/>
    <w:rsid w:val="117AB7C7"/>
    <w:rsid w:val="118718DA"/>
    <w:rsid w:val="11913385"/>
    <w:rsid w:val="121FF7DA"/>
    <w:rsid w:val="1244C6AB"/>
    <w:rsid w:val="125E62D3"/>
    <w:rsid w:val="12DC14F6"/>
    <w:rsid w:val="13A35F5E"/>
    <w:rsid w:val="13C66FDE"/>
    <w:rsid w:val="14316F66"/>
    <w:rsid w:val="1434D209"/>
    <w:rsid w:val="1435E252"/>
    <w:rsid w:val="14C8D447"/>
    <w:rsid w:val="14FA8480"/>
    <w:rsid w:val="150A9788"/>
    <w:rsid w:val="15D5B107"/>
    <w:rsid w:val="160893CB"/>
    <w:rsid w:val="16A699A5"/>
    <w:rsid w:val="16DF113D"/>
    <w:rsid w:val="172C87FB"/>
    <w:rsid w:val="17D2E660"/>
    <w:rsid w:val="18426A06"/>
    <w:rsid w:val="1920F346"/>
    <w:rsid w:val="1921843D"/>
    <w:rsid w:val="19512DAE"/>
    <w:rsid w:val="195A2684"/>
    <w:rsid w:val="1979CA7A"/>
    <w:rsid w:val="19BC836F"/>
    <w:rsid w:val="1B6192AC"/>
    <w:rsid w:val="1BAE7143"/>
    <w:rsid w:val="1C2534E9"/>
    <w:rsid w:val="1C33B7B4"/>
    <w:rsid w:val="1CBC2076"/>
    <w:rsid w:val="1D20B3BE"/>
    <w:rsid w:val="1D2720BD"/>
    <w:rsid w:val="1D794FF5"/>
    <w:rsid w:val="1DCF8815"/>
    <w:rsid w:val="1E1E8153"/>
    <w:rsid w:val="1E472AAA"/>
    <w:rsid w:val="1E7A316F"/>
    <w:rsid w:val="1ED499C5"/>
    <w:rsid w:val="1F43D7AF"/>
    <w:rsid w:val="1FDD565A"/>
    <w:rsid w:val="1FE2FB0B"/>
    <w:rsid w:val="21C82910"/>
    <w:rsid w:val="229074E1"/>
    <w:rsid w:val="22BC2195"/>
    <w:rsid w:val="22EB0C50"/>
    <w:rsid w:val="22EBCD4B"/>
    <w:rsid w:val="236B79EE"/>
    <w:rsid w:val="2377E53D"/>
    <w:rsid w:val="239BD952"/>
    <w:rsid w:val="245E206E"/>
    <w:rsid w:val="24D069D9"/>
    <w:rsid w:val="25DA99FA"/>
    <w:rsid w:val="25E32F2D"/>
    <w:rsid w:val="26236E0D"/>
    <w:rsid w:val="2624AF82"/>
    <w:rsid w:val="2643ECBE"/>
    <w:rsid w:val="26BEC9B7"/>
    <w:rsid w:val="27C4CE14"/>
    <w:rsid w:val="28929160"/>
    <w:rsid w:val="289964CA"/>
    <w:rsid w:val="28F70B45"/>
    <w:rsid w:val="290F5DD2"/>
    <w:rsid w:val="29123ABC"/>
    <w:rsid w:val="29609E75"/>
    <w:rsid w:val="29779572"/>
    <w:rsid w:val="29FFC9B4"/>
    <w:rsid w:val="2AC33526"/>
    <w:rsid w:val="2AD898CF"/>
    <w:rsid w:val="2AE41419"/>
    <w:rsid w:val="2B3FAB5D"/>
    <w:rsid w:val="2B3FF96C"/>
    <w:rsid w:val="2B4F9A67"/>
    <w:rsid w:val="2BEAA223"/>
    <w:rsid w:val="2C5F0587"/>
    <w:rsid w:val="2CF05650"/>
    <w:rsid w:val="2D9CFF98"/>
    <w:rsid w:val="2DDD0AA8"/>
    <w:rsid w:val="2E1D8753"/>
    <w:rsid w:val="2F00DCAE"/>
    <w:rsid w:val="2F15C8EB"/>
    <w:rsid w:val="2F417B83"/>
    <w:rsid w:val="302B2126"/>
    <w:rsid w:val="30D8EEBB"/>
    <w:rsid w:val="311C8353"/>
    <w:rsid w:val="311D4CA1"/>
    <w:rsid w:val="313276AA"/>
    <w:rsid w:val="32C629B2"/>
    <w:rsid w:val="32E8C8B8"/>
    <w:rsid w:val="32F3CA68"/>
    <w:rsid w:val="3417168F"/>
    <w:rsid w:val="342CD037"/>
    <w:rsid w:val="349B48B1"/>
    <w:rsid w:val="3523DFC5"/>
    <w:rsid w:val="35296BD3"/>
    <w:rsid w:val="3620697A"/>
    <w:rsid w:val="362BDAD9"/>
    <w:rsid w:val="363485C3"/>
    <w:rsid w:val="36A3D793"/>
    <w:rsid w:val="373FF037"/>
    <w:rsid w:val="376E17C0"/>
    <w:rsid w:val="37B8E752"/>
    <w:rsid w:val="37EC0577"/>
    <w:rsid w:val="397B558B"/>
    <w:rsid w:val="3A244D5D"/>
    <w:rsid w:val="3A625A43"/>
    <w:rsid w:val="3A6F3DE8"/>
    <w:rsid w:val="3AAA3D3C"/>
    <w:rsid w:val="3AD958F0"/>
    <w:rsid w:val="3B60569E"/>
    <w:rsid w:val="3BD8DF84"/>
    <w:rsid w:val="3C0F2013"/>
    <w:rsid w:val="3C67ECCE"/>
    <w:rsid w:val="3C71649D"/>
    <w:rsid w:val="3C8C5875"/>
    <w:rsid w:val="3C92713D"/>
    <w:rsid w:val="3D47D661"/>
    <w:rsid w:val="3D73F093"/>
    <w:rsid w:val="3DD4AE24"/>
    <w:rsid w:val="3E4AA72C"/>
    <w:rsid w:val="3E5A008F"/>
    <w:rsid w:val="3ECDBCB9"/>
    <w:rsid w:val="3FCF3946"/>
    <w:rsid w:val="3FD2ED33"/>
    <w:rsid w:val="40998A23"/>
    <w:rsid w:val="411A569E"/>
    <w:rsid w:val="42DAB230"/>
    <w:rsid w:val="42E96B0B"/>
    <w:rsid w:val="434B2599"/>
    <w:rsid w:val="44704C7C"/>
    <w:rsid w:val="447E41FD"/>
    <w:rsid w:val="45C573B3"/>
    <w:rsid w:val="45D74C03"/>
    <w:rsid w:val="46786A07"/>
    <w:rsid w:val="47321B46"/>
    <w:rsid w:val="47706FC5"/>
    <w:rsid w:val="487BA950"/>
    <w:rsid w:val="4946F231"/>
    <w:rsid w:val="4980D293"/>
    <w:rsid w:val="49D96F74"/>
    <w:rsid w:val="4A654F3F"/>
    <w:rsid w:val="4B19EA86"/>
    <w:rsid w:val="4BBD919D"/>
    <w:rsid w:val="4BC6529C"/>
    <w:rsid w:val="4C2C0A17"/>
    <w:rsid w:val="4C88D2C9"/>
    <w:rsid w:val="4C8953E2"/>
    <w:rsid w:val="4CA3698F"/>
    <w:rsid w:val="4CB5BAE7"/>
    <w:rsid w:val="4CF713F3"/>
    <w:rsid w:val="4D072A72"/>
    <w:rsid w:val="4DB034FA"/>
    <w:rsid w:val="4E6C46AC"/>
    <w:rsid w:val="4FABA5E0"/>
    <w:rsid w:val="4FCFF359"/>
    <w:rsid w:val="50A5A154"/>
    <w:rsid w:val="513AC1D6"/>
    <w:rsid w:val="514A7880"/>
    <w:rsid w:val="51814A57"/>
    <w:rsid w:val="5245F358"/>
    <w:rsid w:val="53B06DD3"/>
    <w:rsid w:val="53BC00D8"/>
    <w:rsid w:val="53D4DF00"/>
    <w:rsid w:val="5440753B"/>
    <w:rsid w:val="54AD78FC"/>
    <w:rsid w:val="54DA5D9E"/>
    <w:rsid w:val="55216CA8"/>
    <w:rsid w:val="5555F16B"/>
    <w:rsid w:val="556F0158"/>
    <w:rsid w:val="5570F996"/>
    <w:rsid w:val="560E32F9"/>
    <w:rsid w:val="562C1518"/>
    <w:rsid w:val="569BC4D9"/>
    <w:rsid w:val="56A0D7AB"/>
    <w:rsid w:val="570CC9F7"/>
    <w:rsid w:val="589B5DD5"/>
    <w:rsid w:val="5945D3BB"/>
    <w:rsid w:val="5A66D9EC"/>
    <w:rsid w:val="5B0B94D1"/>
    <w:rsid w:val="5CCE42E2"/>
    <w:rsid w:val="5D05376D"/>
    <w:rsid w:val="5D4C2679"/>
    <w:rsid w:val="5D55A69B"/>
    <w:rsid w:val="5D6B76EF"/>
    <w:rsid w:val="5E6269B2"/>
    <w:rsid w:val="5E8A501B"/>
    <w:rsid w:val="5EB706D3"/>
    <w:rsid w:val="5EF83493"/>
    <w:rsid w:val="5F43CB31"/>
    <w:rsid w:val="5FDF05F4"/>
    <w:rsid w:val="5FF63441"/>
    <w:rsid w:val="6136F118"/>
    <w:rsid w:val="6171B376"/>
    <w:rsid w:val="6242401B"/>
    <w:rsid w:val="6253A570"/>
    <w:rsid w:val="6271EBD1"/>
    <w:rsid w:val="62DD54FE"/>
    <w:rsid w:val="63947D46"/>
    <w:rsid w:val="64539BAB"/>
    <w:rsid w:val="650611B1"/>
    <w:rsid w:val="655FEF32"/>
    <w:rsid w:val="6579E0DD"/>
    <w:rsid w:val="6591C4B2"/>
    <w:rsid w:val="65E5DD18"/>
    <w:rsid w:val="65FDF7F1"/>
    <w:rsid w:val="65FF5C34"/>
    <w:rsid w:val="66FBBF93"/>
    <w:rsid w:val="674D5B8D"/>
    <w:rsid w:val="6786DB66"/>
    <w:rsid w:val="681B8C3C"/>
    <w:rsid w:val="682B8A55"/>
    <w:rsid w:val="68C2E6F4"/>
    <w:rsid w:val="68E92BEE"/>
    <w:rsid w:val="68EDAD67"/>
    <w:rsid w:val="6944813D"/>
    <w:rsid w:val="699958B8"/>
    <w:rsid w:val="699B6FAA"/>
    <w:rsid w:val="6A522613"/>
    <w:rsid w:val="6A897DC8"/>
    <w:rsid w:val="6A8E7F77"/>
    <w:rsid w:val="6AE04A06"/>
    <w:rsid w:val="6AE0519E"/>
    <w:rsid w:val="6AF72730"/>
    <w:rsid w:val="6B816408"/>
    <w:rsid w:val="6C4644E5"/>
    <w:rsid w:val="6C7C21FF"/>
    <w:rsid w:val="6C996311"/>
    <w:rsid w:val="6C9F265E"/>
    <w:rsid w:val="6D31E396"/>
    <w:rsid w:val="6D3C34DA"/>
    <w:rsid w:val="6D6E32DD"/>
    <w:rsid w:val="6DFBC4BD"/>
    <w:rsid w:val="6E8F390E"/>
    <w:rsid w:val="6E9C7D18"/>
    <w:rsid w:val="6EC4E80E"/>
    <w:rsid w:val="6ED8053B"/>
    <w:rsid w:val="6F2154A1"/>
    <w:rsid w:val="6F309655"/>
    <w:rsid w:val="6F3604C3"/>
    <w:rsid w:val="70479012"/>
    <w:rsid w:val="7073D59C"/>
    <w:rsid w:val="70AB75A8"/>
    <w:rsid w:val="71E36073"/>
    <w:rsid w:val="720FA5FD"/>
    <w:rsid w:val="728597A2"/>
    <w:rsid w:val="735CC754"/>
    <w:rsid w:val="73AB765E"/>
    <w:rsid w:val="73DF2676"/>
    <w:rsid w:val="741A3E6F"/>
    <w:rsid w:val="74214480"/>
    <w:rsid w:val="75310FAD"/>
    <w:rsid w:val="762AF1CB"/>
    <w:rsid w:val="764EB09F"/>
    <w:rsid w:val="76F992DE"/>
    <w:rsid w:val="773F05D8"/>
    <w:rsid w:val="775F88CD"/>
    <w:rsid w:val="77A0B3A0"/>
    <w:rsid w:val="77D5CF00"/>
    <w:rsid w:val="78A3A24A"/>
    <w:rsid w:val="791FB2C7"/>
    <w:rsid w:val="797357D4"/>
    <w:rsid w:val="797F5AD6"/>
    <w:rsid w:val="7A1AB7E2"/>
    <w:rsid w:val="7A8C010E"/>
    <w:rsid w:val="7BB68843"/>
    <w:rsid w:val="7C799355"/>
    <w:rsid w:val="7C9A334F"/>
    <w:rsid w:val="7CE1A60E"/>
    <w:rsid w:val="7CE7A995"/>
    <w:rsid w:val="7DC3B6FC"/>
    <w:rsid w:val="7DED8C0B"/>
    <w:rsid w:val="7DF4926D"/>
    <w:rsid w:val="7ECB66A9"/>
    <w:rsid w:val="7F591672"/>
    <w:rsid w:val="7F61BF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C010E"/>
  <w15:chartTrackingRefBased/>
  <w15:docId w15:val="{EB2760BE-3B28-4A66-9D00-3002BC06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1830E0"/>
    <w:pPr>
      <w:spacing w:after="0" w:line="240" w:lineRule="auto"/>
    </w:pPr>
  </w:style>
  <w:style w:type="character" w:styleId="Hyperlink">
    <w:name w:val="Hyperlink"/>
    <w:basedOn w:val="DefaultParagraphFont"/>
    <w:uiPriority w:val="99"/>
    <w:unhideWhenUsed/>
    <w:rsid w:val="00C13203"/>
    <w:rPr>
      <w:color w:val="0563C1" w:themeColor="hyperlink"/>
      <w:u w:val="single"/>
    </w:rPr>
  </w:style>
  <w:style w:type="character" w:styleId="CommentReference">
    <w:name w:val="annotation reference"/>
    <w:basedOn w:val="DefaultParagraphFont"/>
    <w:uiPriority w:val="99"/>
    <w:semiHidden/>
    <w:unhideWhenUsed/>
    <w:rsid w:val="00C768F0"/>
    <w:rPr>
      <w:sz w:val="16"/>
      <w:szCs w:val="16"/>
    </w:rPr>
  </w:style>
  <w:style w:type="paragraph" w:styleId="CommentText">
    <w:name w:val="annotation text"/>
    <w:basedOn w:val="Normal"/>
    <w:link w:val="CommentTextChar"/>
    <w:uiPriority w:val="99"/>
    <w:semiHidden/>
    <w:unhideWhenUsed/>
    <w:rsid w:val="00C768F0"/>
    <w:pPr>
      <w:spacing w:line="240" w:lineRule="auto"/>
    </w:pPr>
    <w:rPr>
      <w:sz w:val="20"/>
      <w:szCs w:val="20"/>
    </w:rPr>
  </w:style>
  <w:style w:type="character" w:customStyle="1" w:styleId="CommentTextChar">
    <w:name w:val="Comment Text Char"/>
    <w:basedOn w:val="DefaultParagraphFont"/>
    <w:link w:val="CommentText"/>
    <w:uiPriority w:val="99"/>
    <w:semiHidden/>
    <w:rsid w:val="00C768F0"/>
    <w:rPr>
      <w:sz w:val="20"/>
      <w:szCs w:val="20"/>
    </w:rPr>
  </w:style>
  <w:style w:type="paragraph" w:styleId="CommentSubject">
    <w:name w:val="annotation subject"/>
    <w:basedOn w:val="CommentText"/>
    <w:next w:val="CommentText"/>
    <w:link w:val="CommentSubjectChar"/>
    <w:uiPriority w:val="99"/>
    <w:semiHidden/>
    <w:unhideWhenUsed/>
    <w:rsid w:val="00C768F0"/>
    <w:rPr>
      <w:b/>
      <w:bCs/>
    </w:rPr>
  </w:style>
  <w:style w:type="character" w:customStyle="1" w:styleId="CommentSubjectChar">
    <w:name w:val="Comment Subject Char"/>
    <w:basedOn w:val="CommentTextChar"/>
    <w:link w:val="CommentSubject"/>
    <w:uiPriority w:val="99"/>
    <w:semiHidden/>
    <w:rsid w:val="00C768F0"/>
    <w:rPr>
      <w:b/>
      <w:bCs/>
      <w:sz w:val="20"/>
      <w:szCs w:val="20"/>
    </w:rPr>
  </w:style>
  <w:style w:type="character" w:styleId="UnresolvedMention">
    <w:name w:val="Unresolved Mention"/>
    <w:basedOn w:val="DefaultParagraphFont"/>
    <w:uiPriority w:val="99"/>
    <w:semiHidden/>
    <w:unhideWhenUsed/>
    <w:rsid w:val="005778D6"/>
    <w:rPr>
      <w:color w:val="605E5C"/>
      <w:shd w:val="clear" w:color="auto" w:fill="E1DFDD"/>
    </w:rPr>
  </w:style>
  <w:style w:type="character" w:styleId="FollowedHyperlink">
    <w:name w:val="FollowedHyperlink"/>
    <w:basedOn w:val="DefaultParagraphFont"/>
    <w:uiPriority w:val="99"/>
    <w:semiHidden/>
    <w:unhideWhenUsed/>
    <w:rsid w:val="00044748"/>
    <w:rPr>
      <w:color w:val="954F72" w:themeColor="followedHyperlink"/>
      <w:u w:val="single"/>
    </w:rPr>
  </w:style>
  <w:style w:type="paragraph" w:styleId="Header">
    <w:name w:val="header"/>
    <w:basedOn w:val="Normal"/>
    <w:link w:val="HeaderChar"/>
    <w:uiPriority w:val="99"/>
    <w:unhideWhenUsed/>
    <w:rsid w:val="001D2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38B"/>
  </w:style>
  <w:style w:type="paragraph" w:styleId="Footer">
    <w:name w:val="footer"/>
    <w:basedOn w:val="Normal"/>
    <w:link w:val="FooterChar"/>
    <w:uiPriority w:val="99"/>
    <w:unhideWhenUsed/>
    <w:rsid w:val="001D2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dc.org/unodc/en/ngos/ppp-compendium.htm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cat.un.org/sites/g/files/tmzbdl461/files/publications/icat_statement_wdat_2022.pdf" TargetMode="External"/><Relationship Id="rId1" Type="http://schemas.openxmlformats.org/officeDocument/2006/relationships/hyperlink" Target="https://www.unodc.org/documents/treaties/WG_TiP_2021/CTOC_COP_WG.4_2021_2/ctoc_cop_wg.4_2021_2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8192cb1-67bb-4ce5-82db-0b25b399d11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C40202FEBBA843BF41687ADE7B54CC" ma:contentTypeVersion="12" ma:contentTypeDescription="Create a new document." ma:contentTypeScope="" ma:versionID="b03a9ca0f58b7180e5670647e9f3ac12">
  <xsd:schema xmlns:xsd="http://www.w3.org/2001/XMLSchema" xmlns:xs="http://www.w3.org/2001/XMLSchema" xmlns:p="http://schemas.microsoft.com/office/2006/metadata/properties" xmlns:ns2="c8192cb1-67bb-4ce5-82db-0b25b399d117" xmlns:ns3="9c2e4527-2efa-4ade-b3d6-b2418af14986" xmlns:ns4="985ec44e-1bab-4c0b-9df0-6ba128686fc9" targetNamespace="http://schemas.microsoft.com/office/2006/metadata/properties" ma:root="true" ma:fieldsID="248b4766c80033b2846011ec563a1e4a" ns2:_="" ns3:_="" ns4:_="">
    <xsd:import namespace="c8192cb1-67bb-4ce5-82db-0b25b399d117"/>
    <xsd:import namespace="9c2e4527-2efa-4ade-b3d6-b2418af14986"/>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92cb1-67bb-4ce5-82db-0b25b399d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FC7C0-B09D-4611-A255-D6B5627C63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F9573B-7FBF-4431-8330-7BBD651C9FD5}">
  <ds:schemaRefs>
    <ds:schemaRef ds:uri="http://schemas.openxmlformats.org/officeDocument/2006/bibliography"/>
  </ds:schemaRefs>
</ds:datastoreItem>
</file>

<file path=customXml/itemProps3.xml><?xml version="1.0" encoding="utf-8"?>
<ds:datastoreItem xmlns:ds="http://schemas.openxmlformats.org/officeDocument/2006/customXml" ds:itemID="{2E92248F-FF15-4CE3-A35D-19192CA39E3F}"/>
</file>

<file path=customXml/itemProps4.xml><?xml version="1.0" encoding="utf-8"?>
<ds:datastoreItem xmlns:ds="http://schemas.openxmlformats.org/officeDocument/2006/customXml" ds:itemID="{C0C4CBC0-C58E-45D0-89C3-67E540E05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Didier</dc:creator>
  <cp:keywords/>
  <dc:description/>
  <cp:lastModifiedBy>Tim</cp:lastModifiedBy>
  <cp:revision>2</cp:revision>
  <dcterms:created xsi:type="dcterms:W3CDTF">2023-03-06T10:14:00Z</dcterms:created>
  <dcterms:modified xsi:type="dcterms:W3CDTF">2023-03-06T10:14:00Z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0x0101005099AA6FCD7B694DA71111E7C698B513</vt:lpwstr>
  </property>
</Properties>
</file>