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12" w:rsidRDefault="003B0F0E" w:rsidP="009C5413">
      <w:pPr>
        <w:tabs>
          <w:tab w:val="left" w:pos="8685"/>
        </w:tabs>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2023-03-03</w:t>
      </w:r>
    </w:p>
    <w:p w:rsidR="00611928" w:rsidRPr="009615E8" w:rsidRDefault="00611928" w:rsidP="003B0F0E">
      <w:pPr>
        <w:spacing w:after="0" w:line="276" w:lineRule="auto"/>
        <w:jc w:val="both"/>
        <w:rPr>
          <w:rFonts w:ascii="Times New Roman" w:hAnsi="Times New Roman" w:cs="Times New Roman"/>
          <w:b/>
          <w:bCs/>
          <w:sz w:val="24"/>
          <w:szCs w:val="24"/>
          <w:lang w:val="en-GB" w:bidi="en-US"/>
        </w:rPr>
      </w:pPr>
    </w:p>
    <w:p w:rsidR="00611928" w:rsidRPr="003B0F0E" w:rsidRDefault="00974279" w:rsidP="003B0F0E">
      <w:pPr>
        <w:spacing w:after="0" w:line="276" w:lineRule="auto"/>
        <w:jc w:val="both"/>
        <w:rPr>
          <w:rFonts w:ascii="Times New Roman" w:hAnsi="Times New Roman" w:cs="Times New Roman"/>
          <w:b/>
          <w:bCs/>
          <w:sz w:val="28"/>
          <w:szCs w:val="24"/>
          <w:lang w:val="en-GB" w:bidi="en-US"/>
        </w:rPr>
      </w:pPr>
      <w:r>
        <w:rPr>
          <w:rFonts w:ascii="Times New Roman" w:eastAsia="Calibri" w:hAnsi="Times New Roman" w:cs="Times New Roman"/>
          <w:b/>
          <w:sz w:val="28"/>
          <w:szCs w:val="24"/>
          <w:lang w:val="en-GB"/>
        </w:rPr>
        <w:t>I</w:t>
      </w:r>
      <w:r w:rsidRPr="003B0F0E">
        <w:rPr>
          <w:rFonts w:ascii="Times New Roman" w:eastAsia="Calibri" w:hAnsi="Times New Roman" w:cs="Times New Roman"/>
          <w:b/>
          <w:sz w:val="28"/>
          <w:szCs w:val="24"/>
          <w:lang w:val="en-GB"/>
        </w:rPr>
        <w:t>nformation</w:t>
      </w:r>
      <w:r w:rsidRPr="003B0F0E">
        <w:rPr>
          <w:rFonts w:ascii="Times New Roman" w:hAnsi="Times New Roman" w:cs="Times New Roman"/>
          <w:b/>
          <w:bCs/>
          <w:sz w:val="28"/>
          <w:szCs w:val="24"/>
          <w:lang w:val="en-GB" w:bidi="en-US"/>
        </w:rPr>
        <w:t xml:space="preserve"> </w:t>
      </w:r>
      <w:r w:rsidRPr="003B0F0E">
        <w:rPr>
          <w:rFonts w:ascii="Times New Roman" w:eastAsia="Calibri" w:hAnsi="Times New Roman" w:cs="Times New Roman"/>
          <w:b/>
          <w:sz w:val="28"/>
          <w:szCs w:val="24"/>
          <w:lang w:val="en-GB"/>
        </w:rPr>
        <w:t>provide</w:t>
      </w:r>
      <w:r>
        <w:rPr>
          <w:rFonts w:ascii="Times New Roman" w:eastAsia="Calibri" w:hAnsi="Times New Roman" w:cs="Times New Roman"/>
          <w:b/>
          <w:sz w:val="28"/>
          <w:szCs w:val="24"/>
          <w:lang w:val="en-GB"/>
        </w:rPr>
        <w:t>d by the Republic of Lithuania</w:t>
      </w:r>
      <w:r w:rsidRPr="003B0F0E">
        <w:rPr>
          <w:rFonts w:ascii="Times New Roman" w:hAnsi="Times New Roman" w:cs="Times New Roman"/>
          <w:b/>
          <w:bCs/>
          <w:sz w:val="28"/>
          <w:szCs w:val="24"/>
          <w:lang w:val="en-GB" w:bidi="en-US"/>
        </w:rPr>
        <w:t xml:space="preserve"> </w:t>
      </w:r>
      <w:r>
        <w:rPr>
          <w:rFonts w:ascii="Times New Roman" w:hAnsi="Times New Roman" w:cs="Times New Roman"/>
          <w:b/>
          <w:bCs/>
          <w:sz w:val="28"/>
          <w:szCs w:val="24"/>
          <w:lang w:val="en-GB" w:bidi="en-US"/>
        </w:rPr>
        <w:t>i</w:t>
      </w:r>
      <w:r w:rsidR="00611928" w:rsidRPr="003B0F0E">
        <w:rPr>
          <w:rFonts w:ascii="Times New Roman" w:hAnsi="Times New Roman" w:cs="Times New Roman"/>
          <w:b/>
          <w:bCs/>
          <w:sz w:val="28"/>
          <w:szCs w:val="24"/>
          <w:lang w:val="en-GB" w:bidi="en-US"/>
        </w:rPr>
        <w:t>n response to the call for inputs of the United Nations High Commissioner for Human Rights on the relationship between human rights and technical standard-setting processes for new an</w:t>
      </w:r>
      <w:r>
        <w:rPr>
          <w:rFonts w:ascii="Times New Roman" w:hAnsi="Times New Roman" w:cs="Times New Roman"/>
          <w:b/>
          <w:bCs/>
          <w:sz w:val="28"/>
          <w:szCs w:val="24"/>
          <w:lang w:val="en-GB" w:bidi="en-US"/>
        </w:rPr>
        <w:t>d emerging digital technologies</w:t>
      </w:r>
    </w:p>
    <w:p w:rsidR="00611928" w:rsidRPr="00611928" w:rsidRDefault="00611928" w:rsidP="003B0F0E">
      <w:pPr>
        <w:jc w:val="both"/>
        <w:rPr>
          <w:rFonts w:ascii="Times New Roman" w:hAnsi="Times New Roman" w:cs="Times New Roman"/>
          <w:sz w:val="24"/>
          <w:szCs w:val="24"/>
        </w:rPr>
      </w:pPr>
    </w:p>
    <w:p w:rsidR="00296753" w:rsidRPr="003B0F0E" w:rsidRDefault="00296753" w:rsidP="003B0F0E">
      <w:pPr>
        <w:spacing w:line="276" w:lineRule="auto"/>
        <w:jc w:val="both"/>
        <w:rPr>
          <w:rFonts w:ascii="Times New Roman" w:hAnsi="Times New Roman" w:cs="Times New Roman"/>
          <w:b/>
          <w:sz w:val="24"/>
          <w:szCs w:val="24"/>
        </w:rPr>
      </w:pPr>
      <w:r w:rsidRPr="00611928">
        <w:rPr>
          <w:rFonts w:ascii="Times New Roman" w:hAnsi="Times New Roman" w:cs="Times New Roman"/>
          <w:b/>
          <w:sz w:val="24"/>
          <w:szCs w:val="24"/>
        </w:rPr>
        <w:t>How do technical standards for new and emerging digital technologies impact the enjoyment of human rights; what are related risks and opportunities?</w:t>
      </w:r>
    </w:p>
    <w:p w:rsidR="00611928" w:rsidRDefault="00296753" w:rsidP="003B0F0E">
      <w:pPr>
        <w:spacing w:line="276" w:lineRule="auto"/>
        <w:jc w:val="both"/>
        <w:rPr>
          <w:rFonts w:ascii="Times New Roman" w:eastAsia="Times New Roman" w:hAnsi="Times New Roman" w:cs="Times New Roman"/>
          <w:sz w:val="24"/>
          <w:szCs w:val="24"/>
        </w:rPr>
      </w:pPr>
      <w:r w:rsidRPr="00611928">
        <w:rPr>
          <w:rFonts w:ascii="Times New Roman" w:hAnsi="Times New Roman" w:cs="Times New Roman"/>
          <w:sz w:val="24"/>
          <w:szCs w:val="24"/>
        </w:rPr>
        <w:t xml:space="preserve">Digital technologies, </w:t>
      </w:r>
      <w:r w:rsidR="00D6460A">
        <w:rPr>
          <w:rFonts w:ascii="Times New Roman" w:hAnsi="Times New Roman" w:cs="Times New Roman"/>
          <w:sz w:val="24"/>
          <w:szCs w:val="24"/>
        </w:rPr>
        <w:t>especially</w:t>
      </w:r>
      <w:r w:rsidRPr="00611928">
        <w:rPr>
          <w:rFonts w:ascii="Times New Roman" w:hAnsi="Times New Roman" w:cs="Times New Roman"/>
          <w:sz w:val="24"/>
          <w:szCs w:val="24"/>
        </w:rPr>
        <w:t xml:space="preserve"> surveillance technologies can be important </w:t>
      </w:r>
      <w:r w:rsidRPr="00611928">
        <w:rPr>
          <w:rFonts w:ascii="Times New Roman" w:eastAsia="Times New Roman" w:hAnsi="Times New Roman" w:cs="Times New Roman"/>
          <w:sz w:val="24"/>
          <w:szCs w:val="24"/>
        </w:rPr>
        <w:t xml:space="preserve">tools for protecting national security and critical infrastructure and conducting criminal investigations, thereby ensuring that our people can enjoy their rights and liberties, and protecting our economic development. However, a growing number of government misuse digital technologies to restrict access to information and the exercise of human rights and fundamental freedoms, often targeting </w:t>
      </w:r>
      <w:r w:rsidRPr="00611928">
        <w:rPr>
          <w:rFonts w:ascii="Times New Roman" w:eastAsia="Times New Roman" w:hAnsi="Times New Roman" w:cs="Times New Roman"/>
          <w:color w:val="323130"/>
          <w:sz w:val="24"/>
          <w:szCs w:val="24"/>
        </w:rPr>
        <w:t>journalists, human rights defenders, activists, political opposition members, or others perceived as dissidents and critics</w:t>
      </w:r>
      <w:r w:rsidRPr="00611928">
        <w:rPr>
          <w:rFonts w:ascii="Times New Roman" w:eastAsia="Times New Roman" w:hAnsi="Times New Roman" w:cs="Times New Roman"/>
          <w:sz w:val="24"/>
          <w:szCs w:val="24"/>
        </w:rPr>
        <w:t xml:space="preserve">.  Also, this can lead to the unequal enjoyment of human rights and fundamental freedoms, In some cases, governments use surveillance technologies in ways that violate or abuse the right to be free from arbitrary or unlawful interference with one’s privacy, as set out in the Universal Declaration of Human Rights (UDHR) and the International Covenant on Civil and Political Rights (ICCPR).  In the worst cases, governments employ such products or services as part of a broad State apparatus of oppression that violates or abuses many more human rights and fundamental freedoms including freedoms of expression, religion or belief, association, and peaceful assembly, and procedural rights, causing online and offline civic space to shrink. </w:t>
      </w:r>
    </w:p>
    <w:p w:rsidR="00611928" w:rsidRPr="00611928" w:rsidRDefault="00611928" w:rsidP="003B0F0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96753" w:rsidRPr="00611928">
        <w:rPr>
          <w:rFonts w:ascii="Times New Roman" w:eastAsia="Times New Roman" w:hAnsi="Times New Roman" w:cs="Times New Roman"/>
          <w:sz w:val="24"/>
          <w:szCs w:val="24"/>
        </w:rPr>
        <w:t xml:space="preserve">he technical settings should aim to ensure that the use of surveillance technologies is lawful and responsible, and also that there are safeguards in place that apply to the handling and disclosure of material obtained using these technologies so as to advance the protection of privacy, personal data, and human rights and fundamental freedoms, and to foster transparency, accountability, and civic participation, while conducting effective and appropriate law enforcement, public safety, and national security activities. In general, “surveillance technologies” can refer to products or services that can be used to detect, monitor, intercept, collect, exploit, preserve, process, analyze, invasively observe, and/or retain sensitive data, personally identifying information, including biomarkers, or communications concerning individuals or groups.   </w:t>
      </w:r>
    </w:p>
    <w:p w:rsidR="009C5413" w:rsidRPr="00611928" w:rsidRDefault="00142CD2" w:rsidP="003B0F0E">
      <w:p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At the same time, digital technologies directly impact the information space. Artificial intelligence tools are used to spread disinformation. There is still a lack of transparency on the AI tools used in the architecture of social networks.</w:t>
      </w:r>
    </w:p>
    <w:p w:rsidR="00296753" w:rsidRPr="00D6460A" w:rsidRDefault="00296753" w:rsidP="003B0F0E">
      <w:pPr>
        <w:spacing w:line="276" w:lineRule="auto"/>
        <w:jc w:val="both"/>
        <w:rPr>
          <w:rFonts w:ascii="Times New Roman" w:hAnsi="Times New Roman" w:cs="Times New Roman"/>
          <w:b/>
          <w:sz w:val="24"/>
          <w:szCs w:val="24"/>
        </w:rPr>
      </w:pPr>
      <w:r w:rsidRPr="00611928">
        <w:rPr>
          <w:rFonts w:ascii="Times New Roman" w:hAnsi="Times New Roman" w:cs="Times New Roman"/>
          <w:b/>
          <w:sz w:val="24"/>
          <w:szCs w:val="24"/>
        </w:rPr>
        <w:t>What are examples that best illustrate the relationship between technical standards for new and emerging digital technologies and human rights?</w:t>
      </w:r>
    </w:p>
    <w:p w:rsidR="00DF3089" w:rsidRDefault="00296753" w:rsidP="003B0F0E">
      <w:pPr>
        <w:spacing w:line="276" w:lineRule="auto"/>
        <w:jc w:val="both"/>
        <w:rPr>
          <w:rFonts w:ascii="Times New Roman" w:hAnsi="Times New Roman" w:cs="Times New Roman"/>
          <w:sz w:val="24"/>
          <w:szCs w:val="24"/>
        </w:rPr>
      </w:pPr>
      <w:r w:rsidRPr="00611928">
        <w:rPr>
          <w:rFonts w:ascii="Times New Roman" w:eastAsia="Calibri" w:hAnsi="Times New Roman" w:cs="Times New Roman"/>
          <w:sz w:val="24"/>
          <w:szCs w:val="24"/>
        </w:rPr>
        <w:t xml:space="preserve">Development of new technologies is inextricably linked to human rights issues, </w:t>
      </w:r>
      <w:r w:rsidRPr="00611928">
        <w:rPr>
          <w:rFonts w:ascii="Times New Roman" w:hAnsi="Times New Roman" w:cs="Times New Roman"/>
          <w:sz w:val="24"/>
          <w:szCs w:val="24"/>
        </w:rPr>
        <w:t xml:space="preserve">in spheres such as cyber security, threats to freedom of expression, racial discrimination, increasing polarisation, the </w:t>
      </w:r>
      <w:r w:rsidRPr="00611928">
        <w:rPr>
          <w:rFonts w:ascii="Times New Roman" w:hAnsi="Times New Roman" w:cs="Times New Roman"/>
          <w:sz w:val="24"/>
          <w:szCs w:val="24"/>
        </w:rPr>
        <w:lastRenderedPageBreak/>
        <w:t>digital divide, cyber violence, hate speech, misinformation (e.g. on social media). States and companies that manage information and data need to ensure that technology is base</w:t>
      </w:r>
      <w:r w:rsidR="00D6460A">
        <w:rPr>
          <w:rFonts w:ascii="Times New Roman" w:hAnsi="Times New Roman" w:cs="Times New Roman"/>
          <w:sz w:val="24"/>
          <w:szCs w:val="24"/>
        </w:rPr>
        <w:t xml:space="preserve">d on human rights. </w:t>
      </w:r>
    </w:p>
    <w:p w:rsidR="009C5413" w:rsidRPr="009C5413" w:rsidRDefault="009C5413" w:rsidP="003B0F0E">
      <w:pPr>
        <w:spacing w:line="276" w:lineRule="auto"/>
        <w:jc w:val="both"/>
        <w:rPr>
          <w:rFonts w:ascii="Times New Roman" w:hAnsi="Times New Roman" w:cs="Times New Roman"/>
          <w:sz w:val="24"/>
          <w:szCs w:val="24"/>
        </w:rPr>
      </w:pPr>
    </w:p>
    <w:p w:rsidR="00296753" w:rsidRPr="009C5413" w:rsidRDefault="0039682A" w:rsidP="003B0F0E">
      <w:pPr>
        <w:spacing w:line="276" w:lineRule="auto"/>
        <w:jc w:val="both"/>
        <w:rPr>
          <w:rFonts w:ascii="Times New Roman" w:hAnsi="Times New Roman" w:cs="Times New Roman"/>
          <w:b/>
          <w:sz w:val="24"/>
          <w:szCs w:val="24"/>
        </w:rPr>
      </w:pPr>
      <w:r w:rsidRPr="00611928">
        <w:rPr>
          <w:rFonts w:ascii="Times New Roman" w:hAnsi="Times New Roman" w:cs="Times New Roman"/>
          <w:b/>
          <w:sz w:val="24"/>
          <w:szCs w:val="24"/>
        </w:rPr>
        <w:t xml:space="preserve">3. What are duties </w:t>
      </w:r>
      <w:r w:rsidR="00296753" w:rsidRPr="00611928">
        <w:rPr>
          <w:rFonts w:ascii="Times New Roman" w:hAnsi="Times New Roman" w:cs="Times New Roman"/>
          <w:b/>
          <w:sz w:val="24"/>
          <w:szCs w:val="24"/>
        </w:rPr>
        <w:t>and resonsibilities of standard setting organizations and their stakeholders in effectively integrating human rights considerations in technical standard-setting processes for new and emerging digital technologies?</w:t>
      </w:r>
    </w:p>
    <w:p w:rsidR="0039682A" w:rsidRPr="00611928" w:rsidRDefault="0039682A" w:rsidP="003B0F0E">
      <w:p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The digital transformation of our societies and economy should encompass digital sovereignty, inclusion, equality, sustainability, resilience, security, trust, improving qu</w:t>
      </w:r>
      <w:r w:rsidR="00FD36D6">
        <w:rPr>
          <w:rFonts w:ascii="Times New Roman" w:hAnsi="Times New Roman" w:cs="Times New Roman"/>
          <w:sz w:val="24"/>
          <w:szCs w:val="24"/>
        </w:rPr>
        <w:t>ality of life, respect of human</w:t>
      </w:r>
      <w:r w:rsidRPr="00611928">
        <w:rPr>
          <w:rFonts w:ascii="Times New Roman" w:hAnsi="Times New Roman" w:cs="Times New Roman"/>
          <w:sz w:val="24"/>
          <w:szCs w:val="24"/>
        </w:rPr>
        <w:t xml:space="preserve"> rights and aspirations and should contribute to a dynamic, resource-efficient and fair economy and society</w:t>
      </w:r>
      <w:r w:rsidR="00142CD2" w:rsidRPr="00611928">
        <w:rPr>
          <w:rFonts w:ascii="Times New Roman" w:hAnsi="Times New Roman" w:cs="Times New Roman"/>
          <w:sz w:val="24"/>
          <w:szCs w:val="24"/>
        </w:rPr>
        <w:t>. Standard setting organizations should ensure:</w:t>
      </w:r>
    </w:p>
    <w:p w:rsidR="0039682A" w:rsidRPr="00611928" w:rsidRDefault="00D6460A" w:rsidP="003B0F0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39682A" w:rsidRPr="00611928">
        <w:rPr>
          <w:rFonts w:ascii="Times New Roman" w:hAnsi="Times New Roman" w:cs="Times New Roman"/>
          <w:sz w:val="24"/>
          <w:szCs w:val="24"/>
        </w:rPr>
        <w:t xml:space="preserve">hat technological solutions respect </w:t>
      </w:r>
      <w:r w:rsidR="008020AD">
        <w:rPr>
          <w:rFonts w:ascii="Times New Roman" w:hAnsi="Times New Roman" w:cs="Times New Roman"/>
          <w:sz w:val="24"/>
          <w:szCs w:val="24"/>
        </w:rPr>
        <w:t>human</w:t>
      </w:r>
      <w:r w:rsidR="0039682A" w:rsidRPr="00611928">
        <w:rPr>
          <w:rFonts w:ascii="Times New Roman" w:hAnsi="Times New Roman" w:cs="Times New Roman"/>
          <w:sz w:val="24"/>
          <w:szCs w:val="24"/>
        </w:rPr>
        <w:t xml:space="preserve"> rights, enable their exercise and promote inclusion.</w:t>
      </w:r>
    </w:p>
    <w:p w:rsidR="0039682A" w:rsidRPr="00611928" w:rsidRDefault="0039682A" w:rsidP="003B0F0E">
      <w:pPr>
        <w:pStyle w:val="ListParagraph"/>
        <w:numPr>
          <w:ilvl w:val="0"/>
          <w:numId w:val="1"/>
        </w:num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 xml:space="preserve">a digital transformation </w:t>
      </w:r>
      <w:r w:rsidR="00142CD2" w:rsidRPr="00611928">
        <w:rPr>
          <w:rFonts w:ascii="Times New Roman" w:hAnsi="Times New Roman" w:cs="Times New Roman"/>
          <w:sz w:val="24"/>
          <w:szCs w:val="24"/>
        </w:rPr>
        <w:t xml:space="preserve">should </w:t>
      </w:r>
      <w:r w:rsidRPr="00611928">
        <w:rPr>
          <w:rFonts w:ascii="Times New Roman" w:hAnsi="Times New Roman" w:cs="Times New Roman"/>
          <w:sz w:val="24"/>
          <w:szCs w:val="24"/>
        </w:rPr>
        <w:t>include elderly people, persons with disabilities, or marginalised, vulnerable or disenfranchised people and those who act on their behalf.</w:t>
      </w:r>
    </w:p>
    <w:p w:rsidR="00142CD2" w:rsidRPr="00611928" w:rsidRDefault="0039682A" w:rsidP="003B0F0E">
      <w:pPr>
        <w:pStyle w:val="ListParagraph"/>
        <w:numPr>
          <w:ilvl w:val="0"/>
          <w:numId w:val="1"/>
        </w:num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developing adequate frameworks so that all market actors benefiting from the digital transformation assume their social responsibilities and make a fair and proportionate contribution to the costs of public goods, services and infrastructures, for the benefit of all</w:t>
      </w:r>
      <w:r w:rsidR="00142CD2" w:rsidRPr="00611928">
        <w:rPr>
          <w:rFonts w:ascii="Times New Roman" w:hAnsi="Times New Roman" w:cs="Times New Roman"/>
          <w:sz w:val="24"/>
          <w:szCs w:val="24"/>
        </w:rPr>
        <w:t>.</w:t>
      </w:r>
    </w:p>
    <w:p w:rsidR="00A40E1A" w:rsidRDefault="0039682A" w:rsidP="003B0F0E">
      <w:pPr>
        <w:pStyle w:val="ListParagraph"/>
        <w:numPr>
          <w:ilvl w:val="0"/>
          <w:numId w:val="1"/>
        </w:num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en</w:t>
      </w:r>
      <w:r w:rsidR="00142CD2" w:rsidRPr="00611928">
        <w:rPr>
          <w:rFonts w:ascii="Times New Roman" w:hAnsi="Times New Roman" w:cs="Times New Roman"/>
          <w:sz w:val="24"/>
          <w:szCs w:val="24"/>
        </w:rPr>
        <w:t>sure</w:t>
      </w:r>
      <w:r w:rsidRPr="00611928">
        <w:rPr>
          <w:rFonts w:ascii="Times New Roman" w:hAnsi="Times New Roman" w:cs="Times New Roman"/>
          <w:sz w:val="24"/>
          <w:szCs w:val="24"/>
        </w:rPr>
        <w:t xml:space="preserve"> that technologies, such as algorithms and artificial intelligence are not used to pre-determine people’s choices, for example regarding health, education, employment, and their private life. </w:t>
      </w:r>
    </w:p>
    <w:p w:rsidR="00DF3089" w:rsidRDefault="0039682A" w:rsidP="003B0F0E">
      <w:pPr>
        <w:pStyle w:val="ListParagraph"/>
        <w:numPr>
          <w:ilvl w:val="0"/>
          <w:numId w:val="1"/>
        </w:numPr>
        <w:spacing w:line="276" w:lineRule="auto"/>
        <w:jc w:val="both"/>
        <w:rPr>
          <w:rFonts w:ascii="Times New Roman" w:hAnsi="Times New Roman" w:cs="Times New Roman"/>
          <w:sz w:val="24"/>
          <w:szCs w:val="24"/>
        </w:rPr>
      </w:pPr>
      <w:r w:rsidRPr="00611928">
        <w:rPr>
          <w:rFonts w:ascii="Times New Roman" w:hAnsi="Times New Roman" w:cs="Times New Roman"/>
          <w:sz w:val="24"/>
          <w:szCs w:val="24"/>
        </w:rPr>
        <w:t xml:space="preserve">providing for safeguards to ensure that artificial intelligence and digital systems are safe and used in full respect of </w:t>
      </w:r>
      <w:r w:rsidR="008020AD">
        <w:rPr>
          <w:rFonts w:ascii="Times New Roman" w:hAnsi="Times New Roman" w:cs="Times New Roman"/>
          <w:sz w:val="24"/>
          <w:szCs w:val="24"/>
        </w:rPr>
        <w:t>human rights and fundamental freedoms.</w:t>
      </w:r>
    </w:p>
    <w:p w:rsidR="009C5413" w:rsidRPr="003B0F0E" w:rsidRDefault="009C5413" w:rsidP="009C5413">
      <w:pPr>
        <w:pStyle w:val="ListParagraph"/>
        <w:spacing w:line="276" w:lineRule="auto"/>
        <w:jc w:val="both"/>
        <w:rPr>
          <w:rFonts w:ascii="Times New Roman" w:hAnsi="Times New Roman" w:cs="Times New Roman"/>
          <w:sz w:val="24"/>
          <w:szCs w:val="24"/>
        </w:rPr>
      </w:pPr>
    </w:p>
    <w:p w:rsidR="00296753" w:rsidRPr="00611928" w:rsidRDefault="00142CD2" w:rsidP="003B0F0E">
      <w:pPr>
        <w:spacing w:line="276" w:lineRule="auto"/>
        <w:jc w:val="both"/>
        <w:rPr>
          <w:rFonts w:ascii="Times New Roman" w:hAnsi="Times New Roman" w:cs="Times New Roman"/>
          <w:b/>
          <w:sz w:val="24"/>
          <w:szCs w:val="24"/>
        </w:rPr>
      </w:pPr>
      <w:r w:rsidRPr="00611928">
        <w:rPr>
          <w:rFonts w:ascii="Times New Roman" w:hAnsi="Times New Roman" w:cs="Times New Roman"/>
          <w:b/>
          <w:sz w:val="24"/>
          <w:szCs w:val="24"/>
        </w:rPr>
        <w:t>Which standard-setting processes and organizations are particularly relevant for safeguarding and promoting human rights in the context of new and emerging digital technologies?</w:t>
      </w:r>
    </w:p>
    <w:p w:rsidR="0039682A" w:rsidRPr="003B0F0E" w:rsidRDefault="00142CD2" w:rsidP="003B0F0E">
      <w:pPr>
        <w:spacing w:after="0" w:line="276" w:lineRule="auto"/>
        <w:jc w:val="both"/>
        <w:rPr>
          <w:rFonts w:ascii="Times New Roman" w:eastAsia="Times New Roman" w:hAnsi="Times New Roman" w:cs="Times New Roman"/>
          <w:sz w:val="24"/>
          <w:szCs w:val="24"/>
        </w:rPr>
      </w:pPr>
      <w:r w:rsidRPr="003B0F0E">
        <w:rPr>
          <w:rFonts w:ascii="Times New Roman" w:hAnsi="Times New Roman" w:cs="Times New Roman"/>
          <w:sz w:val="24"/>
          <w:szCs w:val="24"/>
        </w:rPr>
        <w:t xml:space="preserve">Particularly relevant are the </w:t>
      </w:r>
      <w:r w:rsidRPr="003B0F0E">
        <w:rPr>
          <w:rFonts w:ascii="Times New Roman" w:eastAsia="Times New Roman" w:hAnsi="Times New Roman" w:cs="Times New Roman"/>
          <w:sz w:val="24"/>
          <w:szCs w:val="24"/>
        </w:rPr>
        <w:t>OECD Recommendation on Artificial Intelligence (AI), OECD Privacy Guidelines, OECD Declaration on Government Access to Personal Data Held by Private Sector Entities, the Global Privacy Assembly resolution on Government Access to Data, Privacy and the Rule of Law, the UNESCO Recommendation on the Ethics of Artificial Intelligence,</w:t>
      </w:r>
      <w:r w:rsidRPr="003B0F0E">
        <w:rPr>
          <w:rStyle w:val="normaltextrun"/>
          <w:rFonts w:ascii="Times New Roman" w:hAnsi="Times New Roman" w:cs="Times New Roman"/>
          <w:sz w:val="24"/>
          <w:szCs w:val="24"/>
        </w:rPr>
        <w:t xml:space="preserve"> </w:t>
      </w:r>
      <w:r w:rsidRPr="003B0F0E">
        <w:rPr>
          <w:rFonts w:ascii="Times New Roman" w:hAnsi="Times New Roman" w:cs="Times New Roman"/>
          <w:sz w:val="24"/>
          <w:szCs w:val="24"/>
        </w:rPr>
        <w:t>t</w:t>
      </w:r>
      <w:r w:rsidRPr="003B0F0E">
        <w:rPr>
          <w:rStyle w:val="normaltextrun"/>
          <w:rFonts w:ascii="Times New Roman" w:hAnsi="Times New Roman" w:cs="Times New Roman"/>
          <w:sz w:val="24"/>
          <w:szCs w:val="24"/>
        </w:rPr>
        <w:t xml:space="preserve">he work of the Freedom Online Coalition, </w:t>
      </w:r>
      <w:r w:rsidRPr="003B0F0E">
        <w:rPr>
          <w:rFonts w:ascii="Times New Roman" w:eastAsia="Times New Roman" w:hAnsi="Times New Roman" w:cs="Times New Roman"/>
          <w:sz w:val="24"/>
          <w:szCs w:val="24"/>
        </w:rPr>
        <w:t>and similar non-legally binding instruments that articulate the responsible use of surveillance tools and data.  It is also highly important to mention the important role of the International Telecommunication Union and the standard-setting processes within this organization.</w:t>
      </w:r>
    </w:p>
    <w:p w:rsidR="003B0F0E" w:rsidRPr="003B0F0E" w:rsidRDefault="003B0F0E" w:rsidP="003B0F0E">
      <w:pPr>
        <w:spacing w:after="0" w:line="276" w:lineRule="auto"/>
        <w:jc w:val="both"/>
        <w:rPr>
          <w:rFonts w:ascii="Times New Roman" w:eastAsia="Times New Roman" w:hAnsi="Times New Roman" w:cs="Times New Roman"/>
          <w:sz w:val="24"/>
          <w:szCs w:val="24"/>
        </w:rPr>
      </w:pPr>
    </w:p>
    <w:p w:rsidR="00D6460A" w:rsidRPr="003B0F0E" w:rsidRDefault="003B0F0E" w:rsidP="00D6460A">
      <w:pPr>
        <w:spacing w:after="0" w:line="276" w:lineRule="auto"/>
        <w:jc w:val="both"/>
        <w:rPr>
          <w:rFonts w:ascii="Times New Roman" w:eastAsia="Calibri" w:hAnsi="Times New Roman" w:cs="Times New Roman"/>
          <w:sz w:val="24"/>
          <w:szCs w:val="24"/>
        </w:rPr>
      </w:pPr>
      <w:r w:rsidRPr="003B0F0E">
        <w:rPr>
          <w:rFonts w:ascii="Times New Roman" w:eastAsia="Calibri" w:hAnsi="Times New Roman" w:cs="Times New Roman"/>
          <w:sz w:val="24"/>
          <w:szCs w:val="24"/>
        </w:rPr>
        <w:t>At the same time, it is the role of the Council of Europe to ensure that human rights, democracy and the rule of law are protected and promoted in the digital environment. We look forward to the outcome of the work of the Committee on Artificial Intelligence, mandated by the Committee of Ministers to elaborate a [framework] Convention on the development, design and application of artificial intelligence, based on the Council of Europe’s standards.</w:t>
      </w:r>
    </w:p>
    <w:sectPr w:rsidR="00D6460A" w:rsidRPr="003B0F0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D7" w:rsidRDefault="00DB3DD7" w:rsidP="009C5413">
      <w:pPr>
        <w:spacing w:after="0" w:line="240" w:lineRule="auto"/>
      </w:pPr>
      <w:r>
        <w:separator/>
      </w:r>
    </w:p>
  </w:endnote>
  <w:endnote w:type="continuationSeparator" w:id="0">
    <w:p w:rsidR="00DB3DD7" w:rsidRDefault="00DB3DD7" w:rsidP="009C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618250"/>
      <w:docPartObj>
        <w:docPartGallery w:val="Page Numbers (Bottom of Page)"/>
        <w:docPartUnique/>
      </w:docPartObj>
    </w:sdtPr>
    <w:sdtEndPr>
      <w:rPr>
        <w:noProof/>
      </w:rPr>
    </w:sdtEndPr>
    <w:sdtContent>
      <w:p w:rsidR="009C5413" w:rsidRDefault="009C5413">
        <w:pPr>
          <w:pStyle w:val="Footer"/>
          <w:jc w:val="center"/>
        </w:pPr>
        <w:r>
          <w:fldChar w:fldCharType="begin"/>
        </w:r>
        <w:r>
          <w:instrText xml:space="preserve"> PAGE   \* MERGEFORMAT </w:instrText>
        </w:r>
        <w:r>
          <w:fldChar w:fldCharType="separate"/>
        </w:r>
        <w:r w:rsidR="000768E9">
          <w:rPr>
            <w:noProof/>
          </w:rPr>
          <w:t>1</w:t>
        </w:r>
        <w:r>
          <w:rPr>
            <w:noProof/>
          </w:rPr>
          <w:fldChar w:fldCharType="end"/>
        </w:r>
      </w:p>
    </w:sdtContent>
  </w:sdt>
  <w:p w:rsidR="009C5413" w:rsidRDefault="009C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D7" w:rsidRDefault="00DB3DD7" w:rsidP="009C5413">
      <w:pPr>
        <w:spacing w:after="0" w:line="240" w:lineRule="auto"/>
      </w:pPr>
      <w:r>
        <w:separator/>
      </w:r>
    </w:p>
  </w:footnote>
  <w:footnote w:type="continuationSeparator" w:id="0">
    <w:p w:rsidR="00DB3DD7" w:rsidRDefault="00DB3DD7" w:rsidP="009C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364"/>
    <w:multiLevelType w:val="hybridMultilevel"/>
    <w:tmpl w:val="6700F3AE"/>
    <w:lvl w:ilvl="0" w:tplc="BC40803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D76B5"/>
    <w:multiLevelType w:val="hybridMultilevel"/>
    <w:tmpl w:val="058E66F0"/>
    <w:lvl w:ilvl="0" w:tplc="75A01F64">
      <w:start w:val="1"/>
      <w:numFmt w:val="bullet"/>
      <w:lvlText w:val=""/>
      <w:lvlJc w:val="left"/>
      <w:pPr>
        <w:tabs>
          <w:tab w:val="num" w:pos="720"/>
        </w:tabs>
        <w:ind w:left="720" w:hanging="360"/>
      </w:pPr>
      <w:rPr>
        <w:rFonts w:ascii="Symbol" w:hAnsi="Symbol" w:hint="default"/>
        <w:color w:val="auto"/>
        <w:sz w:val="20"/>
      </w:rPr>
    </w:lvl>
    <w:lvl w:ilvl="1" w:tplc="E8BC0D26" w:tentative="1">
      <w:start w:val="1"/>
      <w:numFmt w:val="bullet"/>
      <w:lvlText w:val="o"/>
      <w:lvlJc w:val="left"/>
      <w:pPr>
        <w:tabs>
          <w:tab w:val="num" w:pos="1440"/>
        </w:tabs>
        <w:ind w:left="1440" w:hanging="360"/>
      </w:pPr>
      <w:rPr>
        <w:rFonts w:ascii="Courier New" w:hAnsi="Courier New" w:hint="default"/>
        <w:sz w:val="20"/>
      </w:rPr>
    </w:lvl>
    <w:lvl w:ilvl="2" w:tplc="CF9C4E9E" w:tentative="1">
      <w:start w:val="1"/>
      <w:numFmt w:val="bullet"/>
      <w:lvlText w:val=""/>
      <w:lvlJc w:val="left"/>
      <w:pPr>
        <w:tabs>
          <w:tab w:val="num" w:pos="2160"/>
        </w:tabs>
        <w:ind w:left="2160" w:hanging="360"/>
      </w:pPr>
      <w:rPr>
        <w:rFonts w:ascii="Wingdings" w:hAnsi="Wingdings" w:hint="default"/>
        <w:sz w:val="20"/>
      </w:rPr>
    </w:lvl>
    <w:lvl w:ilvl="3" w:tplc="7C94C86E" w:tentative="1">
      <w:start w:val="1"/>
      <w:numFmt w:val="bullet"/>
      <w:lvlText w:val=""/>
      <w:lvlJc w:val="left"/>
      <w:pPr>
        <w:tabs>
          <w:tab w:val="num" w:pos="2880"/>
        </w:tabs>
        <w:ind w:left="2880" w:hanging="360"/>
      </w:pPr>
      <w:rPr>
        <w:rFonts w:ascii="Wingdings" w:hAnsi="Wingdings" w:hint="default"/>
        <w:sz w:val="20"/>
      </w:rPr>
    </w:lvl>
    <w:lvl w:ilvl="4" w:tplc="B80406CA" w:tentative="1">
      <w:start w:val="1"/>
      <w:numFmt w:val="bullet"/>
      <w:lvlText w:val=""/>
      <w:lvlJc w:val="left"/>
      <w:pPr>
        <w:tabs>
          <w:tab w:val="num" w:pos="3600"/>
        </w:tabs>
        <w:ind w:left="3600" w:hanging="360"/>
      </w:pPr>
      <w:rPr>
        <w:rFonts w:ascii="Wingdings" w:hAnsi="Wingdings" w:hint="default"/>
        <w:sz w:val="20"/>
      </w:rPr>
    </w:lvl>
    <w:lvl w:ilvl="5" w:tplc="C83AFB96" w:tentative="1">
      <w:start w:val="1"/>
      <w:numFmt w:val="bullet"/>
      <w:lvlText w:val=""/>
      <w:lvlJc w:val="left"/>
      <w:pPr>
        <w:tabs>
          <w:tab w:val="num" w:pos="4320"/>
        </w:tabs>
        <w:ind w:left="4320" w:hanging="360"/>
      </w:pPr>
      <w:rPr>
        <w:rFonts w:ascii="Wingdings" w:hAnsi="Wingdings" w:hint="default"/>
        <w:sz w:val="20"/>
      </w:rPr>
    </w:lvl>
    <w:lvl w:ilvl="6" w:tplc="7000277C" w:tentative="1">
      <w:start w:val="1"/>
      <w:numFmt w:val="bullet"/>
      <w:lvlText w:val=""/>
      <w:lvlJc w:val="left"/>
      <w:pPr>
        <w:tabs>
          <w:tab w:val="num" w:pos="5040"/>
        </w:tabs>
        <w:ind w:left="5040" w:hanging="360"/>
      </w:pPr>
      <w:rPr>
        <w:rFonts w:ascii="Wingdings" w:hAnsi="Wingdings" w:hint="default"/>
        <w:sz w:val="20"/>
      </w:rPr>
    </w:lvl>
    <w:lvl w:ilvl="7" w:tplc="4A24ACA2" w:tentative="1">
      <w:start w:val="1"/>
      <w:numFmt w:val="bullet"/>
      <w:lvlText w:val=""/>
      <w:lvlJc w:val="left"/>
      <w:pPr>
        <w:tabs>
          <w:tab w:val="num" w:pos="5760"/>
        </w:tabs>
        <w:ind w:left="5760" w:hanging="360"/>
      </w:pPr>
      <w:rPr>
        <w:rFonts w:ascii="Wingdings" w:hAnsi="Wingdings" w:hint="default"/>
        <w:sz w:val="20"/>
      </w:rPr>
    </w:lvl>
    <w:lvl w:ilvl="8" w:tplc="3214B63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66A3B"/>
    <w:multiLevelType w:val="hybridMultilevel"/>
    <w:tmpl w:val="4D7AA9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C2"/>
    <w:rsid w:val="000768E9"/>
    <w:rsid w:val="00142CD2"/>
    <w:rsid w:val="00146CD4"/>
    <w:rsid w:val="00296753"/>
    <w:rsid w:val="00392512"/>
    <w:rsid w:val="0039682A"/>
    <w:rsid w:val="003B0F0E"/>
    <w:rsid w:val="00433854"/>
    <w:rsid w:val="00611928"/>
    <w:rsid w:val="008020AD"/>
    <w:rsid w:val="008A33C2"/>
    <w:rsid w:val="00974279"/>
    <w:rsid w:val="00982F67"/>
    <w:rsid w:val="009C5413"/>
    <w:rsid w:val="00A40E1A"/>
    <w:rsid w:val="00C10AA8"/>
    <w:rsid w:val="00D6460A"/>
    <w:rsid w:val="00D820F5"/>
    <w:rsid w:val="00DB3DD7"/>
    <w:rsid w:val="00DF3089"/>
    <w:rsid w:val="00FD3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D5E09"/>
  <w15:chartTrackingRefBased/>
  <w15:docId w15:val="{752066AC-022D-4F60-8BA9-5A5148C9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82A"/>
    <w:pPr>
      <w:ind w:left="720"/>
      <w:contextualSpacing/>
    </w:pPr>
  </w:style>
  <w:style w:type="character" w:styleId="Hyperlink">
    <w:name w:val="Hyperlink"/>
    <w:basedOn w:val="DefaultParagraphFont"/>
    <w:uiPriority w:val="99"/>
    <w:unhideWhenUsed/>
    <w:rsid w:val="00DF3089"/>
    <w:rPr>
      <w:color w:val="0563C1" w:themeColor="hyperlink"/>
      <w:u w:val="single"/>
    </w:rPr>
  </w:style>
  <w:style w:type="character" w:styleId="FollowedHyperlink">
    <w:name w:val="FollowedHyperlink"/>
    <w:basedOn w:val="DefaultParagraphFont"/>
    <w:uiPriority w:val="99"/>
    <w:semiHidden/>
    <w:unhideWhenUsed/>
    <w:rsid w:val="00433854"/>
    <w:rPr>
      <w:color w:val="954F72" w:themeColor="followedHyperlink"/>
      <w:u w:val="single"/>
    </w:rPr>
  </w:style>
  <w:style w:type="character" w:customStyle="1" w:styleId="normaltextrun">
    <w:name w:val="normaltextrun"/>
    <w:basedOn w:val="DefaultParagraphFont"/>
    <w:rsid w:val="00296753"/>
  </w:style>
  <w:style w:type="paragraph" w:styleId="Header">
    <w:name w:val="header"/>
    <w:basedOn w:val="Normal"/>
    <w:link w:val="HeaderChar"/>
    <w:uiPriority w:val="99"/>
    <w:unhideWhenUsed/>
    <w:rsid w:val="009C54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5413"/>
  </w:style>
  <w:style w:type="paragraph" w:styleId="Footer">
    <w:name w:val="footer"/>
    <w:basedOn w:val="Normal"/>
    <w:link w:val="FooterChar"/>
    <w:uiPriority w:val="99"/>
    <w:unhideWhenUsed/>
    <w:rsid w:val="009C54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40113">
      <w:bodyDiv w:val="1"/>
      <w:marLeft w:val="0"/>
      <w:marRight w:val="0"/>
      <w:marTop w:val="0"/>
      <w:marBottom w:val="0"/>
      <w:divBdr>
        <w:top w:val="none" w:sz="0" w:space="0" w:color="auto"/>
        <w:left w:val="none" w:sz="0" w:space="0" w:color="auto"/>
        <w:bottom w:val="none" w:sz="0" w:space="0" w:color="auto"/>
        <w:right w:val="none" w:sz="0" w:space="0" w:color="auto"/>
      </w:divBdr>
    </w:div>
    <w:div w:id="1801916847">
      <w:bodyDiv w:val="1"/>
      <w:marLeft w:val="0"/>
      <w:marRight w:val="0"/>
      <w:marTop w:val="0"/>
      <w:marBottom w:val="0"/>
      <w:divBdr>
        <w:top w:val="none" w:sz="0" w:space="0" w:color="auto"/>
        <w:left w:val="none" w:sz="0" w:space="0" w:color="auto"/>
        <w:bottom w:val="none" w:sz="0" w:space="0" w:color="auto"/>
        <w:right w:val="none" w:sz="0" w:space="0" w:color="auto"/>
      </w:divBdr>
    </w:div>
    <w:div w:id="18071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80F46F-E071-4FE4-9CD6-E58591412405}"/>
</file>

<file path=customXml/itemProps2.xml><?xml version="1.0" encoding="utf-8"?>
<ds:datastoreItem xmlns:ds="http://schemas.openxmlformats.org/officeDocument/2006/customXml" ds:itemID="{EE9E833A-36BB-4AE7-8542-B2A01B006CD5}"/>
</file>

<file path=customXml/itemProps3.xml><?xml version="1.0" encoding="utf-8"?>
<ds:datastoreItem xmlns:ds="http://schemas.openxmlformats.org/officeDocument/2006/customXml" ds:itemID="{47D1E043-FB23-443E-BB66-E0DED226E9D4}"/>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Ignas Balza</dc:creator>
  <cp:lastModifiedBy>Viktė Džiaugytė</cp:lastModifiedBy>
  <cp:revision>2</cp:revision>
  <dcterms:created xsi:type="dcterms:W3CDTF">2023-03-06T16:39:00Z</dcterms:created>
  <dcterms:modified xsi:type="dcterms:W3CDTF">2023-03-06T16:39:00Z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