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967DA23" w:rsidR="00994ACD" w:rsidRDefault="00E33DD6" w:rsidP="00FB563F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United Kingdom welcomes the opportunity to contribute to the OHCHR </w:t>
      </w:r>
      <w:hyperlink r:id="rId10">
        <w:r>
          <w:rPr>
            <w:color w:val="1155CC"/>
            <w:sz w:val="20"/>
            <w:szCs w:val="20"/>
            <w:u w:val="single"/>
          </w:rPr>
          <w:t>Call for Input: “The relationship between human rights and technical standards-setting processes for new and emerging technologies (2023)”</w:t>
        </w:r>
      </w:hyperlink>
      <w:r w:rsidR="00A157E7">
        <w:rPr>
          <w:sz w:val="20"/>
          <w:szCs w:val="20"/>
        </w:rPr>
        <w:t xml:space="preserve"> </w:t>
      </w:r>
      <w:r>
        <w:rPr>
          <w:sz w:val="20"/>
          <w:szCs w:val="20"/>
        </w:rPr>
        <w:t>and preparation of the thematic report, to be submitted to the Human Rights Council at its fifty-third session.</w:t>
      </w:r>
    </w:p>
    <w:p w14:paraId="00000002" w14:textId="64A8DD17" w:rsidR="00994ACD" w:rsidRDefault="00E33DD6" w:rsidP="00FB563F">
      <w:pPr>
        <w:spacing w:after="200"/>
        <w:jc w:val="both"/>
        <w:rPr>
          <w:sz w:val="20"/>
          <w:szCs w:val="20"/>
        </w:rPr>
      </w:pPr>
      <w:r>
        <w:rPr>
          <w:sz w:val="20"/>
          <w:szCs w:val="20"/>
        </w:rPr>
        <w:t>The UK supports the multi-stakeholder, industry-led model for the development of technical standards, and supports the consideration of human rights during standards-setting processes</w:t>
      </w:r>
      <w:r w:rsidR="00A157E7">
        <w:rPr>
          <w:sz w:val="20"/>
          <w:szCs w:val="20"/>
        </w:rPr>
        <w:t xml:space="preserve">.  </w:t>
      </w:r>
      <w:r>
        <w:rPr>
          <w:sz w:val="20"/>
          <w:szCs w:val="20"/>
        </w:rPr>
        <w:t>Digital technical standards developed by international standards bodies should deliver for all</w:t>
      </w:r>
      <w:r w:rsidR="00A157E7">
        <w:rPr>
          <w:sz w:val="20"/>
          <w:szCs w:val="20"/>
        </w:rPr>
        <w:t xml:space="preserve">.  </w:t>
      </w:r>
      <w:r>
        <w:rPr>
          <w:sz w:val="20"/>
          <w:szCs w:val="20"/>
        </w:rPr>
        <w:t xml:space="preserve">Technical standards underpin critical technologies and should support interoperability, embed accountability and transparency from the outset, and </w:t>
      </w:r>
      <w:r w:rsidR="00A157E7">
        <w:rPr>
          <w:sz w:val="20"/>
          <w:szCs w:val="20"/>
        </w:rPr>
        <w:t>the enjoyment of</w:t>
      </w:r>
      <w:r>
        <w:rPr>
          <w:sz w:val="20"/>
          <w:szCs w:val="20"/>
        </w:rPr>
        <w:t xml:space="preserve"> rights and freedoms</w:t>
      </w:r>
      <w:r w:rsidR="00A157E7">
        <w:rPr>
          <w:sz w:val="20"/>
          <w:szCs w:val="20"/>
        </w:rPr>
        <w:t>.</w:t>
      </w:r>
    </w:p>
    <w:p w14:paraId="00000003" w14:textId="750E8DEA" w:rsidR="00994ACD" w:rsidRDefault="00E33DD6" w:rsidP="00FB563F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sz w:val="20"/>
          <w:szCs w:val="20"/>
        </w:rPr>
      </w:pPr>
      <w:r>
        <w:rPr>
          <w:sz w:val="20"/>
          <w:szCs w:val="20"/>
        </w:rPr>
        <w:t>In our response we highlight the importance of considering deployment models when assessing the potential impact of technical standards on</w:t>
      </w:r>
      <w:r w:rsidR="00121B27">
        <w:rPr>
          <w:sz w:val="20"/>
          <w:szCs w:val="20"/>
        </w:rPr>
        <w:t xml:space="preserve"> the enjoyment of</w:t>
      </w:r>
      <w:r>
        <w:rPr>
          <w:sz w:val="20"/>
          <w:szCs w:val="20"/>
        </w:rPr>
        <w:t xml:space="preserve"> human rights</w:t>
      </w:r>
      <w:r w:rsidR="00A157E7">
        <w:rPr>
          <w:sz w:val="20"/>
          <w:szCs w:val="20"/>
        </w:rPr>
        <w:t xml:space="preserve">.  </w:t>
      </w:r>
      <w:r>
        <w:rPr>
          <w:sz w:val="20"/>
          <w:szCs w:val="20"/>
        </w:rPr>
        <w:t>There is also a need to understand the potential positive (e.g</w:t>
      </w:r>
      <w:r w:rsidR="00A157E7">
        <w:rPr>
          <w:sz w:val="20"/>
          <w:szCs w:val="20"/>
        </w:rPr>
        <w:t xml:space="preserve">. </w:t>
      </w:r>
      <w:r>
        <w:rPr>
          <w:sz w:val="20"/>
          <w:szCs w:val="20"/>
        </w:rPr>
        <w:t>through privacy enhancing technologies) or negative impacts of a technical standard, and awareness of the decisions or trade-offs being made during standards-setting processes</w:t>
      </w:r>
      <w:r w:rsidR="00A157E7">
        <w:rPr>
          <w:sz w:val="20"/>
          <w:szCs w:val="20"/>
        </w:rPr>
        <w:t xml:space="preserve">.  </w:t>
      </w:r>
      <w:r>
        <w:rPr>
          <w:sz w:val="20"/>
          <w:szCs w:val="20"/>
        </w:rPr>
        <w:t>We should not single out or promote one particular standards-setting process over another - the approach should be to look at the ecosystem holistically</w:t>
      </w:r>
      <w:r w:rsidR="00525B95">
        <w:rPr>
          <w:sz w:val="20"/>
          <w:szCs w:val="20"/>
        </w:rPr>
        <w:t>, embedding human rights considerations within different processes</w:t>
      </w:r>
      <w:r w:rsidR="00A157E7">
        <w:rPr>
          <w:sz w:val="20"/>
          <w:szCs w:val="20"/>
        </w:rPr>
        <w:t xml:space="preserve">.  </w:t>
      </w:r>
      <w:r>
        <w:rPr>
          <w:sz w:val="20"/>
          <w:szCs w:val="20"/>
        </w:rPr>
        <w:t>There are existing frameworks and guidelines that apply and are relevant to standards development organisations (SDOs)</w:t>
      </w:r>
      <w:r w:rsidR="00A157E7">
        <w:rPr>
          <w:sz w:val="20"/>
          <w:szCs w:val="20"/>
        </w:rPr>
        <w:t xml:space="preserve">.  </w:t>
      </w:r>
      <w:r>
        <w:rPr>
          <w:sz w:val="20"/>
          <w:szCs w:val="20"/>
        </w:rPr>
        <w:t>More can be done to better incorporate these into standards-setting processes.</w:t>
      </w:r>
    </w:p>
    <w:p w14:paraId="00000004" w14:textId="7CD14004" w:rsidR="00994ACD" w:rsidRDefault="00E33DD6" w:rsidP="00FB563F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There is no one answer or approach that will address the variety of issues that need to be considered - and approaches to integrate human rights considerations in standard-setting processes will need to be flexible and relevant for different organisations or fora</w:t>
      </w:r>
      <w:r w:rsidR="00A157E7">
        <w:rPr>
          <w:sz w:val="20"/>
          <w:szCs w:val="20"/>
        </w:rPr>
        <w:t xml:space="preserve">.  </w:t>
      </w:r>
      <w:r>
        <w:rPr>
          <w:sz w:val="20"/>
          <w:szCs w:val="20"/>
        </w:rPr>
        <w:t xml:space="preserve">Any recommendations should be considered carefully, as there is a risk that they could </w:t>
      </w:r>
      <w:r w:rsidR="00A157E7">
        <w:rPr>
          <w:sz w:val="20"/>
          <w:szCs w:val="20"/>
        </w:rPr>
        <w:t xml:space="preserve">encourage </w:t>
      </w:r>
      <w:r w:rsidR="000664ED">
        <w:rPr>
          <w:sz w:val="20"/>
          <w:szCs w:val="20"/>
        </w:rPr>
        <w:t>complacency</w:t>
      </w:r>
      <w:r>
        <w:rPr>
          <w:sz w:val="20"/>
          <w:szCs w:val="20"/>
        </w:rPr>
        <w:t xml:space="preserve"> </w:t>
      </w:r>
      <w:r w:rsidR="004A3964">
        <w:rPr>
          <w:sz w:val="20"/>
          <w:szCs w:val="20"/>
        </w:rPr>
        <w:t>and</w:t>
      </w:r>
      <w:r w:rsidR="00A157E7">
        <w:rPr>
          <w:sz w:val="20"/>
          <w:szCs w:val="20"/>
        </w:rPr>
        <w:t xml:space="preserve"> result in</w:t>
      </w:r>
      <w:r w:rsidR="004A3964">
        <w:rPr>
          <w:sz w:val="20"/>
          <w:szCs w:val="20"/>
        </w:rPr>
        <w:t xml:space="preserve"> </w:t>
      </w:r>
      <w:r>
        <w:rPr>
          <w:sz w:val="20"/>
          <w:szCs w:val="20"/>
        </w:rPr>
        <w:t>unintended negative consequences on the enjoyment of human rights</w:t>
      </w:r>
      <w:r w:rsidR="00A157E7">
        <w:rPr>
          <w:sz w:val="20"/>
          <w:szCs w:val="20"/>
        </w:rPr>
        <w:t xml:space="preserve">.  </w:t>
      </w:r>
      <w:r>
        <w:rPr>
          <w:sz w:val="20"/>
          <w:szCs w:val="20"/>
        </w:rPr>
        <w:t>As a first step, we should focus on breaking down barriers of entry for human rights experts and other relevant stakeholders to meaningfully engage in standards-setting processes</w:t>
      </w:r>
      <w:r w:rsidR="00A157E7">
        <w:rPr>
          <w:sz w:val="20"/>
          <w:szCs w:val="20"/>
        </w:rPr>
        <w:t>.</w:t>
      </w:r>
    </w:p>
    <w:p w14:paraId="00000005" w14:textId="56E28A7D" w:rsidR="00994ACD" w:rsidRDefault="00E33DD6" w:rsidP="00FB563F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sz w:val="20"/>
          <w:szCs w:val="20"/>
        </w:rPr>
      </w:pPr>
      <w:r>
        <w:rPr>
          <w:sz w:val="20"/>
          <w:szCs w:val="20"/>
        </w:rPr>
        <w:t>Responses to the consultation questions are below</w:t>
      </w:r>
      <w:r w:rsidR="00A157E7">
        <w:rPr>
          <w:sz w:val="20"/>
          <w:szCs w:val="20"/>
        </w:rPr>
        <w:t xml:space="preserve">.  </w:t>
      </w:r>
      <w:r>
        <w:rPr>
          <w:sz w:val="20"/>
          <w:szCs w:val="20"/>
        </w:rPr>
        <w:t>We have grouped related questions and set out answers in response to the groups of questions</w:t>
      </w:r>
      <w:r w:rsidR="00A157E7">
        <w:rPr>
          <w:sz w:val="20"/>
          <w:szCs w:val="20"/>
        </w:rPr>
        <w:t xml:space="preserve">. </w:t>
      </w:r>
    </w:p>
    <w:p w14:paraId="00000006" w14:textId="77777777" w:rsidR="00994ACD" w:rsidRDefault="00E33DD6" w:rsidP="00FB563F">
      <w:pPr>
        <w:numPr>
          <w:ilvl w:val="0"/>
          <w:numId w:val="3"/>
        </w:numPr>
        <w:spacing w:before="280"/>
        <w:jc w:val="both"/>
        <w:rPr>
          <w:sz w:val="20"/>
          <w:szCs w:val="20"/>
        </w:rPr>
      </w:pPr>
      <w:r>
        <w:rPr>
          <w:sz w:val="20"/>
          <w:szCs w:val="20"/>
        </w:rPr>
        <w:t>How do technical standards for new and emerging digital technologies impact the enjoyment of human rights; what are related risks and opportunities?</w:t>
      </w:r>
    </w:p>
    <w:p w14:paraId="00000007" w14:textId="77777777" w:rsidR="00994ACD" w:rsidRDefault="00E33DD6" w:rsidP="00FB563F">
      <w:pPr>
        <w:numPr>
          <w:ilvl w:val="0"/>
          <w:numId w:val="3"/>
        </w:numPr>
        <w:spacing w:after="280"/>
        <w:jc w:val="both"/>
        <w:rPr>
          <w:sz w:val="20"/>
          <w:szCs w:val="20"/>
        </w:rPr>
      </w:pPr>
      <w:r>
        <w:rPr>
          <w:sz w:val="20"/>
          <w:szCs w:val="20"/>
        </w:rPr>
        <w:t>What are examples that best illustrate the relationship between technical standards for new and emerging digital technologies and human rights?</w:t>
      </w:r>
    </w:p>
    <w:p w14:paraId="00000008" w14:textId="04FD0EA6" w:rsidR="00994ACD" w:rsidRDefault="00E33DD6" w:rsidP="00FB563F">
      <w:pPr>
        <w:spacing w:after="200"/>
        <w:ind w:left="70"/>
        <w:jc w:val="both"/>
        <w:rPr>
          <w:sz w:val="20"/>
          <w:szCs w:val="20"/>
        </w:rPr>
      </w:pPr>
      <w:r>
        <w:rPr>
          <w:sz w:val="20"/>
          <w:szCs w:val="20"/>
        </w:rPr>
        <w:t>As digital technologies evolve, we must take into consideration and better understand the real world impact of technology, including impacts on human rights</w:t>
      </w:r>
      <w:r w:rsidR="00A157E7">
        <w:rPr>
          <w:sz w:val="20"/>
          <w:szCs w:val="20"/>
        </w:rPr>
        <w:t xml:space="preserve">.  </w:t>
      </w:r>
      <w:r>
        <w:rPr>
          <w:sz w:val="20"/>
          <w:szCs w:val="20"/>
        </w:rPr>
        <w:t>The UK supports the consideration of human rights during standards-setting processes.</w:t>
      </w:r>
    </w:p>
    <w:p w14:paraId="00000009" w14:textId="62021480" w:rsidR="00994ACD" w:rsidRDefault="00E33DD6" w:rsidP="00FB563F">
      <w:pPr>
        <w:spacing w:before="280" w:after="280"/>
        <w:ind w:left="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It is important to note that one standard can be deployed in a number of ways, and its impact on </w:t>
      </w:r>
      <w:r w:rsidR="00525B95">
        <w:rPr>
          <w:sz w:val="20"/>
          <w:szCs w:val="20"/>
        </w:rPr>
        <w:t xml:space="preserve">the enjoyment of </w:t>
      </w:r>
      <w:r>
        <w:rPr>
          <w:sz w:val="20"/>
          <w:szCs w:val="20"/>
        </w:rPr>
        <w:t>human rights can be both positive and negative</w:t>
      </w:r>
      <w:r w:rsidR="00A157E7">
        <w:rPr>
          <w:sz w:val="20"/>
          <w:szCs w:val="20"/>
        </w:rPr>
        <w:t xml:space="preserve">.  </w:t>
      </w:r>
      <w:r>
        <w:rPr>
          <w:sz w:val="20"/>
          <w:szCs w:val="20"/>
        </w:rPr>
        <w:t>Because of this, assessment of a standard’s impact on human rights is not straightforward</w:t>
      </w:r>
      <w:r w:rsidR="00A157E7">
        <w:rPr>
          <w:sz w:val="20"/>
          <w:szCs w:val="20"/>
        </w:rPr>
        <w:t xml:space="preserve">.  </w:t>
      </w:r>
      <w:r>
        <w:rPr>
          <w:sz w:val="20"/>
          <w:szCs w:val="20"/>
        </w:rPr>
        <w:t>We have seen recent cases where the deployment model of a standard matters just as much, if not more than, the technical standard itself in terms of human rights impacts - DNS over HTTPS (DoH) from the Internet Engineering Task Force (IETF) is one example with a variety of unintended impacts depending on deployment models and environment</w:t>
      </w:r>
      <w:r w:rsidR="00A157E7">
        <w:rPr>
          <w:sz w:val="20"/>
          <w:szCs w:val="20"/>
        </w:rPr>
        <w:t>.</w:t>
      </w:r>
    </w:p>
    <w:p w14:paraId="0000000A" w14:textId="7E1A9B05" w:rsidR="00994ACD" w:rsidRDefault="00E33DD6" w:rsidP="00FB563F">
      <w:pPr>
        <w:spacing w:before="280" w:after="280"/>
        <w:ind w:left="70"/>
        <w:jc w:val="both"/>
        <w:rPr>
          <w:sz w:val="20"/>
          <w:szCs w:val="20"/>
        </w:rPr>
      </w:pPr>
      <w:r>
        <w:rPr>
          <w:sz w:val="20"/>
          <w:szCs w:val="20"/>
        </w:rPr>
        <w:t>Technical standards hold the potential to positively impact human rights</w:t>
      </w:r>
      <w:r w:rsidR="00A157E7">
        <w:rPr>
          <w:sz w:val="20"/>
          <w:szCs w:val="20"/>
        </w:rPr>
        <w:t xml:space="preserve">.  </w:t>
      </w:r>
      <w:r>
        <w:rPr>
          <w:sz w:val="20"/>
          <w:szCs w:val="20"/>
        </w:rPr>
        <w:t>For example, by encoding principles like interoperability or security-by-design into standards, they can support accessibility</w:t>
      </w:r>
      <w:r w:rsidR="00766E7F">
        <w:rPr>
          <w:sz w:val="20"/>
          <w:szCs w:val="20"/>
        </w:rPr>
        <w:t xml:space="preserve">, </w:t>
      </w:r>
      <w:r w:rsidR="00766E7F">
        <w:rPr>
          <w:sz w:val="20"/>
          <w:szCs w:val="20"/>
        </w:rPr>
        <w:lastRenderedPageBreak/>
        <w:t>helping promote the freedom to seek, receive and impart information</w:t>
      </w:r>
      <w:r w:rsidR="00A157E7">
        <w:rPr>
          <w:sz w:val="20"/>
          <w:szCs w:val="20"/>
        </w:rPr>
        <w:t xml:space="preserve">.  </w:t>
      </w:r>
      <w:r w:rsidR="00766E7F">
        <w:rPr>
          <w:sz w:val="20"/>
          <w:szCs w:val="20"/>
        </w:rPr>
        <w:t>They can also</w:t>
      </w:r>
      <w:r>
        <w:rPr>
          <w:sz w:val="20"/>
          <w:szCs w:val="20"/>
        </w:rPr>
        <w:t xml:space="preserve"> help bridge the digital divide, and </w:t>
      </w:r>
      <w:r w:rsidR="00E075C7">
        <w:rPr>
          <w:sz w:val="20"/>
          <w:szCs w:val="20"/>
        </w:rPr>
        <w:t>contribute to realisation of the</w:t>
      </w:r>
      <w:r>
        <w:rPr>
          <w:sz w:val="20"/>
          <w:szCs w:val="20"/>
        </w:rPr>
        <w:t xml:space="preserve"> Sustainable Development Goals</w:t>
      </w:r>
      <w:r w:rsidR="00E075C7">
        <w:rPr>
          <w:sz w:val="20"/>
          <w:szCs w:val="20"/>
        </w:rPr>
        <w:t>, including increasing access to information and communications technology and providing universal and affordable access to the Internet</w:t>
      </w:r>
      <w:r w:rsidR="00A157E7">
        <w:rPr>
          <w:sz w:val="20"/>
          <w:szCs w:val="20"/>
        </w:rPr>
        <w:t xml:space="preserve">.  </w:t>
      </w:r>
      <w:r>
        <w:rPr>
          <w:sz w:val="20"/>
          <w:szCs w:val="20"/>
        </w:rPr>
        <w:t>They can embed principles such as accuracy, reliability, security, and interoperability into technology</w:t>
      </w:r>
      <w:r w:rsidR="00A157E7">
        <w:rPr>
          <w:sz w:val="20"/>
          <w:szCs w:val="20"/>
        </w:rPr>
        <w:t xml:space="preserve">.  </w:t>
      </w:r>
      <w:r>
        <w:rPr>
          <w:sz w:val="20"/>
          <w:szCs w:val="20"/>
        </w:rPr>
        <w:t xml:space="preserve">Standards can positively contribute to </w:t>
      </w:r>
      <w:r w:rsidR="00A3450B">
        <w:rPr>
          <w:sz w:val="20"/>
          <w:szCs w:val="20"/>
        </w:rPr>
        <w:t>the enjoyment of human rights</w:t>
      </w:r>
      <w:r>
        <w:rPr>
          <w:sz w:val="20"/>
          <w:szCs w:val="20"/>
        </w:rPr>
        <w:t>, for example through the adoption of strong encryption standards or well known information security standards like ISO/IEC 27001 that enhance privacy</w:t>
      </w:r>
      <w:r w:rsidR="00A157E7">
        <w:rPr>
          <w:sz w:val="20"/>
          <w:szCs w:val="20"/>
        </w:rPr>
        <w:t>.</w:t>
      </w:r>
    </w:p>
    <w:p w14:paraId="36AAB499" w14:textId="77777777" w:rsidR="00A157E7" w:rsidRDefault="00E33DD6" w:rsidP="00FB563F">
      <w:pPr>
        <w:spacing w:before="280" w:after="280"/>
        <w:ind w:left="70"/>
        <w:jc w:val="both"/>
        <w:rPr>
          <w:sz w:val="20"/>
          <w:szCs w:val="20"/>
        </w:rPr>
      </w:pPr>
      <w:r>
        <w:rPr>
          <w:sz w:val="20"/>
          <w:szCs w:val="20"/>
        </w:rPr>
        <w:t>At the same time, there is the potential for principles embedded in technical standards to negatively impact human rights when a standard is deployed</w:t>
      </w:r>
      <w:r w:rsidR="00A157E7">
        <w:rPr>
          <w:sz w:val="20"/>
          <w:szCs w:val="20"/>
        </w:rPr>
        <w:t xml:space="preserve">.  </w:t>
      </w:r>
      <w:r>
        <w:rPr>
          <w:sz w:val="20"/>
          <w:szCs w:val="20"/>
        </w:rPr>
        <w:t xml:space="preserve">We have encountered cases where concern was raised </w:t>
      </w:r>
      <w:r w:rsidR="00A061F0">
        <w:rPr>
          <w:sz w:val="20"/>
          <w:szCs w:val="20"/>
        </w:rPr>
        <w:t>around</w:t>
      </w:r>
      <w:r>
        <w:rPr>
          <w:sz w:val="20"/>
          <w:szCs w:val="20"/>
        </w:rPr>
        <w:t xml:space="preserve"> data protection, privacy, bias, accuracy, and other issues</w:t>
      </w:r>
      <w:r w:rsidR="00A061F0">
        <w:rPr>
          <w:sz w:val="20"/>
          <w:szCs w:val="20"/>
        </w:rPr>
        <w:t xml:space="preserve">, impacting rights such as the right not to be subjected to arbitrary or unlawful interference with privacy, as well as the right to equal protection of the law, </w:t>
      </w:r>
      <w:r w:rsidR="00A3450B">
        <w:rPr>
          <w:sz w:val="20"/>
          <w:szCs w:val="20"/>
        </w:rPr>
        <w:t xml:space="preserve">access to information, </w:t>
      </w:r>
      <w:r w:rsidR="00A061F0">
        <w:rPr>
          <w:sz w:val="20"/>
          <w:szCs w:val="20"/>
        </w:rPr>
        <w:t>and to freedom of expression</w:t>
      </w:r>
      <w:r w:rsidR="00A157E7">
        <w:rPr>
          <w:sz w:val="20"/>
          <w:szCs w:val="20"/>
        </w:rPr>
        <w:t xml:space="preserve">.  </w:t>
      </w:r>
      <w:r>
        <w:rPr>
          <w:sz w:val="20"/>
          <w:szCs w:val="20"/>
        </w:rPr>
        <w:t xml:space="preserve">Examples include facial recognition technology and Internet protocol standards proposals in the International </w:t>
      </w:r>
      <w:bookmarkStart w:id="0" w:name="_GoBack"/>
      <w:bookmarkEnd w:id="0"/>
      <w:r>
        <w:rPr>
          <w:sz w:val="20"/>
          <w:szCs w:val="20"/>
        </w:rPr>
        <w:t>Telecommunication Union (ITU), and ‘oblivious technologies’ being developed in the IETF</w:t>
      </w:r>
      <w:r w:rsidR="00A157E7">
        <w:rPr>
          <w:sz w:val="20"/>
          <w:szCs w:val="20"/>
        </w:rPr>
        <w:t>.</w:t>
      </w:r>
    </w:p>
    <w:p w14:paraId="24A582A8" w14:textId="096AEB8F" w:rsidR="00A157E7" w:rsidRDefault="00D6761E" w:rsidP="00FB563F">
      <w:pPr>
        <w:spacing w:after="200"/>
        <w:ind w:left="70"/>
        <w:jc w:val="both"/>
        <w:rPr>
          <w:sz w:val="20"/>
          <w:szCs w:val="20"/>
        </w:rPr>
      </w:pPr>
      <w:r>
        <w:rPr>
          <w:sz w:val="20"/>
          <w:szCs w:val="20"/>
        </w:rPr>
        <w:t>Human rights are interdependent and indivisible</w:t>
      </w:r>
      <w:r w:rsidR="00A157E7">
        <w:rPr>
          <w:sz w:val="20"/>
          <w:szCs w:val="20"/>
        </w:rPr>
        <w:t xml:space="preserve">.  </w:t>
      </w:r>
      <w:r w:rsidR="00E33DD6">
        <w:rPr>
          <w:sz w:val="20"/>
          <w:szCs w:val="20"/>
        </w:rPr>
        <w:t>This is why it is important that we have the opportunity to better understand the potential impacts</w:t>
      </w:r>
      <w:r w:rsidR="00525B95">
        <w:rPr>
          <w:sz w:val="20"/>
          <w:szCs w:val="20"/>
        </w:rPr>
        <w:t xml:space="preserve">, including unintended </w:t>
      </w:r>
      <w:r w:rsidR="00E6639D">
        <w:rPr>
          <w:sz w:val="20"/>
          <w:szCs w:val="20"/>
        </w:rPr>
        <w:t>consequences</w:t>
      </w:r>
      <w:r w:rsidR="00525B95">
        <w:rPr>
          <w:sz w:val="20"/>
          <w:szCs w:val="20"/>
        </w:rPr>
        <w:t xml:space="preserve">, </w:t>
      </w:r>
      <w:r>
        <w:rPr>
          <w:sz w:val="20"/>
          <w:szCs w:val="20"/>
        </w:rPr>
        <w:t>across the full spectrum of human rights</w:t>
      </w:r>
      <w:r w:rsidR="00E33DD6">
        <w:rPr>
          <w:sz w:val="20"/>
          <w:szCs w:val="20"/>
        </w:rPr>
        <w:t xml:space="preserve"> when taking a decision during the standards-setting process</w:t>
      </w:r>
      <w:r w:rsidR="00A157E7">
        <w:rPr>
          <w:sz w:val="20"/>
          <w:szCs w:val="20"/>
        </w:rPr>
        <w:t>.</w:t>
      </w:r>
    </w:p>
    <w:p w14:paraId="0000000D" w14:textId="0294E1C2" w:rsidR="00994ACD" w:rsidRDefault="00E33DD6" w:rsidP="00FB563F">
      <w:pPr>
        <w:numPr>
          <w:ilvl w:val="0"/>
          <w:numId w:val="2"/>
        </w:numPr>
        <w:spacing w:before="280"/>
        <w:jc w:val="both"/>
        <w:rPr>
          <w:sz w:val="20"/>
          <w:szCs w:val="20"/>
        </w:rPr>
      </w:pPr>
      <w:r>
        <w:rPr>
          <w:sz w:val="20"/>
          <w:szCs w:val="20"/>
        </w:rPr>
        <w:t>What are the duties and responsibilities of standard setting organizations and their stakeholders in effectively integrating human rights considerations in technical standard-setting processes for new and emerging digital technologies?</w:t>
      </w:r>
    </w:p>
    <w:p w14:paraId="0000000E" w14:textId="77777777" w:rsidR="00994ACD" w:rsidRDefault="00E33DD6" w:rsidP="00FB563F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Which standard-setting processes and organizations are particularly relevant for safeguarding and promoting human rights in the context of new and emerging digital technologies?</w:t>
      </w:r>
    </w:p>
    <w:p w14:paraId="0000000F" w14:textId="77777777" w:rsidR="00994ACD" w:rsidRDefault="00E33DD6" w:rsidP="00FB563F">
      <w:pPr>
        <w:numPr>
          <w:ilvl w:val="0"/>
          <w:numId w:val="8"/>
        </w:numPr>
        <w:spacing w:after="280"/>
        <w:jc w:val="both"/>
        <w:rPr>
          <w:sz w:val="20"/>
          <w:szCs w:val="20"/>
        </w:rPr>
      </w:pPr>
      <w:r>
        <w:rPr>
          <w:sz w:val="20"/>
          <w:szCs w:val="20"/>
        </w:rPr>
        <w:t>What are good practices, mechanisms or models for effective integration of human rights considerations in technical standard-setting processes? Are there particular challenges in their implementation or adoption? What additional measures should be developed and implemented?</w:t>
      </w:r>
    </w:p>
    <w:p w14:paraId="00000010" w14:textId="3D7B78CE" w:rsidR="00994ACD" w:rsidRDefault="00E33DD6" w:rsidP="00FB563F">
      <w:pPr>
        <w:spacing w:after="200"/>
        <w:jc w:val="both"/>
        <w:rPr>
          <w:sz w:val="20"/>
          <w:szCs w:val="20"/>
        </w:rPr>
      </w:pPr>
      <w:r>
        <w:rPr>
          <w:sz w:val="20"/>
          <w:szCs w:val="20"/>
        </w:rPr>
        <w:t>‘Standards-setting processes’ or ‘standards development organisations’ (SDOs) capture a broad range of organisations, stakeholders, and participants working on an even wider range of technical issues</w:t>
      </w:r>
      <w:r w:rsidR="00A157E7">
        <w:rPr>
          <w:sz w:val="20"/>
          <w:szCs w:val="20"/>
        </w:rPr>
        <w:t xml:space="preserve">.  </w:t>
      </w:r>
      <w:r>
        <w:rPr>
          <w:sz w:val="20"/>
          <w:szCs w:val="20"/>
        </w:rPr>
        <w:t>We should look at this landscape as a whole, not singling out particular processes or organisations, and recognising that the policies and ways of working of each standards-setting process will be unique to different fora</w:t>
      </w:r>
      <w:r w:rsidR="00A157E7">
        <w:rPr>
          <w:sz w:val="20"/>
          <w:szCs w:val="20"/>
        </w:rPr>
        <w:t xml:space="preserve">.  </w:t>
      </w:r>
      <w:r w:rsidR="000664ED" w:rsidRPr="000664ED">
        <w:rPr>
          <w:sz w:val="20"/>
          <w:szCs w:val="20"/>
        </w:rPr>
        <w:t>We encourage strong collaborative working between the</w:t>
      </w:r>
      <w:r w:rsidR="000664ED">
        <w:rPr>
          <w:sz w:val="20"/>
          <w:szCs w:val="20"/>
        </w:rPr>
        <w:t>se different stakeholders,</w:t>
      </w:r>
      <w:r w:rsidR="000664ED" w:rsidRPr="000664ED">
        <w:rPr>
          <w:sz w:val="20"/>
          <w:szCs w:val="20"/>
        </w:rPr>
        <w:t xml:space="preserve"> including but not limited to collaboration between UN organisations with relevant expertise to contribute.</w:t>
      </w:r>
    </w:p>
    <w:p w14:paraId="0C68F1E5" w14:textId="77777777" w:rsidR="00A157E7" w:rsidRDefault="00E33DD6" w:rsidP="00FB563F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UK recognises the roles and responsibilities of organisations that have an explicit mandate and expertise in human rights, such as the UN Office </w:t>
      </w:r>
      <w:r w:rsidR="00DF40E9">
        <w:rPr>
          <w:sz w:val="20"/>
          <w:szCs w:val="20"/>
        </w:rPr>
        <w:t xml:space="preserve">of the High Commissioner </w:t>
      </w:r>
      <w:r>
        <w:rPr>
          <w:sz w:val="20"/>
          <w:szCs w:val="20"/>
        </w:rPr>
        <w:t>for Human Rights</w:t>
      </w:r>
      <w:r w:rsidR="00A157E7">
        <w:rPr>
          <w:sz w:val="20"/>
          <w:szCs w:val="20"/>
        </w:rPr>
        <w:t xml:space="preserve">.  </w:t>
      </w:r>
      <w:r w:rsidR="00525B95">
        <w:rPr>
          <w:sz w:val="20"/>
          <w:szCs w:val="20"/>
        </w:rPr>
        <w:t xml:space="preserve">While </w:t>
      </w:r>
      <w:r>
        <w:rPr>
          <w:sz w:val="20"/>
          <w:szCs w:val="20"/>
        </w:rPr>
        <w:t xml:space="preserve">SDOs </w:t>
      </w:r>
      <w:r w:rsidR="00DF40E9">
        <w:rPr>
          <w:sz w:val="20"/>
          <w:szCs w:val="20"/>
        </w:rPr>
        <w:t xml:space="preserve">cannot and </w:t>
      </w:r>
      <w:r>
        <w:rPr>
          <w:sz w:val="20"/>
          <w:szCs w:val="20"/>
        </w:rPr>
        <w:t xml:space="preserve">should not </w:t>
      </w:r>
      <w:r w:rsidR="00DF40E9">
        <w:rPr>
          <w:sz w:val="20"/>
          <w:szCs w:val="20"/>
        </w:rPr>
        <w:t>themselves set new</w:t>
      </w:r>
      <w:r>
        <w:rPr>
          <w:sz w:val="20"/>
          <w:szCs w:val="20"/>
        </w:rPr>
        <w:t xml:space="preserve"> human rights</w:t>
      </w:r>
      <w:r w:rsidR="00DF40E9">
        <w:rPr>
          <w:sz w:val="20"/>
          <w:szCs w:val="20"/>
        </w:rPr>
        <w:t xml:space="preserve"> standards, </w:t>
      </w:r>
      <w:r w:rsidR="00A3450B">
        <w:rPr>
          <w:sz w:val="20"/>
          <w:szCs w:val="20"/>
        </w:rPr>
        <w:t xml:space="preserve">or set human rights frameworks or definitions, </w:t>
      </w:r>
      <w:r w:rsidR="00DF40E9">
        <w:rPr>
          <w:sz w:val="20"/>
          <w:szCs w:val="20"/>
        </w:rPr>
        <w:t>they should take human rights properly into account in their work</w:t>
      </w:r>
      <w:r w:rsidR="00A157E7">
        <w:rPr>
          <w:sz w:val="20"/>
          <w:szCs w:val="20"/>
        </w:rPr>
        <w:t xml:space="preserve">.  </w:t>
      </w:r>
      <w:r>
        <w:rPr>
          <w:sz w:val="20"/>
          <w:szCs w:val="20"/>
        </w:rPr>
        <w:t>There is a delicate balance of trying to understand the real-world implications of technical standards on areas such as human rights during the standards-setting process, while not placing all the responsibility on the technical experts participating at SDOs</w:t>
      </w:r>
      <w:r w:rsidR="00A157E7">
        <w:rPr>
          <w:sz w:val="20"/>
          <w:szCs w:val="20"/>
        </w:rPr>
        <w:t>.</w:t>
      </w:r>
    </w:p>
    <w:p w14:paraId="00000012" w14:textId="7C921CD4" w:rsidR="00994ACD" w:rsidRDefault="00994ACD" w:rsidP="00FB563F">
      <w:pPr>
        <w:shd w:val="clear" w:color="auto" w:fill="FFFFFF"/>
        <w:jc w:val="both"/>
        <w:rPr>
          <w:sz w:val="20"/>
          <w:szCs w:val="20"/>
        </w:rPr>
      </w:pPr>
    </w:p>
    <w:p w14:paraId="00000013" w14:textId="669A3E79" w:rsidR="00994ACD" w:rsidRDefault="00E33DD6" w:rsidP="00FB563F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There are a number of existing frameworks and guiding principles that apply and are relevant to SDOs and their participants</w:t>
      </w:r>
      <w:r w:rsidR="00A157E7">
        <w:rPr>
          <w:sz w:val="20"/>
          <w:szCs w:val="20"/>
        </w:rPr>
        <w:t xml:space="preserve">.  </w:t>
      </w:r>
      <w:r>
        <w:rPr>
          <w:sz w:val="20"/>
          <w:szCs w:val="20"/>
        </w:rPr>
        <w:t>There is more that can be done to ensure that these frameworks are being taken forward and applied appropriately within the standards-setting environment</w:t>
      </w:r>
      <w:r w:rsidR="00A157E7">
        <w:rPr>
          <w:sz w:val="20"/>
          <w:szCs w:val="20"/>
        </w:rPr>
        <w:t xml:space="preserve">.  </w:t>
      </w:r>
      <w:r>
        <w:rPr>
          <w:sz w:val="20"/>
          <w:szCs w:val="20"/>
        </w:rPr>
        <w:t xml:space="preserve">Examples include: </w:t>
      </w:r>
    </w:p>
    <w:p w14:paraId="00000014" w14:textId="77777777" w:rsidR="00994ACD" w:rsidRDefault="00E33DD6" w:rsidP="00FB563F">
      <w:pPr>
        <w:numPr>
          <w:ilvl w:val="0"/>
          <w:numId w:val="5"/>
        </w:num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 Guiding Principles on Business and Human Rights; </w:t>
      </w:r>
    </w:p>
    <w:p w14:paraId="00000015" w14:textId="77777777" w:rsidR="00994ACD" w:rsidRPr="00F63972" w:rsidRDefault="00E33DD6" w:rsidP="00FB563F">
      <w:pPr>
        <w:numPr>
          <w:ilvl w:val="0"/>
          <w:numId w:val="5"/>
        </w:numPr>
        <w:shd w:val="clear" w:color="auto" w:fill="FFFFFF"/>
        <w:jc w:val="both"/>
        <w:rPr>
          <w:sz w:val="20"/>
          <w:szCs w:val="20"/>
          <w:lang w:val="fr-CH"/>
        </w:rPr>
      </w:pPr>
      <w:r w:rsidRPr="00F63972">
        <w:rPr>
          <w:sz w:val="20"/>
          <w:szCs w:val="20"/>
          <w:lang w:val="fr-CH"/>
        </w:rPr>
        <w:t xml:space="preserve">OECD Principles on Artificial Intelligence; </w:t>
      </w:r>
    </w:p>
    <w:p w14:paraId="7F9202DB" w14:textId="77777777" w:rsidR="00A157E7" w:rsidRDefault="00E33DD6" w:rsidP="00FB563F">
      <w:pPr>
        <w:numPr>
          <w:ilvl w:val="0"/>
          <w:numId w:val="5"/>
        </w:num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OECD Principles for Internet Policy Making</w:t>
      </w:r>
      <w:r w:rsidR="00A157E7">
        <w:rPr>
          <w:sz w:val="20"/>
          <w:szCs w:val="20"/>
        </w:rPr>
        <w:t>.</w:t>
      </w:r>
    </w:p>
    <w:p w14:paraId="00000017" w14:textId="3114A1DA" w:rsidR="00994ACD" w:rsidRDefault="00994ACD" w:rsidP="00FB563F">
      <w:pPr>
        <w:shd w:val="clear" w:color="auto" w:fill="FFFFFF"/>
        <w:jc w:val="both"/>
        <w:rPr>
          <w:sz w:val="20"/>
          <w:szCs w:val="20"/>
        </w:rPr>
      </w:pPr>
    </w:p>
    <w:p w14:paraId="00000018" w14:textId="3DF39CAB" w:rsidR="00994ACD" w:rsidRDefault="00E33DD6" w:rsidP="00FB563F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There are also frameworks and guiding principles on the standards development process which are relevant, supporting open, transparent, and inclusive s</w:t>
      </w:r>
      <w:r w:rsidR="00A157E7">
        <w:rPr>
          <w:sz w:val="20"/>
          <w:szCs w:val="20"/>
        </w:rPr>
        <w:t>tandards development, such as:</w:t>
      </w:r>
    </w:p>
    <w:p w14:paraId="00000019" w14:textId="77777777" w:rsidR="00994ACD" w:rsidRDefault="00E33DD6" w:rsidP="00FB563F">
      <w:pPr>
        <w:numPr>
          <w:ilvl w:val="0"/>
          <w:numId w:val="4"/>
        </w:num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WTO Principles </w:t>
      </w:r>
      <w:hyperlink r:id="rId11">
        <w:r>
          <w:rPr>
            <w:sz w:val="20"/>
            <w:szCs w:val="20"/>
          </w:rPr>
          <w:t>for the Development of International Standards, Guides and Recommendations</w:t>
        </w:r>
      </w:hyperlink>
      <w:r>
        <w:rPr>
          <w:sz w:val="20"/>
          <w:szCs w:val="20"/>
        </w:rPr>
        <w:t xml:space="preserve">; </w:t>
      </w:r>
    </w:p>
    <w:p w14:paraId="0000001A" w14:textId="77777777" w:rsidR="00994ACD" w:rsidRDefault="00E33DD6" w:rsidP="00FB563F">
      <w:pPr>
        <w:numPr>
          <w:ilvl w:val="0"/>
          <w:numId w:val="4"/>
        </w:num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WTO Agreement on TBT Code of Good Practice.</w:t>
      </w:r>
    </w:p>
    <w:p w14:paraId="0000001B" w14:textId="77777777" w:rsidR="00994ACD" w:rsidRDefault="00994ACD" w:rsidP="00FB563F">
      <w:pPr>
        <w:shd w:val="clear" w:color="auto" w:fill="FFFFFF"/>
        <w:jc w:val="both"/>
        <w:rPr>
          <w:sz w:val="20"/>
          <w:szCs w:val="20"/>
        </w:rPr>
      </w:pPr>
    </w:p>
    <w:p w14:paraId="39B657D0" w14:textId="13F43C12" w:rsidR="00A157E7" w:rsidRDefault="00E33DD6" w:rsidP="00FB563F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In addition, there are initiatives in SDOs like the IETF (</w:t>
      </w:r>
      <w:r w:rsidR="00784581">
        <w:rPr>
          <w:sz w:val="20"/>
          <w:szCs w:val="20"/>
        </w:rPr>
        <w:t xml:space="preserve">eg </w:t>
      </w:r>
      <w:r>
        <w:rPr>
          <w:sz w:val="20"/>
          <w:szCs w:val="20"/>
        </w:rPr>
        <w:t>Human Rights Protocol Considerations research group) and ETSI to help engrain human rights considerations into the standards development process</w:t>
      </w:r>
      <w:r w:rsidR="00A157E7">
        <w:rPr>
          <w:sz w:val="20"/>
          <w:szCs w:val="20"/>
        </w:rPr>
        <w:t>.</w:t>
      </w:r>
    </w:p>
    <w:p w14:paraId="0000001D" w14:textId="1F848385" w:rsidR="00994ACD" w:rsidRDefault="00994ACD" w:rsidP="00FB563F">
      <w:pPr>
        <w:shd w:val="clear" w:color="auto" w:fill="FFFFFF"/>
        <w:jc w:val="both"/>
        <w:rPr>
          <w:sz w:val="20"/>
          <w:szCs w:val="20"/>
        </w:rPr>
      </w:pPr>
    </w:p>
    <w:p w14:paraId="5A2941FE" w14:textId="77777777" w:rsidR="00A157E7" w:rsidRDefault="00E33DD6" w:rsidP="00FB563F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There is an opportunity to work with the multistakeholder community to make these links clearer and use existing resources and processes more effectively</w:t>
      </w:r>
      <w:r w:rsidR="00A157E7">
        <w:rPr>
          <w:sz w:val="20"/>
          <w:szCs w:val="20"/>
        </w:rPr>
        <w:t xml:space="preserve">.  </w:t>
      </w:r>
      <w:r>
        <w:rPr>
          <w:sz w:val="20"/>
          <w:szCs w:val="20"/>
        </w:rPr>
        <w:t>Elaboration of best practices could be particularly helpful</w:t>
      </w:r>
      <w:r w:rsidR="00A157E7">
        <w:rPr>
          <w:sz w:val="20"/>
          <w:szCs w:val="20"/>
        </w:rPr>
        <w:t xml:space="preserve">.  </w:t>
      </w:r>
      <w:r>
        <w:rPr>
          <w:sz w:val="20"/>
          <w:szCs w:val="20"/>
        </w:rPr>
        <w:t>If taken forward, best practices should be developed in an open and multi-stakeholder way, including, for example, human rights experts, SDOs, technical experts and governments</w:t>
      </w:r>
      <w:r w:rsidR="00A157E7">
        <w:rPr>
          <w:sz w:val="20"/>
          <w:szCs w:val="20"/>
        </w:rPr>
        <w:t xml:space="preserve">.  </w:t>
      </w:r>
      <w:r>
        <w:rPr>
          <w:sz w:val="20"/>
          <w:szCs w:val="20"/>
        </w:rPr>
        <w:t xml:space="preserve"> Where and how this should be done is an important conversation to have with stakeholders going forward</w:t>
      </w:r>
      <w:r w:rsidR="00A157E7">
        <w:rPr>
          <w:sz w:val="20"/>
          <w:szCs w:val="20"/>
        </w:rPr>
        <w:t>.</w:t>
      </w:r>
    </w:p>
    <w:p w14:paraId="0000001F" w14:textId="23539FE1" w:rsidR="00994ACD" w:rsidRDefault="00E33DD6" w:rsidP="00FB563F">
      <w:pPr>
        <w:numPr>
          <w:ilvl w:val="0"/>
          <w:numId w:val="6"/>
        </w:numPr>
        <w:spacing w:before="280"/>
        <w:jc w:val="both"/>
        <w:rPr>
          <w:sz w:val="20"/>
          <w:szCs w:val="20"/>
        </w:rPr>
      </w:pPr>
      <w:r>
        <w:rPr>
          <w:sz w:val="20"/>
          <w:szCs w:val="20"/>
        </w:rPr>
        <w:t>What are common obstacles to effectively integrating human rights considerations in technical standard-setting processes for new and emerging digital technologies?</w:t>
      </w:r>
    </w:p>
    <w:p w14:paraId="00000020" w14:textId="77777777" w:rsidR="00994ACD" w:rsidRDefault="00E33DD6" w:rsidP="00FB563F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How accessible are standard-setting processes and processes for new and emerging digital technologies for a broad range of stakeholders, in particular for civil society organizations and human rights experts? By which metrics is “access” measured in this context?</w:t>
      </w:r>
    </w:p>
    <w:p w14:paraId="00000021" w14:textId="77777777" w:rsidR="00994ACD" w:rsidRDefault="00E33DD6" w:rsidP="00FB563F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What are the challenges faced by various stakeholders in their meaningful and sustainable participation in technical standard-setting processes for new and emerging digital technologies?</w:t>
      </w:r>
    </w:p>
    <w:p w14:paraId="00000022" w14:textId="77777777" w:rsidR="00994ACD" w:rsidRDefault="00E33DD6" w:rsidP="00FB563F">
      <w:pPr>
        <w:numPr>
          <w:ilvl w:val="0"/>
          <w:numId w:val="6"/>
        </w:numPr>
        <w:spacing w:after="280"/>
        <w:jc w:val="both"/>
        <w:rPr>
          <w:sz w:val="20"/>
          <w:szCs w:val="20"/>
        </w:rPr>
      </w:pPr>
      <w:r>
        <w:rPr>
          <w:sz w:val="20"/>
          <w:szCs w:val="20"/>
        </w:rPr>
        <w:t>In which ways do these challenges differ depending on the standard-setting organization concerned?</w:t>
      </w:r>
    </w:p>
    <w:p w14:paraId="4DEEA431" w14:textId="77777777" w:rsidR="00A157E7" w:rsidRDefault="00E33DD6" w:rsidP="00FB563F">
      <w:pPr>
        <w:shd w:val="clear" w:color="auto" w:fill="FFFFFF"/>
        <w:ind w:left="70"/>
        <w:jc w:val="both"/>
        <w:rPr>
          <w:sz w:val="20"/>
          <w:szCs w:val="20"/>
        </w:rPr>
      </w:pPr>
      <w:r>
        <w:rPr>
          <w:sz w:val="20"/>
          <w:szCs w:val="20"/>
        </w:rPr>
        <w:t>The UK supports the multi-stakeholder, industry-led model for the development of technical standards</w:t>
      </w:r>
      <w:r w:rsidR="00A157E7">
        <w:rPr>
          <w:sz w:val="20"/>
          <w:szCs w:val="20"/>
        </w:rPr>
        <w:t xml:space="preserve">.  </w:t>
      </w:r>
      <w:r>
        <w:rPr>
          <w:sz w:val="20"/>
          <w:szCs w:val="20"/>
        </w:rPr>
        <w:t>The multi-stakeholder model is essential for ensuring that standards are fit-for-purpose, representative of all stakeholders, and are developed in line with human rights</w:t>
      </w:r>
      <w:r w:rsidR="00A157E7">
        <w:rPr>
          <w:sz w:val="20"/>
          <w:szCs w:val="20"/>
        </w:rPr>
        <w:t xml:space="preserve">.  </w:t>
      </w:r>
      <w:r>
        <w:rPr>
          <w:sz w:val="20"/>
          <w:szCs w:val="20"/>
        </w:rPr>
        <w:t>Meaningful engagement in SDOs by human rights experts, and the wider multi-stakeholder community, is a critical first step in ensuring consideration of human rights during the standards-setting process</w:t>
      </w:r>
      <w:r w:rsidR="00A157E7">
        <w:rPr>
          <w:sz w:val="20"/>
          <w:szCs w:val="20"/>
        </w:rPr>
        <w:t>.</w:t>
      </w:r>
    </w:p>
    <w:p w14:paraId="00000024" w14:textId="7BD5A382" w:rsidR="00994ACD" w:rsidRDefault="00E33DD6" w:rsidP="00FB563F">
      <w:pPr>
        <w:shd w:val="clear" w:color="auto" w:fill="FFFFFF"/>
        <w:ind w:left="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25" w14:textId="7A64C7EA" w:rsidR="00994ACD" w:rsidRDefault="00E33DD6" w:rsidP="00FB563F">
      <w:pPr>
        <w:shd w:val="clear" w:color="auto" w:fill="FFFFFF"/>
        <w:ind w:left="70"/>
        <w:jc w:val="both"/>
        <w:rPr>
          <w:sz w:val="20"/>
          <w:szCs w:val="20"/>
        </w:rPr>
      </w:pPr>
      <w:r>
        <w:rPr>
          <w:sz w:val="20"/>
          <w:szCs w:val="20"/>
        </w:rPr>
        <w:t>At the same time, there are significant barriers to entry for some stakeholders, in particular civil society and smaller and medium-sized organisations, whose engagement in technical standards-setting processes would be of benefit</w:t>
      </w:r>
      <w:r w:rsidR="00A157E7">
        <w:rPr>
          <w:sz w:val="20"/>
          <w:szCs w:val="20"/>
        </w:rPr>
        <w:t xml:space="preserve">.  </w:t>
      </w:r>
      <w:r>
        <w:rPr>
          <w:sz w:val="20"/>
          <w:szCs w:val="20"/>
        </w:rPr>
        <w:t xml:space="preserve">Common barriers to entry include: </w:t>
      </w:r>
    </w:p>
    <w:p w14:paraId="00000026" w14:textId="77777777" w:rsidR="00994ACD" w:rsidRDefault="00E33DD6" w:rsidP="00FB563F">
      <w:pPr>
        <w:numPr>
          <w:ilvl w:val="0"/>
          <w:numId w:val="1"/>
        </w:num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Lack of resources, including financial or time </w:t>
      </w:r>
    </w:p>
    <w:p w14:paraId="00000027" w14:textId="78AD4B8D" w:rsidR="00994ACD" w:rsidRDefault="00E33DD6" w:rsidP="00FB563F">
      <w:pPr>
        <w:numPr>
          <w:ilvl w:val="0"/>
          <w:numId w:val="1"/>
        </w:num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Understanding of SDOs, culture and ways of working (</w:t>
      </w:r>
      <w:r w:rsidR="00784581">
        <w:rPr>
          <w:sz w:val="20"/>
          <w:szCs w:val="20"/>
        </w:rPr>
        <w:t xml:space="preserve">eg </w:t>
      </w:r>
      <w:r>
        <w:rPr>
          <w:sz w:val="20"/>
          <w:szCs w:val="20"/>
        </w:rPr>
        <w:t>ISO vs IETF)</w:t>
      </w:r>
    </w:p>
    <w:p w14:paraId="00000028" w14:textId="77777777" w:rsidR="00994ACD" w:rsidRDefault="00E33DD6" w:rsidP="00FB563F">
      <w:pPr>
        <w:numPr>
          <w:ilvl w:val="0"/>
          <w:numId w:val="1"/>
        </w:num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Enough technical background to engage meaningfully  </w:t>
      </w:r>
    </w:p>
    <w:p w14:paraId="00000029" w14:textId="2D1184C2" w:rsidR="00994ACD" w:rsidRDefault="00E33DD6" w:rsidP="00FB563F">
      <w:pPr>
        <w:numPr>
          <w:ilvl w:val="0"/>
          <w:numId w:val="1"/>
        </w:num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Ability to acquire SDO membership or routes to meaningful engagement (</w:t>
      </w:r>
      <w:r w:rsidR="00784581">
        <w:rPr>
          <w:sz w:val="20"/>
          <w:szCs w:val="20"/>
        </w:rPr>
        <w:t xml:space="preserve">eg </w:t>
      </w:r>
      <w:r>
        <w:rPr>
          <w:sz w:val="20"/>
          <w:szCs w:val="20"/>
        </w:rPr>
        <w:t>ITU membership structure)</w:t>
      </w:r>
    </w:p>
    <w:p w14:paraId="0000002A" w14:textId="77777777" w:rsidR="00994ACD" w:rsidRDefault="00E33DD6" w:rsidP="00FB563F">
      <w:pPr>
        <w:numPr>
          <w:ilvl w:val="0"/>
          <w:numId w:val="1"/>
        </w:num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level of openness or transparency of standards-setting processes </w:t>
      </w:r>
    </w:p>
    <w:p w14:paraId="0000002B" w14:textId="77777777" w:rsidR="00994ACD" w:rsidRDefault="00994ACD" w:rsidP="00FB563F">
      <w:pPr>
        <w:shd w:val="clear" w:color="auto" w:fill="FFFFFF"/>
        <w:ind w:left="70"/>
        <w:jc w:val="both"/>
        <w:rPr>
          <w:sz w:val="20"/>
          <w:szCs w:val="20"/>
        </w:rPr>
      </w:pPr>
    </w:p>
    <w:p w14:paraId="0000002C" w14:textId="78644F93" w:rsidR="00994ACD" w:rsidRDefault="00E33DD6" w:rsidP="00FB563F">
      <w:pPr>
        <w:shd w:val="clear" w:color="auto" w:fill="FFFFFF"/>
        <w:ind w:left="70"/>
        <w:jc w:val="both"/>
        <w:rPr>
          <w:sz w:val="20"/>
          <w:szCs w:val="20"/>
        </w:rPr>
      </w:pPr>
      <w:r>
        <w:rPr>
          <w:sz w:val="20"/>
          <w:szCs w:val="20"/>
        </w:rPr>
        <w:t>In the meantime, there are steps that stakeholders can take to help ensure human rights are taken into consideration during the development of technical standards</w:t>
      </w:r>
      <w:r w:rsidR="00A157E7">
        <w:rPr>
          <w:sz w:val="20"/>
          <w:szCs w:val="20"/>
        </w:rPr>
        <w:t xml:space="preserve">.  </w:t>
      </w:r>
      <w:r>
        <w:rPr>
          <w:sz w:val="20"/>
          <w:szCs w:val="20"/>
        </w:rPr>
        <w:t xml:space="preserve">Examples are: </w:t>
      </w:r>
    </w:p>
    <w:p w14:paraId="0000002D" w14:textId="77777777" w:rsidR="00994ACD" w:rsidRDefault="00E33DD6" w:rsidP="00FB563F">
      <w:pPr>
        <w:numPr>
          <w:ilvl w:val="0"/>
          <w:numId w:val="7"/>
        </w:num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including human rights and other experts on delegations to SDOs, in particular the ITU, ISO and IEC;</w:t>
      </w:r>
    </w:p>
    <w:p w14:paraId="0000002E" w14:textId="77777777" w:rsidR="00994ACD" w:rsidRDefault="00E33DD6" w:rsidP="00FB563F">
      <w:pPr>
        <w:numPr>
          <w:ilvl w:val="0"/>
          <w:numId w:val="7"/>
        </w:num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outreach to human rights experts when potential human rights impact is flagged; </w:t>
      </w:r>
    </w:p>
    <w:p w14:paraId="00000033" w14:textId="02923AA4" w:rsidR="00994ACD" w:rsidRPr="00FB563F" w:rsidRDefault="00E33DD6" w:rsidP="00FB563F">
      <w:pPr>
        <w:numPr>
          <w:ilvl w:val="0"/>
          <w:numId w:val="7"/>
        </w:num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helping human rights experts to overcome barriers to entry to standards-setting processes, for example through outreach and coordination, or including them in reviews before technical standards are agreed</w:t>
      </w:r>
      <w:r w:rsidR="00A157E7">
        <w:rPr>
          <w:sz w:val="20"/>
          <w:szCs w:val="20"/>
        </w:rPr>
        <w:t>.</w:t>
      </w:r>
    </w:p>
    <w:sectPr w:rsidR="00994ACD" w:rsidRPr="00FB563F"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DC1CC" w16cex:dateUtc="2023-03-16T16:26:00Z"/>
  <w16cex:commentExtensible w16cex:durableId="27BDC1DD" w16cex:dateUtc="2023-03-16T16:27:00Z"/>
  <w16cex:commentExtensible w16cex:durableId="27BDC212" w16cex:dateUtc="2023-03-16T16:28:00Z"/>
  <w16cex:commentExtensible w16cex:durableId="27BDC25A" w16cex:dateUtc="2023-03-16T16:29:00Z"/>
  <w16cex:commentExtensible w16cex:durableId="27BDC270" w16cex:dateUtc="2023-03-16T16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38" w16cid:durableId="27BDB126"/>
  <w16cid:commentId w16cid:paraId="1A2E321B" w16cid:durableId="27BDB127"/>
  <w16cid:commentId w16cid:paraId="4D742E14" w16cid:durableId="27BDC1CC"/>
  <w16cid:commentId w16cid:paraId="058E0679" w16cid:durableId="27BDB128"/>
  <w16cid:commentId w16cid:paraId="0371A694" w16cid:durableId="27BDC1DD"/>
  <w16cid:commentId w16cid:paraId="14F13516" w16cid:durableId="27BDB129"/>
  <w16cid:commentId w16cid:paraId="3841FD9B" w16cid:durableId="27BDC212"/>
  <w16cid:commentId w16cid:paraId="278DD698" w16cid:durableId="27BDB12A"/>
  <w16cid:commentId w16cid:paraId="5BA72027" w16cid:durableId="27BDB12B"/>
  <w16cid:commentId w16cid:paraId="1E503C0D" w16cid:durableId="27BDC25A"/>
  <w16cid:commentId w16cid:paraId="00000034" w16cid:durableId="27BDB12C"/>
  <w16cid:commentId w16cid:paraId="00000035" w16cid:durableId="27BDB12D"/>
  <w16cid:commentId w16cid:paraId="23CC3A17" w16cid:durableId="27BDC27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5E618" w14:textId="77777777" w:rsidR="00FB563F" w:rsidRDefault="00FB563F" w:rsidP="00FB563F">
      <w:pPr>
        <w:spacing w:line="240" w:lineRule="auto"/>
      </w:pPr>
      <w:r>
        <w:separator/>
      </w:r>
    </w:p>
  </w:endnote>
  <w:endnote w:type="continuationSeparator" w:id="0">
    <w:p w14:paraId="46DD6A5B" w14:textId="77777777" w:rsidR="00FB563F" w:rsidRDefault="00FB563F" w:rsidP="00FB56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9943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5D6005" w14:textId="611733A6" w:rsidR="00FB563F" w:rsidRDefault="00FB56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286E6E" w14:textId="77777777" w:rsidR="00FB563F" w:rsidRDefault="00FB56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17B57" w14:textId="77777777" w:rsidR="00FB563F" w:rsidRDefault="00FB563F" w:rsidP="00FB563F">
      <w:pPr>
        <w:spacing w:line="240" w:lineRule="auto"/>
      </w:pPr>
      <w:r>
        <w:separator/>
      </w:r>
    </w:p>
  </w:footnote>
  <w:footnote w:type="continuationSeparator" w:id="0">
    <w:p w14:paraId="2D1B53D9" w14:textId="77777777" w:rsidR="00FB563F" w:rsidRDefault="00FB563F" w:rsidP="00FB56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2733"/>
    <w:multiLevelType w:val="multilevel"/>
    <w:tmpl w:val="16D4209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36681B"/>
    <w:multiLevelType w:val="multilevel"/>
    <w:tmpl w:val="52B092F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CA55F8"/>
    <w:multiLevelType w:val="multilevel"/>
    <w:tmpl w:val="C89481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3986456"/>
    <w:multiLevelType w:val="multilevel"/>
    <w:tmpl w:val="1DEC5D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CDC67E8"/>
    <w:multiLevelType w:val="multilevel"/>
    <w:tmpl w:val="0334644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08138BB"/>
    <w:multiLevelType w:val="multilevel"/>
    <w:tmpl w:val="5AB899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A037F01"/>
    <w:multiLevelType w:val="multilevel"/>
    <w:tmpl w:val="15BE98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33D5EF4"/>
    <w:multiLevelType w:val="multilevel"/>
    <w:tmpl w:val="10D0598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CD"/>
    <w:rsid w:val="00021491"/>
    <w:rsid w:val="000664ED"/>
    <w:rsid w:val="000E2057"/>
    <w:rsid w:val="00121B27"/>
    <w:rsid w:val="00171F52"/>
    <w:rsid w:val="00232D10"/>
    <w:rsid w:val="004A3964"/>
    <w:rsid w:val="00525B95"/>
    <w:rsid w:val="00617621"/>
    <w:rsid w:val="00766E7F"/>
    <w:rsid w:val="00784581"/>
    <w:rsid w:val="00832EB3"/>
    <w:rsid w:val="00992F56"/>
    <w:rsid w:val="00994ACD"/>
    <w:rsid w:val="00A061F0"/>
    <w:rsid w:val="00A157E7"/>
    <w:rsid w:val="00A3450B"/>
    <w:rsid w:val="00B531A8"/>
    <w:rsid w:val="00D6761E"/>
    <w:rsid w:val="00DB7A42"/>
    <w:rsid w:val="00DF40E9"/>
    <w:rsid w:val="00E075C7"/>
    <w:rsid w:val="00E156A2"/>
    <w:rsid w:val="00E33DD6"/>
    <w:rsid w:val="00E62C9D"/>
    <w:rsid w:val="00E6639D"/>
    <w:rsid w:val="00F63972"/>
    <w:rsid w:val="00FB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14FDE"/>
  <w15:docId w15:val="{AE814F6C-2ABB-45A8-B42C-0F300C6B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1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1A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1A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1491"/>
    <w:pPr>
      <w:spacing w:line="240" w:lineRule="auto"/>
    </w:pPr>
  </w:style>
  <w:style w:type="character" w:styleId="SubtleEmphasis">
    <w:name w:val="Subtle Emphasis"/>
    <w:basedOn w:val="DefaultParagraphFont"/>
    <w:uiPriority w:val="19"/>
    <w:qFormat/>
    <w:rsid w:val="00A157E7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FB563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3F"/>
  </w:style>
  <w:style w:type="paragraph" w:styleId="Footer">
    <w:name w:val="footer"/>
    <w:basedOn w:val="Normal"/>
    <w:link w:val="FooterChar"/>
    <w:uiPriority w:val="99"/>
    <w:unhideWhenUsed/>
    <w:rsid w:val="00FB563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to.org/english/tratop_e/tbt_e/principles_standards_tbt_e.htm" TargetMode="Externa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yperlink" Target="https://www.ohchr.org/en/calls-for-input/2023/call-inputs-relationship-between-human-rights-and-technical-standard-sett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c8192cb1-67bb-4ce5-82db-0b25b399d1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40202FEBBA843BF41687ADE7B54CC" ma:contentTypeVersion="12" ma:contentTypeDescription="Create a new document." ma:contentTypeScope="" ma:versionID="b03a9ca0f58b7180e5670647e9f3ac12">
  <xsd:schema xmlns:xsd="http://www.w3.org/2001/XMLSchema" xmlns:xs="http://www.w3.org/2001/XMLSchema" xmlns:p="http://schemas.microsoft.com/office/2006/metadata/properties" xmlns:ns2="c8192cb1-67bb-4ce5-82db-0b25b399d117" xmlns:ns3="9c2e4527-2efa-4ade-b3d6-b2418af14986" xmlns:ns4="985ec44e-1bab-4c0b-9df0-6ba128686fc9" targetNamespace="http://schemas.microsoft.com/office/2006/metadata/properties" ma:root="true" ma:fieldsID="248b4766c80033b2846011ec563a1e4a" ns2:_="" ns3:_="" ns4:_="">
    <xsd:import namespace="c8192cb1-67bb-4ce5-82db-0b25b399d117"/>
    <xsd:import namespace="9c2e4527-2efa-4ade-b3d6-b2418af1498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92cb1-67bb-4ce5-82db-0b25b399d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e4527-2efa-4ade-b3d6-b2418af14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4afd02e-5a56-4f93-83f9-320cd14d78c4}" ma:internalName="TaxCatchAll" ma:showField="CatchAllData" ma:web="9c2e4527-2efa-4ade-b3d6-b2418af14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963C13-2F4C-4DFE-9E3F-FA8A80EDEABC}">
  <ds:schemaRefs>
    <ds:schemaRef ds:uri="http://purl.org/dc/terms/"/>
    <ds:schemaRef ds:uri="001bdf4f-5177-4cd8-bfaf-df322b28e4a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37a3a33-d4e5-4d1b-b4ed-25a9c5b07ac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7E7C9-2CD0-47C1-96A2-B4377944B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A67FE-DB63-4530-BBE0-DA17BDDEA8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Authority</Company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Malby (Sensitive)</dc:creator>
  <cp:lastModifiedBy>Kameni Chaddha</cp:lastModifiedBy>
  <cp:revision>3</cp:revision>
  <dcterms:created xsi:type="dcterms:W3CDTF">2023-03-29T08:35:00Z</dcterms:created>
  <dcterms:modified xsi:type="dcterms:W3CDTF">2023-03-29T08:37:00Z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0x0101005099AA6FCD7B694DA71111E7C698B513</vt:lpwstr>
  </property>
</Properties>
</file>