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E6876" w14:textId="7FF54698" w:rsidR="00841806" w:rsidRPr="00841806" w:rsidRDefault="00973C4B" w:rsidP="00841806">
      <w:pPr>
        <w:ind w:right="-1"/>
        <w:jc w:val="both"/>
        <w:rPr>
          <w:b/>
          <w:bCs/>
          <w:color w:val="808080" w:themeColor="background1" w:themeShade="80"/>
          <w:sz w:val="34"/>
          <w:szCs w:val="34"/>
          <w:lang w:val="en-GB"/>
        </w:rPr>
      </w:pPr>
      <w:bookmarkStart w:id="0" w:name="_GoBack"/>
      <w:bookmarkEnd w:id="0"/>
      <w:r w:rsidRPr="00D33602">
        <w:rPr>
          <w:b/>
          <w:color w:val="808080" w:themeColor="background1" w:themeShade="80"/>
          <w:sz w:val="34"/>
          <w:szCs w:val="34"/>
          <w:lang w:val="en-GB"/>
        </w:rPr>
        <w:softHyphen/>
      </w:r>
      <w:r w:rsidRPr="00D33602">
        <w:rPr>
          <w:b/>
          <w:color w:val="808080" w:themeColor="background1" w:themeShade="80"/>
          <w:sz w:val="34"/>
          <w:szCs w:val="34"/>
          <w:lang w:val="en-GB"/>
        </w:rPr>
        <w:softHyphen/>
      </w:r>
      <w:r w:rsidR="00772EB6" w:rsidRPr="00772EB6">
        <w:rPr>
          <w:b/>
          <w:color w:val="808080" w:themeColor="background1" w:themeShade="80"/>
          <w:sz w:val="34"/>
          <w:szCs w:val="34"/>
          <w:lang w:val="en-GB"/>
        </w:rPr>
        <w:t xml:space="preserve">OHCHR as a follow up to HRC resolution 49/15 on the rights of persons with disabilities </w:t>
      </w:r>
    </w:p>
    <w:p w14:paraId="195662D5" w14:textId="77777777" w:rsidR="00161F59" w:rsidRPr="00D33602" w:rsidRDefault="00161F59" w:rsidP="009A3B47">
      <w:pPr>
        <w:pBdr>
          <w:bottom w:val="single" w:sz="12" w:space="1" w:color="auto"/>
        </w:pBdr>
        <w:ind w:right="-1"/>
        <w:rPr>
          <w:rFonts w:cs="Arial"/>
          <w:color w:val="818285"/>
          <w:sz w:val="11"/>
          <w:lang w:val="en-GB"/>
        </w:rPr>
      </w:pPr>
    </w:p>
    <w:p w14:paraId="1AAF8E97" w14:textId="58995256" w:rsidR="00161F59" w:rsidRPr="00D33602" w:rsidRDefault="001A275B" w:rsidP="009A3B47">
      <w:pPr>
        <w:pBdr>
          <w:bottom w:val="single" w:sz="12" w:space="1" w:color="auto"/>
        </w:pBdr>
        <w:ind w:right="-1"/>
        <w:rPr>
          <w:rFonts w:cs="Arial"/>
          <w:color w:val="818285"/>
          <w:sz w:val="28"/>
          <w:lang w:val="en-GB"/>
        </w:rPr>
      </w:pPr>
      <w:r w:rsidRPr="00D33602">
        <w:rPr>
          <w:rFonts w:cs="Arial"/>
          <w:color w:val="818285"/>
          <w:sz w:val="28"/>
          <w:lang w:val="en-GB"/>
        </w:rPr>
        <w:t>Input from the Republic of Malta</w:t>
      </w:r>
    </w:p>
    <w:p w14:paraId="1F653949" w14:textId="77777777" w:rsidR="00161F59" w:rsidRPr="00D33602" w:rsidRDefault="00161F59" w:rsidP="009A3B47">
      <w:pPr>
        <w:pBdr>
          <w:bottom w:val="single" w:sz="12" w:space="1" w:color="auto"/>
        </w:pBdr>
        <w:ind w:right="-1"/>
        <w:rPr>
          <w:rFonts w:cs="Arial"/>
          <w:color w:val="818285"/>
          <w:sz w:val="21"/>
          <w:szCs w:val="20"/>
          <w:lang w:val="en-GB"/>
        </w:rPr>
      </w:pPr>
    </w:p>
    <w:p w14:paraId="5627BF4F" w14:textId="4E7A2CD4" w:rsidR="00161F59" w:rsidRDefault="00161F59" w:rsidP="00973C4B">
      <w:pPr>
        <w:ind w:right="-1"/>
        <w:rPr>
          <w:color w:val="818285"/>
          <w:sz w:val="20"/>
          <w:szCs w:val="20"/>
          <w:lang w:val="en-GB"/>
        </w:rPr>
      </w:pPr>
    </w:p>
    <w:p w14:paraId="01AD6455" w14:textId="77777777" w:rsidR="00C721F8" w:rsidRDefault="00C721F8" w:rsidP="00C721F8">
      <w:pPr>
        <w:jc w:val="both"/>
        <w:rPr>
          <w:rFonts w:cstheme="minorHAnsi"/>
          <w:b/>
          <w:bCs/>
        </w:rPr>
      </w:pPr>
      <w:r>
        <w:rPr>
          <w:rFonts w:cstheme="minorHAnsi"/>
          <w:b/>
          <w:bCs/>
        </w:rPr>
        <w:t xml:space="preserve">1(a)(i) </w:t>
      </w:r>
    </w:p>
    <w:p w14:paraId="73EEB84A" w14:textId="77777777" w:rsidR="00C721F8" w:rsidRDefault="00C721F8" w:rsidP="00C721F8">
      <w:pPr>
        <w:pStyle w:val="ListParagraph"/>
        <w:numPr>
          <w:ilvl w:val="0"/>
          <w:numId w:val="22"/>
        </w:numPr>
        <w:spacing w:line="256" w:lineRule="auto"/>
        <w:jc w:val="both"/>
        <w:rPr>
          <w:rFonts w:cstheme="minorHAnsi"/>
        </w:rPr>
      </w:pPr>
      <w:r>
        <w:rPr>
          <w:rFonts w:cstheme="minorHAnsi"/>
        </w:rPr>
        <w:t xml:space="preserve">UNCRPD Act (Cap. 627 of the Laws of Malta) </w:t>
      </w:r>
    </w:p>
    <w:p w14:paraId="0FE065EF" w14:textId="77777777" w:rsidR="00C721F8" w:rsidRDefault="00C721F8" w:rsidP="00C721F8">
      <w:pPr>
        <w:pStyle w:val="ListParagraph"/>
        <w:numPr>
          <w:ilvl w:val="0"/>
          <w:numId w:val="22"/>
        </w:numPr>
        <w:spacing w:line="256" w:lineRule="auto"/>
        <w:jc w:val="both"/>
        <w:rPr>
          <w:rFonts w:cstheme="minorHAnsi"/>
        </w:rPr>
      </w:pPr>
      <w:r>
        <w:rPr>
          <w:rFonts w:cstheme="minorHAnsi"/>
        </w:rPr>
        <w:t xml:space="preserve">2021-2030 National Disability Strategy </w:t>
      </w:r>
    </w:p>
    <w:p w14:paraId="2B6CC405" w14:textId="77777777" w:rsidR="00C721F8" w:rsidRDefault="00C721F8" w:rsidP="00C721F8">
      <w:pPr>
        <w:pStyle w:val="ListParagraph"/>
        <w:numPr>
          <w:ilvl w:val="0"/>
          <w:numId w:val="22"/>
        </w:numPr>
        <w:spacing w:line="256" w:lineRule="auto"/>
        <w:jc w:val="both"/>
        <w:rPr>
          <w:rFonts w:cstheme="minorHAnsi"/>
        </w:rPr>
      </w:pPr>
      <w:r>
        <w:rPr>
          <w:rFonts w:cstheme="minorHAnsi"/>
        </w:rPr>
        <w:t xml:space="preserve">2021-2030 National Autism Strategy </w:t>
      </w:r>
    </w:p>
    <w:p w14:paraId="0FCA928D" w14:textId="77777777" w:rsidR="00C721F8" w:rsidRDefault="00C721F8" w:rsidP="00C721F8">
      <w:pPr>
        <w:pStyle w:val="ListParagraph"/>
        <w:numPr>
          <w:ilvl w:val="0"/>
          <w:numId w:val="22"/>
        </w:numPr>
        <w:spacing w:line="256" w:lineRule="auto"/>
        <w:jc w:val="both"/>
        <w:rPr>
          <w:rFonts w:cstheme="minorHAnsi"/>
        </w:rPr>
      </w:pPr>
      <w:r>
        <w:rPr>
          <w:rFonts w:cstheme="minorHAnsi"/>
        </w:rPr>
        <w:t xml:space="preserve">2014 National Inclusion Policy </w:t>
      </w:r>
    </w:p>
    <w:p w14:paraId="5CF9F39F" w14:textId="77777777" w:rsidR="00C721F8" w:rsidRDefault="00C721F8" w:rsidP="00C721F8">
      <w:pPr>
        <w:pStyle w:val="ListParagraph"/>
        <w:numPr>
          <w:ilvl w:val="0"/>
          <w:numId w:val="22"/>
        </w:numPr>
        <w:spacing w:line="256" w:lineRule="auto"/>
        <w:jc w:val="both"/>
        <w:rPr>
          <w:rFonts w:cstheme="minorHAnsi"/>
        </w:rPr>
      </w:pPr>
      <w:r>
        <w:rPr>
          <w:rFonts w:cstheme="minorHAnsi"/>
        </w:rPr>
        <w:t>Services of ACTU (Access to Communication &amp; Technology Unit) within Agenzija Sapport (State disability service provider) - Augmentative &amp; Alternative Communication (AAC) Assessment &amp; Recommendations; Electronic Assistive Technology (EAT) Assessments; Sign Language Interpretation Services within Agenzija Sapport</w:t>
      </w:r>
    </w:p>
    <w:p w14:paraId="7C0403F5" w14:textId="77777777" w:rsidR="00C721F8" w:rsidRDefault="00C721F8" w:rsidP="00C721F8">
      <w:pPr>
        <w:jc w:val="both"/>
        <w:rPr>
          <w:rFonts w:cstheme="minorHAnsi"/>
        </w:rPr>
      </w:pPr>
    </w:p>
    <w:p w14:paraId="4118CF1B" w14:textId="77777777" w:rsidR="00C721F8" w:rsidRDefault="00C721F8" w:rsidP="00C721F8">
      <w:pPr>
        <w:jc w:val="both"/>
        <w:rPr>
          <w:rFonts w:cstheme="minorHAnsi"/>
          <w:b/>
          <w:bCs/>
        </w:rPr>
      </w:pPr>
      <w:r>
        <w:rPr>
          <w:rFonts w:cstheme="minorHAnsi"/>
          <w:b/>
          <w:bCs/>
        </w:rPr>
        <w:t xml:space="preserve">(ii) </w:t>
      </w:r>
    </w:p>
    <w:p w14:paraId="6FCE1772" w14:textId="77777777" w:rsidR="00C721F8" w:rsidRDefault="00C721F8" w:rsidP="00C721F8">
      <w:pPr>
        <w:pStyle w:val="ListParagraph"/>
        <w:numPr>
          <w:ilvl w:val="0"/>
          <w:numId w:val="23"/>
        </w:numPr>
        <w:spacing w:line="256" w:lineRule="auto"/>
        <w:jc w:val="both"/>
        <w:rPr>
          <w:rFonts w:cstheme="minorHAnsi"/>
        </w:rPr>
      </w:pPr>
      <w:r>
        <w:rPr>
          <w:rFonts w:cstheme="minorHAnsi"/>
        </w:rPr>
        <w:t xml:space="preserve">Civil Code (Cap. 16) </w:t>
      </w:r>
    </w:p>
    <w:p w14:paraId="50666C0C" w14:textId="77777777" w:rsidR="00C721F8" w:rsidRDefault="00C721F8" w:rsidP="00C721F8">
      <w:pPr>
        <w:pStyle w:val="ListParagraph"/>
        <w:numPr>
          <w:ilvl w:val="0"/>
          <w:numId w:val="23"/>
        </w:numPr>
        <w:spacing w:line="256" w:lineRule="auto"/>
        <w:jc w:val="both"/>
        <w:rPr>
          <w:rFonts w:cstheme="minorHAnsi"/>
        </w:rPr>
      </w:pPr>
      <w:r>
        <w:rPr>
          <w:rFonts w:cstheme="minorHAnsi"/>
        </w:rPr>
        <w:t xml:space="preserve">Code of Organization and Civil Procedure (Cap. 12) </w:t>
      </w:r>
    </w:p>
    <w:p w14:paraId="044BD71D" w14:textId="77777777" w:rsidR="00C721F8" w:rsidRDefault="00C721F8" w:rsidP="00C721F8">
      <w:pPr>
        <w:pStyle w:val="ListParagraph"/>
        <w:numPr>
          <w:ilvl w:val="0"/>
          <w:numId w:val="23"/>
        </w:numPr>
        <w:spacing w:line="256" w:lineRule="auto"/>
        <w:jc w:val="both"/>
        <w:rPr>
          <w:rFonts w:cstheme="minorHAnsi"/>
        </w:rPr>
      </w:pPr>
      <w:r>
        <w:rPr>
          <w:rFonts w:cstheme="minorHAnsi"/>
        </w:rPr>
        <w:t xml:space="preserve">Mental Health Act (Cap. 525) </w:t>
      </w:r>
    </w:p>
    <w:p w14:paraId="6C882356" w14:textId="77777777" w:rsidR="00C721F8" w:rsidRDefault="00C721F8" w:rsidP="00C721F8">
      <w:pPr>
        <w:jc w:val="both"/>
        <w:rPr>
          <w:rFonts w:cstheme="minorHAnsi"/>
        </w:rPr>
      </w:pPr>
      <w:r>
        <w:rPr>
          <w:rFonts w:cstheme="minorHAnsi"/>
        </w:rPr>
        <w:t xml:space="preserve">All 3 pieces of legislation are being amended through the Personal Autonomy Bill, that will align legislation with Art. 12 UNCRPD, and which will be launched for Public Consultation by the end of 2022 </w:t>
      </w:r>
    </w:p>
    <w:p w14:paraId="3DC09619" w14:textId="77777777" w:rsidR="00C721F8" w:rsidRDefault="00C721F8" w:rsidP="00C721F8">
      <w:pPr>
        <w:jc w:val="both"/>
        <w:rPr>
          <w:rFonts w:cstheme="minorHAnsi"/>
        </w:rPr>
      </w:pPr>
      <w:r>
        <w:rPr>
          <w:rFonts w:cstheme="minorHAnsi"/>
        </w:rPr>
        <w:t>This legislation is also backed up by the UNCRPD Act (Cap. 627) and the 2021-2030 National Disability Strategy</w:t>
      </w:r>
    </w:p>
    <w:p w14:paraId="204B20AA" w14:textId="77777777" w:rsidR="00C721F8" w:rsidRDefault="00C721F8" w:rsidP="00C721F8">
      <w:pPr>
        <w:jc w:val="both"/>
        <w:rPr>
          <w:rFonts w:cstheme="minorHAnsi"/>
        </w:rPr>
      </w:pPr>
    </w:p>
    <w:p w14:paraId="7D30DC97" w14:textId="77777777" w:rsidR="00C721F8" w:rsidRDefault="00C721F8" w:rsidP="00C721F8">
      <w:pPr>
        <w:jc w:val="both"/>
        <w:rPr>
          <w:rFonts w:cstheme="minorHAnsi"/>
          <w:b/>
          <w:bCs/>
        </w:rPr>
      </w:pPr>
      <w:r>
        <w:rPr>
          <w:rFonts w:cstheme="minorHAnsi"/>
          <w:b/>
          <w:bCs/>
        </w:rPr>
        <w:t xml:space="preserve">(iii) </w:t>
      </w:r>
    </w:p>
    <w:p w14:paraId="568B8DF5" w14:textId="77777777" w:rsidR="00C721F8" w:rsidRDefault="00C721F8" w:rsidP="00C721F8">
      <w:pPr>
        <w:pStyle w:val="ListParagraph"/>
        <w:numPr>
          <w:ilvl w:val="0"/>
          <w:numId w:val="24"/>
        </w:numPr>
        <w:spacing w:line="256" w:lineRule="auto"/>
        <w:jc w:val="both"/>
        <w:rPr>
          <w:rFonts w:cstheme="minorHAnsi"/>
        </w:rPr>
      </w:pPr>
      <w:r>
        <w:rPr>
          <w:rFonts w:cstheme="minorHAnsi"/>
        </w:rPr>
        <w:t xml:space="preserve">UNCRPD Act (Cap. 627) </w:t>
      </w:r>
    </w:p>
    <w:p w14:paraId="050B3737" w14:textId="77777777" w:rsidR="00C721F8" w:rsidRDefault="00C721F8" w:rsidP="00C721F8">
      <w:pPr>
        <w:pStyle w:val="ListParagraph"/>
        <w:numPr>
          <w:ilvl w:val="0"/>
          <w:numId w:val="24"/>
        </w:numPr>
        <w:spacing w:line="256" w:lineRule="auto"/>
        <w:jc w:val="both"/>
        <w:rPr>
          <w:rFonts w:cstheme="minorHAnsi"/>
        </w:rPr>
      </w:pPr>
      <w:r>
        <w:rPr>
          <w:rFonts w:cstheme="minorHAnsi"/>
        </w:rPr>
        <w:t xml:space="preserve">2021-2030 National Disability Strategy </w:t>
      </w:r>
    </w:p>
    <w:p w14:paraId="5239E993" w14:textId="77777777" w:rsidR="00C721F8" w:rsidRDefault="00C721F8" w:rsidP="00C721F8">
      <w:pPr>
        <w:pStyle w:val="ListParagraph"/>
        <w:numPr>
          <w:ilvl w:val="0"/>
          <w:numId w:val="24"/>
        </w:numPr>
        <w:spacing w:line="256" w:lineRule="auto"/>
        <w:jc w:val="both"/>
        <w:rPr>
          <w:rFonts w:cstheme="minorHAnsi"/>
        </w:rPr>
      </w:pPr>
      <w:r>
        <w:rPr>
          <w:rFonts w:cstheme="minorHAnsi"/>
        </w:rPr>
        <w:t xml:space="preserve">Agenzija Sapport Strategic Plan </w:t>
      </w:r>
    </w:p>
    <w:p w14:paraId="4C3A4378" w14:textId="77777777" w:rsidR="00C721F8" w:rsidRDefault="00C721F8" w:rsidP="00C721F8">
      <w:pPr>
        <w:pStyle w:val="ListParagraph"/>
        <w:numPr>
          <w:ilvl w:val="0"/>
          <w:numId w:val="24"/>
        </w:numPr>
        <w:spacing w:line="256" w:lineRule="auto"/>
        <w:jc w:val="both"/>
        <w:rPr>
          <w:rFonts w:cstheme="minorHAnsi"/>
        </w:rPr>
      </w:pPr>
      <w:r>
        <w:rPr>
          <w:rFonts w:cstheme="minorHAnsi"/>
        </w:rPr>
        <w:t>Sonia Tanti Independent Living Centre (STILC) within Agenzija Sapport - Wheelchair and Seating Assessments; Mobility Scooter Assessments; Adapted Driving Lessons; Car Adaptations; Driving Simulation</w:t>
      </w:r>
    </w:p>
    <w:p w14:paraId="723B3BDE" w14:textId="77777777" w:rsidR="00C721F8" w:rsidRDefault="00C721F8" w:rsidP="00C721F8">
      <w:pPr>
        <w:jc w:val="both"/>
        <w:rPr>
          <w:rFonts w:cstheme="minorHAnsi"/>
        </w:rPr>
      </w:pPr>
    </w:p>
    <w:p w14:paraId="6574955A" w14:textId="77777777" w:rsidR="00C721F8" w:rsidRDefault="00C721F8" w:rsidP="00C721F8">
      <w:pPr>
        <w:jc w:val="both"/>
        <w:rPr>
          <w:rFonts w:cstheme="minorHAnsi"/>
          <w:b/>
          <w:bCs/>
        </w:rPr>
      </w:pPr>
      <w:r>
        <w:rPr>
          <w:rFonts w:cstheme="minorHAnsi"/>
          <w:b/>
          <w:bCs/>
        </w:rPr>
        <w:t xml:space="preserve">(iv) </w:t>
      </w:r>
    </w:p>
    <w:p w14:paraId="44929881" w14:textId="77777777" w:rsidR="00C721F8" w:rsidRDefault="00C721F8" w:rsidP="00C721F8">
      <w:pPr>
        <w:pStyle w:val="ListParagraph"/>
        <w:numPr>
          <w:ilvl w:val="0"/>
          <w:numId w:val="25"/>
        </w:numPr>
        <w:spacing w:line="256" w:lineRule="auto"/>
        <w:jc w:val="both"/>
        <w:rPr>
          <w:rFonts w:cstheme="minorHAnsi"/>
        </w:rPr>
      </w:pPr>
      <w:r>
        <w:rPr>
          <w:rFonts w:cstheme="minorHAnsi"/>
        </w:rPr>
        <w:t xml:space="preserve">UNCRPD Act (Cap. 627) </w:t>
      </w:r>
    </w:p>
    <w:p w14:paraId="46F15B8A" w14:textId="77777777" w:rsidR="00C721F8" w:rsidRDefault="00C721F8" w:rsidP="00C721F8">
      <w:pPr>
        <w:pStyle w:val="ListParagraph"/>
        <w:numPr>
          <w:ilvl w:val="0"/>
          <w:numId w:val="25"/>
        </w:numPr>
        <w:spacing w:line="256" w:lineRule="auto"/>
        <w:jc w:val="both"/>
        <w:rPr>
          <w:rFonts w:cstheme="minorHAnsi"/>
        </w:rPr>
      </w:pPr>
      <w:r>
        <w:rPr>
          <w:rFonts w:cstheme="minorHAnsi"/>
        </w:rPr>
        <w:t xml:space="preserve">2021-2030 National Disability Strategy </w:t>
      </w:r>
    </w:p>
    <w:p w14:paraId="34518C55" w14:textId="77777777" w:rsidR="00C721F8" w:rsidRDefault="00C721F8" w:rsidP="00C721F8">
      <w:pPr>
        <w:pStyle w:val="ListParagraph"/>
        <w:numPr>
          <w:ilvl w:val="0"/>
          <w:numId w:val="25"/>
        </w:numPr>
        <w:spacing w:line="256" w:lineRule="auto"/>
        <w:jc w:val="both"/>
        <w:rPr>
          <w:rFonts w:cstheme="minorHAnsi"/>
        </w:rPr>
      </w:pPr>
      <w:r>
        <w:rPr>
          <w:rFonts w:cstheme="minorHAnsi"/>
        </w:rPr>
        <w:t xml:space="preserve">Agenzija Sapport Strategic Plan </w:t>
      </w:r>
    </w:p>
    <w:p w14:paraId="3781727E" w14:textId="77777777" w:rsidR="00C721F8" w:rsidRDefault="00C721F8" w:rsidP="00C721F8">
      <w:pPr>
        <w:pStyle w:val="ListParagraph"/>
        <w:numPr>
          <w:ilvl w:val="0"/>
          <w:numId w:val="25"/>
        </w:numPr>
        <w:spacing w:line="256" w:lineRule="auto"/>
        <w:jc w:val="both"/>
        <w:rPr>
          <w:rFonts w:cstheme="minorHAnsi"/>
        </w:rPr>
      </w:pPr>
      <w:r>
        <w:rPr>
          <w:rFonts w:cstheme="minorHAnsi"/>
        </w:rPr>
        <w:t>Personal Assistance Fund (PAF) Scheme within Agenzija Sapport</w:t>
      </w:r>
    </w:p>
    <w:p w14:paraId="7C122EE6" w14:textId="77777777" w:rsidR="00C721F8" w:rsidRDefault="00C721F8" w:rsidP="00C721F8">
      <w:pPr>
        <w:jc w:val="both"/>
        <w:rPr>
          <w:rFonts w:cstheme="minorHAnsi"/>
          <w:b/>
          <w:bCs/>
        </w:rPr>
      </w:pPr>
      <w:r>
        <w:rPr>
          <w:rFonts w:cstheme="minorHAnsi"/>
          <w:b/>
          <w:bCs/>
        </w:rPr>
        <w:t xml:space="preserve">(v) </w:t>
      </w:r>
    </w:p>
    <w:p w14:paraId="609E39AB" w14:textId="77777777" w:rsidR="00C721F8" w:rsidRDefault="00C721F8" w:rsidP="00C721F8">
      <w:pPr>
        <w:pStyle w:val="ListParagraph"/>
        <w:numPr>
          <w:ilvl w:val="0"/>
          <w:numId w:val="26"/>
        </w:numPr>
        <w:spacing w:line="256" w:lineRule="auto"/>
        <w:jc w:val="both"/>
        <w:rPr>
          <w:rFonts w:cstheme="minorHAnsi"/>
        </w:rPr>
      </w:pPr>
      <w:r>
        <w:rPr>
          <w:rFonts w:cstheme="minorHAnsi"/>
        </w:rPr>
        <w:t xml:space="preserve">UNCRPD Act (Cap. 627) </w:t>
      </w:r>
    </w:p>
    <w:p w14:paraId="654E388D" w14:textId="77777777" w:rsidR="00C721F8" w:rsidRDefault="00C721F8" w:rsidP="00C721F8">
      <w:pPr>
        <w:pStyle w:val="ListParagraph"/>
        <w:numPr>
          <w:ilvl w:val="0"/>
          <w:numId w:val="26"/>
        </w:numPr>
        <w:spacing w:line="256" w:lineRule="auto"/>
        <w:jc w:val="both"/>
        <w:rPr>
          <w:rFonts w:cstheme="minorHAnsi"/>
        </w:rPr>
      </w:pPr>
      <w:r>
        <w:rPr>
          <w:rFonts w:cstheme="minorHAnsi"/>
        </w:rPr>
        <w:t xml:space="preserve">2021-2030 National Disability Strategy </w:t>
      </w:r>
    </w:p>
    <w:p w14:paraId="139F1C29" w14:textId="77777777" w:rsidR="00C721F8" w:rsidRDefault="00C721F8" w:rsidP="00C721F8">
      <w:pPr>
        <w:pStyle w:val="ListParagraph"/>
        <w:numPr>
          <w:ilvl w:val="0"/>
          <w:numId w:val="26"/>
        </w:numPr>
        <w:spacing w:line="256" w:lineRule="auto"/>
        <w:jc w:val="both"/>
        <w:rPr>
          <w:rFonts w:cstheme="minorHAnsi"/>
        </w:rPr>
      </w:pPr>
      <w:r>
        <w:rPr>
          <w:rFonts w:cstheme="minorHAnsi"/>
        </w:rPr>
        <w:t xml:space="preserve">Agenzija Sapport Strategic Plan </w:t>
      </w:r>
    </w:p>
    <w:p w14:paraId="5A080678" w14:textId="77777777" w:rsidR="00C721F8" w:rsidRDefault="00C721F8" w:rsidP="00C721F8">
      <w:pPr>
        <w:pStyle w:val="ListParagraph"/>
        <w:jc w:val="both"/>
        <w:rPr>
          <w:rFonts w:cstheme="minorHAnsi"/>
        </w:rPr>
      </w:pPr>
    </w:p>
    <w:p w14:paraId="00ECFE91" w14:textId="77777777" w:rsidR="00C721F8" w:rsidRDefault="00C721F8" w:rsidP="00C721F8">
      <w:pPr>
        <w:pStyle w:val="ListParagraph"/>
        <w:numPr>
          <w:ilvl w:val="0"/>
          <w:numId w:val="26"/>
        </w:numPr>
        <w:spacing w:line="256" w:lineRule="auto"/>
        <w:jc w:val="both"/>
        <w:rPr>
          <w:rFonts w:cstheme="minorHAnsi"/>
        </w:rPr>
      </w:pPr>
      <w:r>
        <w:rPr>
          <w:rFonts w:cstheme="minorHAnsi"/>
        </w:rPr>
        <w:lastRenderedPageBreak/>
        <w:t>New Hope Guarantee Scheme - Housing Authority (</w:t>
      </w:r>
      <w:hyperlink r:id="rId11" w:history="1">
        <w:r>
          <w:rPr>
            <w:rStyle w:val="Hyperlink"/>
            <w:rFonts w:cstheme="minorHAnsi"/>
          </w:rPr>
          <w:t>https://housingauthority.gov.mt/services/affordable-housing/skema-new-hope/</w:t>
        </w:r>
      </w:hyperlink>
      <w:r>
        <w:rPr>
          <w:rFonts w:cstheme="minorHAnsi"/>
        </w:rPr>
        <w:t>)</w:t>
      </w:r>
    </w:p>
    <w:p w14:paraId="1EEEB368" w14:textId="77777777" w:rsidR="00C721F8" w:rsidRDefault="00C721F8" w:rsidP="00C721F8">
      <w:pPr>
        <w:pStyle w:val="ListParagraph"/>
        <w:jc w:val="both"/>
        <w:rPr>
          <w:rFonts w:cstheme="minorHAnsi"/>
        </w:rPr>
      </w:pPr>
    </w:p>
    <w:p w14:paraId="46654F22" w14:textId="77777777" w:rsidR="00C721F8" w:rsidRDefault="00C721F8" w:rsidP="00C721F8">
      <w:pPr>
        <w:pStyle w:val="ListParagraph"/>
        <w:numPr>
          <w:ilvl w:val="0"/>
          <w:numId w:val="26"/>
        </w:numPr>
        <w:spacing w:line="256" w:lineRule="auto"/>
        <w:jc w:val="both"/>
        <w:rPr>
          <w:rFonts w:cstheme="minorHAnsi"/>
        </w:rPr>
      </w:pPr>
      <w:r>
        <w:rPr>
          <w:rFonts w:cstheme="minorHAnsi"/>
        </w:rPr>
        <w:t>Disability Scheme - Housing Authority (</w:t>
      </w:r>
      <w:hyperlink r:id="rId12" w:history="1">
        <w:r>
          <w:rPr>
            <w:rStyle w:val="Hyperlink"/>
            <w:rFonts w:cstheme="minorHAnsi"/>
          </w:rPr>
          <w:t>https://housingauthority.gov.mt/services/repair-and-adaptations/adaptations-for-persons-with-disability/</w:t>
        </w:r>
      </w:hyperlink>
      <w:r>
        <w:rPr>
          <w:rFonts w:cstheme="minorHAnsi"/>
        </w:rPr>
        <w:t xml:space="preserve">) </w:t>
      </w:r>
    </w:p>
    <w:p w14:paraId="3799B317" w14:textId="77777777" w:rsidR="00C721F8" w:rsidRDefault="00C721F8" w:rsidP="00C721F8">
      <w:pPr>
        <w:pStyle w:val="ListParagraph"/>
        <w:jc w:val="both"/>
        <w:rPr>
          <w:rFonts w:cstheme="minorHAnsi"/>
        </w:rPr>
      </w:pPr>
    </w:p>
    <w:p w14:paraId="1E785286" w14:textId="77777777" w:rsidR="00C721F8" w:rsidRDefault="00C721F8" w:rsidP="00C721F8">
      <w:pPr>
        <w:pStyle w:val="ListParagraph"/>
        <w:numPr>
          <w:ilvl w:val="0"/>
          <w:numId w:val="26"/>
        </w:numPr>
        <w:spacing w:line="256" w:lineRule="auto"/>
        <w:jc w:val="both"/>
        <w:rPr>
          <w:rFonts w:cstheme="minorHAnsi"/>
        </w:rPr>
      </w:pPr>
      <w:r>
        <w:rPr>
          <w:rFonts w:cstheme="minorHAnsi"/>
        </w:rPr>
        <w:t>SensAbility Scheme - Housing Authority (</w:t>
      </w:r>
      <w:hyperlink r:id="rId13" w:history="1">
        <w:r>
          <w:rPr>
            <w:rStyle w:val="Hyperlink"/>
            <w:rFonts w:cstheme="minorHAnsi"/>
          </w:rPr>
          <w:t>https://housingauthority.gov.mt/services/repair-and-adaptations/repairs/skema-sensability/</w:t>
        </w:r>
      </w:hyperlink>
      <w:r>
        <w:rPr>
          <w:rFonts w:cstheme="minorHAnsi"/>
        </w:rPr>
        <w:t>)</w:t>
      </w:r>
    </w:p>
    <w:p w14:paraId="09029801" w14:textId="77777777" w:rsidR="00C721F8" w:rsidRDefault="00C721F8" w:rsidP="00C721F8">
      <w:pPr>
        <w:jc w:val="both"/>
        <w:rPr>
          <w:rFonts w:cstheme="minorHAnsi"/>
        </w:rPr>
      </w:pPr>
    </w:p>
    <w:p w14:paraId="438E101E" w14:textId="77777777" w:rsidR="00C721F8" w:rsidRDefault="00C721F8" w:rsidP="00C721F8">
      <w:pPr>
        <w:jc w:val="both"/>
        <w:rPr>
          <w:rFonts w:cstheme="minorHAnsi"/>
          <w:b/>
          <w:bCs/>
        </w:rPr>
      </w:pPr>
      <w:r>
        <w:rPr>
          <w:rFonts w:cstheme="minorHAnsi"/>
          <w:b/>
          <w:bCs/>
        </w:rPr>
        <w:t xml:space="preserve">(vi) </w:t>
      </w:r>
    </w:p>
    <w:p w14:paraId="3C0D19C1" w14:textId="77777777" w:rsidR="00C721F8" w:rsidRDefault="00C721F8" w:rsidP="00C721F8">
      <w:pPr>
        <w:pStyle w:val="ListParagraph"/>
        <w:numPr>
          <w:ilvl w:val="0"/>
          <w:numId w:val="27"/>
        </w:numPr>
        <w:spacing w:line="256" w:lineRule="auto"/>
        <w:jc w:val="both"/>
        <w:rPr>
          <w:rFonts w:cstheme="minorHAnsi"/>
        </w:rPr>
      </w:pPr>
      <w:r>
        <w:rPr>
          <w:rFonts w:cstheme="minorHAnsi"/>
        </w:rPr>
        <w:t xml:space="preserve">UNCRPD Act (Cap. 627) </w:t>
      </w:r>
    </w:p>
    <w:p w14:paraId="223D5823" w14:textId="77777777" w:rsidR="00C721F8" w:rsidRDefault="00C721F8" w:rsidP="00C721F8">
      <w:pPr>
        <w:pStyle w:val="ListParagraph"/>
        <w:numPr>
          <w:ilvl w:val="0"/>
          <w:numId w:val="27"/>
        </w:numPr>
        <w:spacing w:line="256" w:lineRule="auto"/>
        <w:jc w:val="both"/>
        <w:rPr>
          <w:rFonts w:cstheme="minorHAnsi"/>
        </w:rPr>
      </w:pPr>
      <w:r>
        <w:rPr>
          <w:rFonts w:cstheme="minorHAnsi"/>
        </w:rPr>
        <w:t xml:space="preserve">2021-2030 National Disability Strategy </w:t>
      </w:r>
    </w:p>
    <w:p w14:paraId="72EE5A32" w14:textId="77777777" w:rsidR="00C721F8" w:rsidRDefault="00C721F8" w:rsidP="00C721F8">
      <w:pPr>
        <w:pStyle w:val="ListParagraph"/>
        <w:numPr>
          <w:ilvl w:val="0"/>
          <w:numId w:val="27"/>
        </w:numPr>
        <w:spacing w:line="256" w:lineRule="auto"/>
        <w:jc w:val="both"/>
        <w:rPr>
          <w:rFonts w:cstheme="minorHAnsi"/>
        </w:rPr>
      </w:pPr>
      <w:r>
        <w:rPr>
          <w:rFonts w:cstheme="minorHAnsi"/>
        </w:rPr>
        <w:t xml:space="preserve">Agenzija Sapport Strategic Plan </w:t>
      </w:r>
    </w:p>
    <w:p w14:paraId="583073F6" w14:textId="77777777" w:rsidR="00C721F8" w:rsidRDefault="00C721F8" w:rsidP="00C721F8">
      <w:pPr>
        <w:pStyle w:val="ListParagraph"/>
        <w:numPr>
          <w:ilvl w:val="0"/>
          <w:numId w:val="27"/>
        </w:numPr>
        <w:spacing w:line="256" w:lineRule="auto"/>
        <w:jc w:val="both"/>
        <w:rPr>
          <w:rFonts w:cstheme="minorHAnsi"/>
        </w:rPr>
      </w:pPr>
      <w:r>
        <w:rPr>
          <w:rFonts w:cstheme="minorHAnsi"/>
        </w:rPr>
        <w:t>Agenzija Sapport Schemes: Respite Services (Public Social Partnership), Community Services ex. Personal Care/ Assistance in Learning &amp; Participation in Housekeeping Skills/ Community Participation &amp; Social Skills / Engagement in Leisure Activities ex. Sharing Lives Programme</w:t>
      </w:r>
    </w:p>
    <w:p w14:paraId="2D5F2781" w14:textId="77777777" w:rsidR="00C721F8" w:rsidRDefault="00C721F8" w:rsidP="00C721F8">
      <w:pPr>
        <w:pStyle w:val="ListParagraph"/>
        <w:numPr>
          <w:ilvl w:val="0"/>
          <w:numId w:val="27"/>
        </w:numPr>
        <w:spacing w:line="256" w:lineRule="auto"/>
        <w:jc w:val="both"/>
        <w:rPr>
          <w:rFonts w:cstheme="minorHAnsi"/>
        </w:rPr>
      </w:pPr>
      <w:r>
        <w:rPr>
          <w:rFonts w:cstheme="minorHAnsi"/>
        </w:rPr>
        <w:t>Disability Benefits: Disability Assistance (DA), Severe Disability Assistance (SDA), Increased Severe Disability Assistance (ISDA), Assistance for the Visually Impaired (AVI), Disabled Child Allowance (DCA) - Department for Social Security (DSS)-Ministry for Social Policy and Children's Rights (MSPC)</w:t>
      </w:r>
    </w:p>
    <w:p w14:paraId="367B5249" w14:textId="77777777" w:rsidR="00C721F8" w:rsidRDefault="00C721F8" w:rsidP="00C721F8">
      <w:pPr>
        <w:jc w:val="both"/>
        <w:rPr>
          <w:rFonts w:cstheme="minorHAnsi"/>
        </w:rPr>
      </w:pPr>
    </w:p>
    <w:p w14:paraId="34108CDE" w14:textId="77777777" w:rsidR="00C721F8" w:rsidRDefault="00C721F8" w:rsidP="00C721F8">
      <w:pPr>
        <w:jc w:val="both"/>
        <w:rPr>
          <w:rFonts w:cstheme="minorHAnsi"/>
          <w:b/>
          <w:bCs/>
        </w:rPr>
      </w:pPr>
      <w:r>
        <w:rPr>
          <w:rFonts w:cstheme="minorHAnsi"/>
          <w:b/>
          <w:bCs/>
        </w:rPr>
        <w:t xml:space="preserve">(vii) </w:t>
      </w:r>
    </w:p>
    <w:p w14:paraId="79F8EC06" w14:textId="77777777" w:rsidR="00C721F8" w:rsidRDefault="00C721F8" w:rsidP="00C721F8">
      <w:pPr>
        <w:pStyle w:val="ListParagraph"/>
        <w:numPr>
          <w:ilvl w:val="0"/>
          <w:numId w:val="28"/>
        </w:numPr>
        <w:spacing w:line="256" w:lineRule="auto"/>
        <w:jc w:val="both"/>
        <w:rPr>
          <w:rFonts w:cstheme="minorHAnsi"/>
        </w:rPr>
      </w:pPr>
      <w:r>
        <w:rPr>
          <w:rFonts w:cstheme="minorHAnsi"/>
        </w:rPr>
        <w:t xml:space="preserve">UNCRPD Act (Cap. 627) </w:t>
      </w:r>
    </w:p>
    <w:p w14:paraId="1C6CAD33" w14:textId="77777777" w:rsidR="00C721F8" w:rsidRDefault="00C721F8" w:rsidP="00C721F8">
      <w:pPr>
        <w:pStyle w:val="ListParagraph"/>
        <w:numPr>
          <w:ilvl w:val="0"/>
          <w:numId w:val="28"/>
        </w:numPr>
        <w:spacing w:line="256" w:lineRule="auto"/>
        <w:jc w:val="both"/>
        <w:rPr>
          <w:rFonts w:cstheme="minorHAnsi"/>
        </w:rPr>
      </w:pPr>
      <w:r>
        <w:rPr>
          <w:rFonts w:cstheme="minorHAnsi"/>
        </w:rPr>
        <w:t xml:space="preserve">2021-2030 National Disability Strategy </w:t>
      </w:r>
    </w:p>
    <w:p w14:paraId="1685256D" w14:textId="77777777" w:rsidR="00C721F8" w:rsidRDefault="00C721F8" w:rsidP="00C721F8">
      <w:pPr>
        <w:pStyle w:val="ListParagraph"/>
        <w:numPr>
          <w:ilvl w:val="0"/>
          <w:numId w:val="28"/>
        </w:numPr>
        <w:spacing w:line="256" w:lineRule="auto"/>
        <w:jc w:val="both"/>
        <w:rPr>
          <w:rFonts w:cstheme="minorHAnsi"/>
        </w:rPr>
      </w:pPr>
      <w:r>
        <w:rPr>
          <w:rFonts w:cstheme="minorHAnsi"/>
        </w:rPr>
        <w:t xml:space="preserve">Agenzija Sapport Strategic Plan </w:t>
      </w:r>
    </w:p>
    <w:p w14:paraId="5B960803" w14:textId="77777777" w:rsidR="00C721F8" w:rsidRDefault="00C721F8" w:rsidP="00C721F8">
      <w:pPr>
        <w:pStyle w:val="ListParagraph"/>
        <w:numPr>
          <w:ilvl w:val="0"/>
          <w:numId w:val="28"/>
        </w:numPr>
        <w:spacing w:line="256" w:lineRule="auto"/>
        <w:jc w:val="both"/>
        <w:rPr>
          <w:rFonts w:cstheme="minorHAnsi"/>
        </w:rPr>
      </w:pPr>
      <w:r>
        <w:rPr>
          <w:rFonts w:cstheme="minorHAnsi"/>
        </w:rPr>
        <w:t xml:space="preserve">Agenzija Sapport/ Finance Ministry (MFE) - Vehicle Road Licence Exemption Scheme, Vehicle Registration Tax Exemption Scheme </w:t>
      </w:r>
    </w:p>
    <w:p w14:paraId="0C7A4637" w14:textId="77777777" w:rsidR="00C721F8" w:rsidRDefault="00C721F8" w:rsidP="00C721F8">
      <w:pPr>
        <w:pStyle w:val="ListParagraph"/>
        <w:numPr>
          <w:ilvl w:val="0"/>
          <w:numId w:val="28"/>
        </w:numPr>
        <w:spacing w:line="256" w:lineRule="auto"/>
        <w:jc w:val="both"/>
        <w:rPr>
          <w:rFonts w:cstheme="minorHAnsi"/>
        </w:rPr>
      </w:pPr>
      <w:r>
        <w:rPr>
          <w:rFonts w:cstheme="minorHAnsi"/>
        </w:rPr>
        <w:t>Agenzija Sapport Empowerment Scheme (used for ex. purchase of items to facilitate independent living)</w:t>
      </w:r>
    </w:p>
    <w:p w14:paraId="49E460E1" w14:textId="77777777" w:rsidR="00C721F8" w:rsidRDefault="00C721F8" w:rsidP="00C721F8">
      <w:pPr>
        <w:jc w:val="both"/>
        <w:rPr>
          <w:rFonts w:cstheme="minorHAnsi"/>
        </w:rPr>
      </w:pPr>
    </w:p>
    <w:p w14:paraId="59657AB8" w14:textId="77777777" w:rsidR="00C721F8" w:rsidRDefault="00C721F8" w:rsidP="00C721F8">
      <w:pPr>
        <w:jc w:val="both"/>
        <w:rPr>
          <w:rFonts w:cstheme="minorHAnsi"/>
          <w:b/>
          <w:bCs/>
        </w:rPr>
      </w:pPr>
      <w:r>
        <w:rPr>
          <w:rFonts w:cstheme="minorHAnsi"/>
          <w:b/>
          <w:bCs/>
        </w:rPr>
        <w:t xml:space="preserve">1(b) </w:t>
      </w:r>
    </w:p>
    <w:p w14:paraId="2521BCA9" w14:textId="77777777" w:rsidR="00C721F8" w:rsidRDefault="00C721F8" w:rsidP="00C721F8">
      <w:pPr>
        <w:pStyle w:val="ListParagraph"/>
        <w:numPr>
          <w:ilvl w:val="0"/>
          <w:numId w:val="29"/>
        </w:numPr>
        <w:spacing w:line="256" w:lineRule="auto"/>
        <w:jc w:val="both"/>
        <w:rPr>
          <w:rFonts w:cstheme="minorHAnsi"/>
        </w:rPr>
      </w:pPr>
      <w:r>
        <w:rPr>
          <w:rFonts w:cstheme="minorHAnsi"/>
        </w:rPr>
        <w:t xml:space="preserve">Ministry for Finance and Employment (MFE) </w:t>
      </w:r>
    </w:p>
    <w:p w14:paraId="753E4C3A" w14:textId="77777777" w:rsidR="00C721F8" w:rsidRDefault="00C721F8" w:rsidP="00C721F8">
      <w:pPr>
        <w:pStyle w:val="ListParagraph"/>
        <w:numPr>
          <w:ilvl w:val="0"/>
          <w:numId w:val="29"/>
        </w:numPr>
        <w:spacing w:line="256" w:lineRule="auto"/>
        <w:jc w:val="both"/>
        <w:rPr>
          <w:rFonts w:cstheme="minorHAnsi"/>
        </w:rPr>
      </w:pPr>
      <w:r>
        <w:rPr>
          <w:rFonts w:cstheme="minorHAnsi"/>
        </w:rPr>
        <w:t xml:space="preserve">Ministry for Social Policy (MSPC) - Department for Social Security (DSS): Disability Assistance Schemes </w:t>
      </w:r>
    </w:p>
    <w:p w14:paraId="6702ADAE" w14:textId="77777777" w:rsidR="00C721F8" w:rsidRDefault="00C721F8" w:rsidP="00C721F8">
      <w:pPr>
        <w:pStyle w:val="ListParagraph"/>
        <w:numPr>
          <w:ilvl w:val="0"/>
          <w:numId w:val="29"/>
        </w:numPr>
        <w:spacing w:line="256" w:lineRule="auto"/>
        <w:jc w:val="both"/>
        <w:rPr>
          <w:rFonts w:cstheme="minorHAnsi"/>
        </w:rPr>
      </w:pPr>
      <w:r>
        <w:rPr>
          <w:rFonts w:cstheme="minorHAnsi"/>
        </w:rPr>
        <w:t xml:space="preserve">Housing Authority within Ministry for Social and Affordable Accommodation (MSAA): New Hope, SensAbility, Housing Authority Disability Schemes </w:t>
      </w:r>
    </w:p>
    <w:p w14:paraId="2F10DCEE" w14:textId="77777777" w:rsidR="00C721F8" w:rsidRDefault="00C721F8" w:rsidP="00C721F8">
      <w:pPr>
        <w:pStyle w:val="ListParagraph"/>
        <w:numPr>
          <w:ilvl w:val="0"/>
          <w:numId w:val="29"/>
        </w:numPr>
        <w:spacing w:line="256" w:lineRule="auto"/>
        <w:jc w:val="both"/>
        <w:rPr>
          <w:rFonts w:cstheme="minorHAnsi"/>
        </w:rPr>
      </w:pPr>
      <w:r>
        <w:rPr>
          <w:rFonts w:cstheme="minorHAnsi"/>
        </w:rPr>
        <w:t>Ministry for Inclusion, Voluntary Organisations and Consumer Rights (MIVC) - Directorate for Disability Issues (DDI): development/ implementation of Legislation, Strategies and Policies</w:t>
      </w:r>
    </w:p>
    <w:p w14:paraId="351F4384" w14:textId="77777777" w:rsidR="00C721F8" w:rsidRDefault="00C721F8" w:rsidP="00C721F8">
      <w:pPr>
        <w:pStyle w:val="ListParagraph"/>
        <w:numPr>
          <w:ilvl w:val="0"/>
          <w:numId w:val="29"/>
        </w:numPr>
        <w:spacing w:line="256" w:lineRule="auto"/>
        <w:jc w:val="both"/>
        <w:rPr>
          <w:rFonts w:cstheme="minorHAnsi"/>
        </w:rPr>
      </w:pPr>
      <w:r>
        <w:rPr>
          <w:rFonts w:cstheme="minorHAnsi"/>
        </w:rPr>
        <w:t>Agenzija Sapport within MIVC: specific Schemes operated by this entity</w:t>
      </w:r>
    </w:p>
    <w:p w14:paraId="0B6DE191" w14:textId="77777777" w:rsidR="00C721F8" w:rsidRDefault="00C721F8" w:rsidP="00C721F8">
      <w:pPr>
        <w:jc w:val="both"/>
        <w:rPr>
          <w:rFonts w:cstheme="minorHAnsi"/>
        </w:rPr>
      </w:pPr>
    </w:p>
    <w:p w14:paraId="11733D83" w14:textId="77777777" w:rsidR="00C721F8" w:rsidRDefault="00C721F8" w:rsidP="00C721F8">
      <w:pPr>
        <w:jc w:val="both"/>
        <w:rPr>
          <w:rFonts w:cstheme="minorHAnsi"/>
          <w:b/>
          <w:bCs/>
        </w:rPr>
      </w:pPr>
      <w:r>
        <w:rPr>
          <w:rFonts w:cstheme="minorHAnsi"/>
          <w:b/>
          <w:bCs/>
        </w:rPr>
        <w:t xml:space="preserve">1(c) </w:t>
      </w:r>
    </w:p>
    <w:p w14:paraId="0D0B8929" w14:textId="77777777" w:rsidR="00C721F8" w:rsidRDefault="00C721F8" w:rsidP="00C721F8">
      <w:pPr>
        <w:pStyle w:val="ListParagraph"/>
        <w:numPr>
          <w:ilvl w:val="0"/>
          <w:numId w:val="30"/>
        </w:numPr>
        <w:spacing w:line="256" w:lineRule="auto"/>
        <w:jc w:val="both"/>
        <w:rPr>
          <w:rFonts w:cstheme="minorHAnsi"/>
        </w:rPr>
      </w:pPr>
      <w:r>
        <w:rPr>
          <w:rFonts w:cstheme="minorHAnsi"/>
        </w:rPr>
        <w:t xml:space="preserve">Ongoing consultations between MIVC-DDI, especially through ENGAGE, the Directorate's civil society participation mechanism set up under the UNCRPD Act (Cap. 627), and the Commission for the Rights of Persons with Disability (CRPD), Malta's monitoring mechanism in terms of </w:t>
      </w:r>
      <w:r>
        <w:rPr>
          <w:rFonts w:cstheme="minorHAnsi"/>
        </w:rPr>
        <w:lastRenderedPageBreak/>
        <w:t>Art. 33(2) UNCRPD, with the Malta Federation of Organisations of Persons with Disability (MFOPD) and different disabled people's organisations (DPOs), in respect of annual national budget allocations, and specific initiatives</w:t>
      </w:r>
    </w:p>
    <w:p w14:paraId="34514D0A" w14:textId="77777777" w:rsidR="00C721F8" w:rsidRDefault="00C721F8" w:rsidP="00C721F8">
      <w:pPr>
        <w:pStyle w:val="ListParagraph"/>
        <w:numPr>
          <w:ilvl w:val="0"/>
          <w:numId w:val="30"/>
        </w:numPr>
        <w:spacing w:line="256" w:lineRule="auto"/>
        <w:jc w:val="both"/>
        <w:rPr>
          <w:rFonts w:cstheme="minorHAnsi"/>
        </w:rPr>
      </w:pPr>
      <w:r>
        <w:rPr>
          <w:rFonts w:cstheme="minorHAnsi"/>
        </w:rPr>
        <w:t>Agenzija Sapport Consultative Committee &amp; Service User Committees</w:t>
      </w:r>
    </w:p>
    <w:p w14:paraId="2E0557F1" w14:textId="77777777" w:rsidR="00C721F8" w:rsidRDefault="00C721F8" w:rsidP="00C721F8">
      <w:pPr>
        <w:jc w:val="both"/>
        <w:rPr>
          <w:rFonts w:cstheme="minorHAnsi"/>
        </w:rPr>
      </w:pPr>
    </w:p>
    <w:p w14:paraId="1E0B9431" w14:textId="77777777" w:rsidR="00C721F8" w:rsidRDefault="00C721F8" w:rsidP="00C721F8">
      <w:pPr>
        <w:jc w:val="both"/>
        <w:rPr>
          <w:rFonts w:cstheme="minorHAnsi"/>
          <w:b/>
          <w:bCs/>
        </w:rPr>
      </w:pPr>
      <w:r>
        <w:rPr>
          <w:rFonts w:cstheme="minorHAnsi"/>
          <w:b/>
          <w:bCs/>
        </w:rPr>
        <w:t xml:space="preserve">1(d) </w:t>
      </w:r>
    </w:p>
    <w:p w14:paraId="3D40D4E6" w14:textId="77777777" w:rsidR="00C721F8" w:rsidRDefault="00C721F8" w:rsidP="00C721F8">
      <w:pPr>
        <w:pStyle w:val="ListParagraph"/>
        <w:numPr>
          <w:ilvl w:val="0"/>
          <w:numId w:val="31"/>
        </w:numPr>
        <w:spacing w:line="256" w:lineRule="auto"/>
        <w:jc w:val="both"/>
        <w:rPr>
          <w:rFonts w:cstheme="minorHAnsi"/>
        </w:rPr>
      </w:pPr>
      <w:r>
        <w:rPr>
          <w:rFonts w:cstheme="minorHAnsi"/>
        </w:rPr>
        <w:t>ENGAGE: as per Subsidiary Legislation 627.02 (ENGAGE Regulations, 2022) in terms of the UNCRPD Act (Cap. 627)</w:t>
      </w:r>
    </w:p>
    <w:p w14:paraId="1E58BC6C" w14:textId="77777777" w:rsidR="00C721F8" w:rsidRDefault="00C721F8" w:rsidP="00C721F8">
      <w:pPr>
        <w:pStyle w:val="ListParagraph"/>
        <w:numPr>
          <w:ilvl w:val="0"/>
          <w:numId w:val="31"/>
        </w:numPr>
        <w:spacing w:line="256" w:lineRule="auto"/>
        <w:jc w:val="both"/>
        <w:rPr>
          <w:rFonts w:cstheme="minorHAnsi"/>
        </w:rPr>
      </w:pPr>
      <w:r>
        <w:rPr>
          <w:rFonts w:cstheme="minorHAnsi"/>
        </w:rPr>
        <w:t xml:space="preserve">CRPD through its structures, including their Council on the Rights of Persons with Disability (art. 24, Equal Opportunities (Persons with Disability) Act (Cap. 413)) </w:t>
      </w:r>
    </w:p>
    <w:p w14:paraId="5B223156" w14:textId="77777777" w:rsidR="00C721F8" w:rsidRDefault="00C721F8" w:rsidP="00C721F8">
      <w:pPr>
        <w:pStyle w:val="ListParagraph"/>
        <w:numPr>
          <w:ilvl w:val="0"/>
          <w:numId w:val="31"/>
        </w:numPr>
        <w:spacing w:line="256" w:lineRule="auto"/>
        <w:jc w:val="both"/>
        <w:rPr>
          <w:rFonts w:cstheme="minorHAnsi"/>
        </w:rPr>
      </w:pPr>
      <w:r>
        <w:rPr>
          <w:rFonts w:cstheme="minorHAnsi"/>
        </w:rPr>
        <w:t xml:space="preserve">MFOPD further to Memorandum of Understanding with Government </w:t>
      </w:r>
    </w:p>
    <w:p w14:paraId="228841C4" w14:textId="77777777" w:rsidR="00C721F8" w:rsidRDefault="00C721F8" w:rsidP="00C721F8">
      <w:pPr>
        <w:pStyle w:val="ListParagraph"/>
        <w:numPr>
          <w:ilvl w:val="0"/>
          <w:numId w:val="31"/>
        </w:numPr>
        <w:spacing w:line="256" w:lineRule="auto"/>
        <w:jc w:val="both"/>
        <w:rPr>
          <w:rFonts w:cstheme="minorHAnsi"/>
        </w:rPr>
      </w:pPr>
      <w:r>
        <w:rPr>
          <w:rFonts w:cstheme="minorHAnsi"/>
        </w:rPr>
        <w:t xml:space="preserve">Agenzija Sapport – as per Strategic Policy </w:t>
      </w:r>
    </w:p>
    <w:p w14:paraId="6E975AE9" w14:textId="77777777" w:rsidR="00C721F8" w:rsidRDefault="00C721F8" w:rsidP="00C721F8">
      <w:pPr>
        <w:pStyle w:val="ListParagraph"/>
        <w:numPr>
          <w:ilvl w:val="0"/>
          <w:numId w:val="31"/>
        </w:numPr>
        <w:spacing w:line="256" w:lineRule="auto"/>
        <w:jc w:val="both"/>
        <w:rPr>
          <w:rFonts w:cstheme="minorHAnsi"/>
        </w:rPr>
      </w:pPr>
      <w:r>
        <w:rPr>
          <w:rFonts w:cstheme="minorHAnsi"/>
        </w:rPr>
        <w:t>Otherwise, through ad hoc initiatives</w:t>
      </w:r>
    </w:p>
    <w:p w14:paraId="3F879A00" w14:textId="77777777" w:rsidR="00C721F8" w:rsidRDefault="00C721F8" w:rsidP="00C721F8">
      <w:pPr>
        <w:jc w:val="both"/>
        <w:rPr>
          <w:rFonts w:cstheme="minorHAnsi"/>
        </w:rPr>
      </w:pPr>
    </w:p>
    <w:p w14:paraId="502BC77E" w14:textId="77777777" w:rsidR="00C721F8" w:rsidRDefault="00C721F8" w:rsidP="00C721F8">
      <w:pPr>
        <w:jc w:val="both"/>
        <w:rPr>
          <w:rFonts w:cstheme="minorHAnsi"/>
          <w:b/>
          <w:bCs/>
        </w:rPr>
      </w:pPr>
      <w:r>
        <w:rPr>
          <w:rFonts w:cstheme="minorHAnsi"/>
          <w:b/>
          <w:bCs/>
        </w:rPr>
        <w:t xml:space="preserve">2(a) </w:t>
      </w:r>
    </w:p>
    <w:p w14:paraId="3A911047" w14:textId="77777777" w:rsidR="00C721F8" w:rsidRDefault="00C721F8" w:rsidP="00C721F8">
      <w:pPr>
        <w:jc w:val="both"/>
        <w:rPr>
          <w:rFonts w:cstheme="minorHAnsi"/>
        </w:rPr>
      </w:pPr>
      <w:r>
        <w:rPr>
          <w:rFonts w:cstheme="minorHAnsi"/>
        </w:rPr>
        <w:t>Currently, Social Security Act (Cap. 318) for MSPC-DSS Schemes, and UNCRPD Act (Cap. 627) guiding Agenzija Sapport, set up through Subsidiary Legislation 595.18 (Agenzija Sapport (Establishment as an Agency) Order) in terms of the Public Administration Act (Cap. 595).</w:t>
      </w:r>
    </w:p>
    <w:p w14:paraId="6A2A5606" w14:textId="77777777" w:rsidR="00C721F8" w:rsidRDefault="00C721F8" w:rsidP="00C721F8">
      <w:pPr>
        <w:jc w:val="both"/>
        <w:rPr>
          <w:rFonts w:cstheme="minorHAnsi"/>
        </w:rPr>
      </w:pPr>
      <w:r>
        <w:rPr>
          <w:rFonts w:cstheme="minorHAnsi"/>
        </w:rPr>
        <w:t>A reform is being undertaken, to eradicate the current fragmented system nationally, whereby different entities have divergent disability assessment and programme eligibility procedures – assessment is being synchronized into one holistic functioning-based assessment, in line with the UNCRPD, Action 1.3 of the 2021-2030 National Disability Strategy, and Government Electoral Manifesto Proposal 684, of which MIVC is Project Owner.</w:t>
      </w:r>
    </w:p>
    <w:p w14:paraId="75330309" w14:textId="77777777" w:rsidR="00C721F8" w:rsidRDefault="00C721F8" w:rsidP="00C721F8">
      <w:pPr>
        <w:jc w:val="both"/>
        <w:rPr>
          <w:rFonts w:cstheme="minorHAnsi"/>
        </w:rPr>
      </w:pPr>
    </w:p>
    <w:p w14:paraId="41086ED3" w14:textId="77777777" w:rsidR="00C721F8" w:rsidRDefault="00C721F8" w:rsidP="00C721F8">
      <w:pPr>
        <w:jc w:val="both"/>
        <w:rPr>
          <w:rFonts w:cstheme="minorHAnsi"/>
          <w:b/>
          <w:bCs/>
        </w:rPr>
      </w:pPr>
      <w:r>
        <w:rPr>
          <w:rFonts w:cstheme="minorHAnsi"/>
          <w:b/>
          <w:bCs/>
        </w:rPr>
        <w:t xml:space="preserve">2(b) </w:t>
      </w:r>
    </w:p>
    <w:p w14:paraId="7B90668C" w14:textId="77777777" w:rsidR="00C721F8" w:rsidRDefault="00C721F8" w:rsidP="00C721F8">
      <w:pPr>
        <w:jc w:val="both"/>
        <w:rPr>
          <w:rFonts w:cstheme="minorHAnsi"/>
        </w:rPr>
      </w:pPr>
      <w:r>
        <w:rPr>
          <w:rFonts w:cstheme="minorHAnsi"/>
        </w:rPr>
        <w:t>Financed by Budget allocations to Agenzija Sapport and MSPC-DSS - approximately 10% of the Maltese population is covered (a unified national disability database, in line with UNCRPD requirements, is a goal further to Actions 1.3 and 2.5 of the 2021-2030 National Disability Strategy)</w:t>
      </w:r>
    </w:p>
    <w:p w14:paraId="6DBAF727" w14:textId="77777777" w:rsidR="00C721F8" w:rsidRDefault="00C721F8" w:rsidP="00C721F8">
      <w:pPr>
        <w:jc w:val="both"/>
        <w:rPr>
          <w:rFonts w:cstheme="minorHAnsi"/>
        </w:rPr>
      </w:pPr>
    </w:p>
    <w:p w14:paraId="38A87B65" w14:textId="77777777" w:rsidR="00C721F8" w:rsidRDefault="00C721F8" w:rsidP="00C721F8">
      <w:pPr>
        <w:jc w:val="both"/>
        <w:rPr>
          <w:rFonts w:cstheme="minorHAnsi"/>
          <w:b/>
          <w:bCs/>
        </w:rPr>
      </w:pPr>
      <w:r>
        <w:rPr>
          <w:rFonts w:cstheme="minorHAnsi"/>
          <w:b/>
          <w:bCs/>
        </w:rPr>
        <w:t xml:space="preserve">3 </w:t>
      </w:r>
    </w:p>
    <w:p w14:paraId="32929EA5" w14:textId="77777777" w:rsidR="00C721F8" w:rsidRDefault="00C721F8" w:rsidP="00C721F8">
      <w:pPr>
        <w:jc w:val="both"/>
        <w:rPr>
          <w:rFonts w:cstheme="minorHAnsi"/>
        </w:rPr>
      </w:pPr>
      <w:r>
        <w:rPr>
          <w:rFonts w:cstheme="minorHAnsi"/>
        </w:rPr>
        <w:t>Yes – Vide Action 1.3 of the 2021-2030 National Disability Strategy, currently being developed collaboratively by relevant stakeholders, and further to obligation in Government Electoral Manifesto Proposal 684</w:t>
      </w:r>
    </w:p>
    <w:p w14:paraId="3DDCE853" w14:textId="77777777" w:rsidR="00C721F8" w:rsidRDefault="00C721F8" w:rsidP="00C721F8">
      <w:pPr>
        <w:jc w:val="both"/>
        <w:rPr>
          <w:rFonts w:cstheme="minorHAnsi"/>
        </w:rPr>
      </w:pPr>
    </w:p>
    <w:p w14:paraId="5EC97D76" w14:textId="77777777" w:rsidR="00C721F8" w:rsidRDefault="00C721F8" w:rsidP="00C721F8">
      <w:pPr>
        <w:jc w:val="both"/>
        <w:rPr>
          <w:rFonts w:cstheme="minorHAnsi"/>
          <w:b/>
          <w:bCs/>
        </w:rPr>
      </w:pPr>
      <w:r>
        <w:rPr>
          <w:rFonts w:cstheme="minorHAnsi"/>
          <w:b/>
          <w:bCs/>
        </w:rPr>
        <w:t xml:space="preserve">4 </w:t>
      </w:r>
    </w:p>
    <w:p w14:paraId="72DEF261" w14:textId="77777777" w:rsidR="00C721F8" w:rsidRDefault="00C721F8" w:rsidP="00C721F8">
      <w:pPr>
        <w:pStyle w:val="ListParagraph"/>
        <w:numPr>
          <w:ilvl w:val="0"/>
          <w:numId w:val="32"/>
        </w:numPr>
        <w:spacing w:line="256" w:lineRule="auto"/>
        <w:jc w:val="both"/>
        <w:rPr>
          <w:rFonts w:cstheme="minorHAnsi"/>
        </w:rPr>
      </w:pPr>
      <w:r>
        <w:rPr>
          <w:rFonts w:cstheme="minorHAnsi"/>
        </w:rPr>
        <w:t xml:space="preserve">Agenzija Sapport Schemes: Kindly refer to latest Agenzija Sapport Annual Report: https://sapport.gov.mt/en/Downloads/Documents/AGENZIJA%20SAPPORT%20ANNUAL%20REPORT%202020.pdf </w:t>
      </w:r>
    </w:p>
    <w:p w14:paraId="6E055D42" w14:textId="77777777" w:rsidR="00C721F8" w:rsidRDefault="00C721F8" w:rsidP="00C721F8">
      <w:pPr>
        <w:pStyle w:val="ListParagraph"/>
        <w:jc w:val="both"/>
        <w:rPr>
          <w:rFonts w:cstheme="minorHAnsi"/>
        </w:rPr>
      </w:pPr>
    </w:p>
    <w:p w14:paraId="5ED7AE14" w14:textId="77777777" w:rsidR="00C721F8" w:rsidRDefault="00C721F8" w:rsidP="00C721F8">
      <w:pPr>
        <w:pStyle w:val="ListParagraph"/>
        <w:numPr>
          <w:ilvl w:val="0"/>
          <w:numId w:val="32"/>
        </w:numPr>
        <w:spacing w:line="256" w:lineRule="auto"/>
        <w:jc w:val="both"/>
        <w:rPr>
          <w:rFonts w:cstheme="minorHAnsi"/>
        </w:rPr>
      </w:pPr>
      <w:r>
        <w:rPr>
          <w:rFonts w:cstheme="minorHAnsi"/>
        </w:rPr>
        <w:t xml:space="preserve">Housing Authority Schemes: </w:t>
      </w:r>
    </w:p>
    <w:p w14:paraId="133E0DE9" w14:textId="77777777" w:rsidR="00C721F8" w:rsidRDefault="00C721F8" w:rsidP="00C721F8">
      <w:pPr>
        <w:pStyle w:val="ListParagraph"/>
        <w:jc w:val="both"/>
        <w:rPr>
          <w:rFonts w:cstheme="minorHAnsi"/>
        </w:rPr>
      </w:pPr>
    </w:p>
    <w:p w14:paraId="4EA8528D" w14:textId="77777777" w:rsidR="00C721F8" w:rsidRDefault="00C721F8" w:rsidP="00C721F8">
      <w:pPr>
        <w:pStyle w:val="ListParagraph"/>
        <w:numPr>
          <w:ilvl w:val="0"/>
          <w:numId w:val="33"/>
        </w:numPr>
        <w:spacing w:line="256" w:lineRule="auto"/>
        <w:jc w:val="both"/>
        <w:rPr>
          <w:rFonts w:cstheme="minorHAnsi"/>
        </w:rPr>
      </w:pPr>
      <w:r>
        <w:rPr>
          <w:rFonts w:cstheme="minorHAnsi"/>
        </w:rPr>
        <w:t xml:space="preserve">New Hope: 7 applications in 2021, of which 1 Invalid, 2 Processed, 2 Pending Verification of Assets, 2 Pending Verification by CRPD </w:t>
      </w:r>
    </w:p>
    <w:p w14:paraId="2A73B9D3" w14:textId="77777777" w:rsidR="00C721F8" w:rsidRDefault="00C721F8" w:rsidP="00C721F8">
      <w:pPr>
        <w:pStyle w:val="ListParagraph"/>
        <w:jc w:val="both"/>
        <w:rPr>
          <w:rFonts w:cstheme="minorHAnsi"/>
        </w:rPr>
      </w:pPr>
    </w:p>
    <w:p w14:paraId="34AC9BE2" w14:textId="77777777" w:rsidR="00C721F8" w:rsidRDefault="00C721F8" w:rsidP="00C721F8">
      <w:pPr>
        <w:pStyle w:val="ListParagraph"/>
        <w:numPr>
          <w:ilvl w:val="0"/>
          <w:numId w:val="33"/>
        </w:numPr>
        <w:spacing w:line="256" w:lineRule="auto"/>
        <w:jc w:val="both"/>
        <w:rPr>
          <w:rFonts w:cstheme="minorHAnsi"/>
        </w:rPr>
      </w:pPr>
      <w:r>
        <w:rPr>
          <w:rFonts w:cstheme="minorHAnsi"/>
        </w:rPr>
        <w:t>Disability Scheme: 167 agreements signed, for a total value of €787,822, in 2021</w:t>
      </w:r>
    </w:p>
    <w:p w14:paraId="5CE50AD6" w14:textId="77777777" w:rsidR="00C721F8" w:rsidRDefault="00C721F8" w:rsidP="00C721F8">
      <w:pPr>
        <w:pStyle w:val="ListParagraph"/>
        <w:rPr>
          <w:rFonts w:cstheme="minorHAnsi"/>
        </w:rPr>
      </w:pPr>
    </w:p>
    <w:p w14:paraId="59DD967F" w14:textId="77777777" w:rsidR="00C721F8" w:rsidRDefault="00C721F8" w:rsidP="00C721F8">
      <w:pPr>
        <w:pStyle w:val="ListParagraph"/>
        <w:numPr>
          <w:ilvl w:val="0"/>
          <w:numId w:val="33"/>
        </w:numPr>
        <w:spacing w:line="256" w:lineRule="auto"/>
        <w:jc w:val="both"/>
        <w:rPr>
          <w:rFonts w:cstheme="minorHAnsi"/>
        </w:rPr>
      </w:pPr>
      <w:r>
        <w:rPr>
          <w:rFonts w:cstheme="minorHAnsi"/>
        </w:rPr>
        <w:t xml:space="preserve">SensAbility Scheme: 20 applications received in 2021, currently being processed </w:t>
      </w:r>
    </w:p>
    <w:p w14:paraId="24E36F6A" w14:textId="77777777" w:rsidR="00C721F8" w:rsidRDefault="00C721F8" w:rsidP="00C721F8">
      <w:pPr>
        <w:pStyle w:val="ListParagraph"/>
        <w:jc w:val="both"/>
        <w:rPr>
          <w:rFonts w:cstheme="minorHAnsi"/>
        </w:rPr>
      </w:pPr>
    </w:p>
    <w:p w14:paraId="4435F0DA" w14:textId="77777777" w:rsidR="00C721F8" w:rsidRDefault="00C721F8" w:rsidP="00C721F8">
      <w:pPr>
        <w:pStyle w:val="ListParagraph"/>
        <w:numPr>
          <w:ilvl w:val="0"/>
          <w:numId w:val="34"/>
        </w:numPr>
        <w:spacing w:line="256" w:lineRule="auto"/>
        <w:jc w:val="both"/>
        <w:rPr>
          <w:rFonts w:cstheme="minorHAnsi"/>
        </w:rPr>
      </w:pPr>
      <w:r>
        <w:rPr>
          <w:rFonts w:cstheme="minorHAnsi"/>
        </w:rPr>
        <w:t>Department of Social Security Schemes: 7,173 disabled people are currently in receipt of such payments, with total disbursements amounting to €32,590,677.13 for 2021</w:t>
      </w:r>
    </w:p>
    <w:p w14:paraId="6465AFA3" w14:textId="77777777" w:rsidR="00C721F8" w:rsidRDefault="00C721F8" w:rsidP="00C721F8">
      <w:pPr>
        <w:jc w:val="both"/>
        <w:rPr>
          <w:rFonts w:cstheme="minorHAnsi"/>
        </w:rPr>
      </w:pPr>
    </w:p>
    <w:p w14:paraId="2C0FF541" w14:textId="77777777" w:rsidR="00C721F8" w:rsidRDefault="00C721F8" w:rsidP="00C721F8">
      <w:pPr>
        <w:jc w:val="both"/>
        <w:rPr>
          <w:rFonts w:cstheme="minorHAnsi"/>
          <w:b/>
          <w:bCs/>
        </w:rPr>
      </w:pPr>
      <w:r>
        <w:rPr>
          <w:rFonts w:cstheme="minorHAnsi"/>
          <w:b/>
          <w:bCs/>
        </w:rPr>
        <w:t xml:space="preserve">5 </w:t>
      </w:r>
    </w:p>
    <w:p w14:paraId="7B408DCF" w14:textId="77777777" w:rsidR="00C721F8" w:rsidRDefault="00C721F8" w:rsidP="00C721F8">
      <w:pPr>
        <w:jc w:val="both"/>
        <w:rPr>
          <w:rFonts w:cstheme="minorHAnsi"/>
        </w:rPr>
      </w:pPr>
      <w:r>
        <w:rPr>
          <w:rFonts w:cstheme="minorHAnsi"/>
        </w:rPr>
        <w:t>No such data is available</w:t>
      </w:r>
    </w:p>
    <w:p w14:paraId="643FB55F" w14:textId="77777777" w:rsidR="00841806" w:rsidRDefault="00841806" w:rsidP="00C721F8">
      <w:pPr>
        <w:tabs>
          <w:tab w:val="left" w:pos="2070"/>
        </w:tabs>
        <w:overflowPunct w:val="0"/>
        <w:autoSpaceDE w:val="0"/>
        <w:autoSpaceDN w:val="0"/>
        <w:adjustRightInd w:val="0"/>
        <w:spacing w:line="260" w:lineRule="exact"/>
        <w:jc w:val="both"/>
        <w:textAlignment w:val="baseline"/>
        <w:rPr>
          <w:rFonts w:eastAsia="Times New Roman" w:cs="Times New Roman"/>
          <w:color w:val="000000"/>
          <w:sz w:val="22"/>
          <w:szCs w:val="22"/>
          <w:lang w:val="mt-MT"/>
        </w:rPr>
      </w:pPr>
    </w:p>
    <w:sectPr w:rsidR="00841806" w:rsidSect="009C6F52">
      <w:headerReference w:type="even" r:id="rId14"/>
      <w:headerReference w:type="default" r:id="rId15"/>
      <w:footerReference w:type="even" r:id="rId16"/>
      <w:footerReference w:type="default" r:id="rId17"/>
      <w:headerReference w:type="first" r:id="rId18"/>
      <w:footerReference w:type="first" r:id="rId19"/>
      <w:pgSz w:w="11900" w:h="16840"/>
      <w:pgMar w:top="2127" w:right="1127" w:bottom="1440" w:left="1276"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6598E" w14:textId="77777777" w:rsidR="00C03D93" w:rsidRDefault="00C03D93" w:rsidP="0066567E">
      <w:r>
        <w:separator/>
      </w:r>
    </w:p>
  </w:endnote>
  <w:endnote w:type="continuationSeparator" w:id="0">
    <w:p w14:paraId="4604710A" w14:textId="77777777" w:rsidR="00C03D93" w:rsidRDefault="00C03D93" w:rsidP="00665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12889465"/>
      <w:docPartObj>
        <w:docPartGallery w:val="Page Numbers (Bottom of Page)"/>
        <w:docPartUnique/>
      </w:docPartObj>
    </w:sdtPr>
    <w:sdtEndPr>
      <w:rPr>
        <w:rStyle w:val="PageNumber"/>
      </w:rPr>
    </w:sdtEndPr>
    <w:sdtContent>
      <w:p w14:paraId="7629CA3C" w14:textId="09E6D1D3" w:rsidR="008C79D9" w:rsidRDefault="008C79D9" w:rsidP="00C9473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D5A6F3" w14:textId="77777777" w:rsidR="008C79D9" w:rsidRDefault="008C79D9" w:rsidP="008C79D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533240"/>
      <w:docPartObj>
        <w:docPartGallery w:val="Page Numbers (Bottom of Page)"/>
        <w:docPartUnique/>
      </w:docPartObj>
    </w:sdtPr>
    <w:sdtEndPr>
      <w:rPr>
        <w:noProof/>
      </w:rPr>
    </w:sdtEndPr>
    <w:sdtContent>
      <w:p w14:paraId="68CABCB7" w14:textId="1C5146AA" w:rsidR="00852514" w:rsidRDefault="00852514">
        <w:pPr>
          <w:pStyle w:val="Footer"/>
          <w:jc w:val="right"/>
        </w:pPr>
        <w:r>
          <w:fldChar w:fldCharType="begin"/>
        </w:r>
        <w:r>
          <w:instrText xml:space="preserve"> PAGE   \* MERGEFORMAT </w:instrText>
        </w:r>
        <w:r>
          <w:fldChar w:fldCharType="separate"/>
        </w:r>
        <w:r w:rsidR="00C93CDA">
          <w:rPr>
            <w:noProof/>
          </w:rPr>
          <w:t>2</w:t>
        </w:r>
        <w:r>
          <w:rPr>
            <w:noProof/>
          </w:rPr>
          <w:fldChar w:fldCharType="end"/>
        </w:r>
      </w:p>
    </w:sdtContent>
  </w:sdt>
  <w:p w14:paraId="76D02E7D" w14:textId="77777777" w:rsidR="00161F59" w:rsidRDefault="00161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E2644" w14:textId="390C2468" w:rsidR="008C79D9" w:rsidRDefault="008C79D9">
    <w:pPr>
      <w:pStyle w:val="Footer"/>
    </w:pPr>
    <w:r>
      <w:rPr>
        <w:noProof/>
        <w:lang w:val="en-GB" w:eastAsia="en-GB"/>
      </w:rPr>
      <w:drawing>
        <wp:anchor distT="0" distB="0" distL="114300" distR="114300" simplePos="0" relativeHeight="251664384" behindDoc="1" locked="1" layoutInCell="1" allowOverlap="1" wp14:anchorId="21DD7D67" wp14:editId="4C6D5FFA">
          <wp:simplePos x="0" y="0"/>
          <wp:positionH relativeFrom="page">
            <wp:posOffset>3571875</wp:posOffset>
          </wp:positionH>
          <wp:positionV relativeFrom="page">
            <wp:posOffset>95250</wp:posOffset>
          </wp:positionV>
          <wp:extent cx="3942080" cy="106267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referRelativeResize="0"/>
                </pic:nvPicPr>
                <pic:blipFill>
                  <a:blip r:embed="rId1">
                    <a:extLst>
                      <a:ext uri="{BEBA8EAE-BF5A-486C-A8C5-ECC9F3942E4B}">
                        <a14:imgProps xmlns:a14="http://schemas.microsoft.com/office/drawing/2010/main">
                          <a14:imgLayer r:embed="rId2">
                            <a14:imgEffect>
                              <a14:brightnessContrast bright="-100000"/>
                            </a14:imgEffect>
                          </a14:imgLayer>
                        </a14:imgProps>
                      </a:ext>
                    </a:extLst>
                  </a:blip>
                  <a:stretch>
                    <a:fillRect/>
                  </a:stretch>
                </pic:blipFill>
                <pic:spPr>
                  <a:xfrm>
                    <a:off x="0" y="0"/>
                    <a:ext cx="3942080" cy="106267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3FAD2" w14:textId="77777777" w:rsidR="00C03D93" w:rsidRDefault="00C03D93" w:rsidP="0066567E">
      <w:r>
        <w:separator/>
      </w:r>
    </w:p>
  </w:footnote>
  <w:footnote w:type="continuationSeparator" w:id="0">
    <w:p w14:paraId="4FB983CD" w14:textId="77777777" w:rsidR="00C03D93" w:rsidRDefault="00C03D93" w:rsidP="00665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25F6B" w14:textId="77777777" w:rsidR="00BD30E1" w:rsidRDefault="00BD3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04521" w14:textId="0D98E90E" w:rsidR="0066567E" w:rsidRDefault="005B5AAE">
    <w:pPr>
      <w:pStyle w:val="Header"/>
    </w:pPr>
    <w:r>
      <w:rPr>
        <w:noProof/>
        <w:lang w:val="en-GB" w:eastAsia="en-GB"/>
      </w:rPr>
      <w:drawing>
        <wp:anchor distT="0" distB="0" distL="114300" distR="114300" simplePos="0" relativeHeight="251665408" behindDoc="0" locked="0" layoutInCell="1" allowOverlap="1" wp14:anchorId="63F36759" wp14:editId="6ADCA3B3">
          <wp:simplePos x="0" y="0"/>
          <wp:positionH relativeFrom="column">
            <wp:posOffset>-391160</wp:posOffset>
          </wp:positionH>
          <wp:positionV relativeFrom="paragraph">
            <wp:posOffset>53340</wp:posOffset>
          </wp:positionV>
          <wp:extent cx="3191777" cy="84582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BEBA8EAE-BF5A-486C-A8C5-ECC9F3942E4B}">
                        <a14:imgProps xmlns:a14="http://schemas.microsoft.com/office/drawing/2010/main">
                          <a14:imgLayer r:embed="rId2">
                            <a14:imgEffect>
                              <a14:brightnessContrast bright="-100000"/>
                            </a14:imgEffect>
                          </a14:imgLayer>
                        </a14:imgProps>
                      </a:ext>
                    </a:extLst>
                  </a:blip>
                  <a:stretch>
                    <a:fillRect/>
                  </a:stretch>
                </pic:blipFill>
                <pic:spPr bwMode="auto">
                  <a:xfrm>
                    <a:off x="0" y="0"/>
                    <a:ext cx="3191777" cy="845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F59">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73955" w14:textId="1BF55D86" w:rsidR="008C79D9" w:rsidRDefault="006D504B">
    <w:pPr>
      <w:pStyle w:val="Header"/>
    </w:pPr>
    <w:r>
      <w:rPr>
        <w:noProof/>
        <w:lang w:val="en-GB" w:eastAsia="en-GB"/>
      </w:rPr>
      <w:drawing>
        <wp:anchor distT="0" distB="0" distL="114300" distR="114300" simplePos="0" relativeHeight="251667456" behindDoc="0" locked="0" layoutInCell="1" allowOverlap="1" wp14:anchorId="2F118C5D" wp14:editId="10DBCBA6">
          <wp:simplePos x="0" y="0"/>
          <wp:positionH relativeFrom="column">
            <wp:posOffset>-381000</wp:posOffset>
          </wp:positionH>
          <wp:positionV relativeFrom="paragraph">
            <wp:posOffset>46990</wp:posOffset>
          </wp:positionV>
          <wp:extent cx="3191777" cy="84582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BEBA8EAE-BF5A-486C-A8C5-ECC9F3942E4B}">
                        <a14:imgProps xmlns:a14="http://schemas.microsoft.com/office/drawing/2010/main">
                          <a14:imgLayer r:embed="rId2">
                            <a14:imgEffect>
                              <a14:brightnessContrast bright="-100000"/>
                            </a14:imgEffect>
                          </a14:imgLayer>
                        </a14:imgProps>
                      </a:ext>
                    </a:extLst>
                  </a:blip>
                  <a:stretch>
                    <a:fillRect/>
                  </a:stretch>
                </pic:blipFill>
                <pic:spPr bwMode="auto">
                  <a:xfrm>
                    <a:off x="0" y="0"/>
                    <a:ext cx="3191777" cy="8458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5050"/>
    <w:multiLevelType w:val="hybridMultilevel"/>
    <w:tmpl w:val="BE4CF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A149A"/>
    <w:multiLevelType w:val="hybridMultilevel"/>
    <w:tmpl w:val="26725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024C0B"/>
    <w:multiLevelType w:val="hybridMultilevel"/>
    <w:tmpl w:val="1282410A"/>
    <w:lvl w:ilvl="0" w:tplc="0809000F">
      <w:start w:val="1"/>
      <w:numFmt w:val="decimal"/>
      <w:lvlText w:val="%1."/>
      <w:lvlJc w:val="left"/>
      <w:pPr>
        <w:ind w:left="360" w:hanging="360"/>
      </w:pPr>
      <w:rPr>
        <w:rFonts w:hint="default"/>
      </w:rPr>
    </w:lvl>
    <w:lvl w:ilvl="1" w:tplc="FECEDBA4">
      <w:start w:val="1"/>
      <w:numFmt w:val="lowerRoman"/>
      <w:lvlText w:val="(%2)"/>
      <w:lvlJc w:val="left"/>
      <w:pPr>
        <w:ind w:left="720" w:hanging="360"/>
      </w:pPr>
      <w:rPr>
        <w:rFonts w:hint="default"/>
      </w:rPr>
    </w:lvl>
    <w:lvl w:ilvl="2" w:tplc="0809001B">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 w15:restartNumberingAfterBreak="0">
    <w:nsid w:val="0BAA3473"/>
    <w:multiLevelType w:val="multilevel"/>
    <w:tmpl w:val="CCAC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56406"/>
    <w:multiLevelType w:val="hybridMultilevel"/>
    <w:tmpl w:val="05CEFCFA"/>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9343F"/>
    <w:multiLevelType w:val="hybridMultilevel"/>
    <w:tmpl w:val="3FD0A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74B2348"/>
    <w:multiLevelType w:val="hybridMultilevel"/>
    <w:tmpl w:val="63529D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FE68B4"/>
    <w:multiLevelType w:val="hybridMultilevel"/>
    <w:tmpl w:val="FD787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1E2001"/>
    <w:multiLevelType w:val="hybridMultilevel"/>
    <w:tmpl w:val="7DB28ABA"/>
    <w:lvl w:ilvl="0" w:tplc="239456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B831A7"/>
    <w:multiLevelType w:val="hybridMultilevel"/>
    <w:tmpl w:val="6FC0A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0EF0A15"/>
    <w:multiLevelType w:val="hybridMultilevel"/>
    <w:tmpl w:val="14484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4A339C"/>
    <w:multiLevelType w:val="hybridMultilevel"/>
    <w:tmpl w:val="3E082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2ED6142"/>
    <w:multiLevelType w:val="hybridMultilevel"/>
    <w:tmpl w:val="568A6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646FC6"/>
    <w:multiLevelType w:val="hybridMultilevel"/>
    <w:tmpl w:val="85962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E551273"/>
    <w:multiLevelType w:val="hybridMultilevel"/>
    <w:tmpl w:val="11AA1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09D12DC"/>
    <w:multiLevelType w:val="hybridMultilevel"/>
    <w:tmpl w:val="5EF69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A1537D"/>
    <w:multiLevelType w:val="hybridMultilevel"/>
    <w:tmpl w:val="310C2084"/>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6BF5EBE"/>
    <w:multiLevelType w:val="hybridMultilevel"/>
    <w:tmpl w:val="D86093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BE77F6"/>
    <w:multiLevelType w:val="hybridMultilevel"/>
    <w:tmpl w:val="D7FA54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A6E1E5E"/>
    <w:multiLevelType w:val="hybridMultilevel"/>
    <w:tmpl w:val="6EE6F78C"/>
    <w:lvl w:ilvl="0" w:tplc="FE326FD6">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B166006"/>
    <w:multiLevelType w:val="hybridMultilevel"/>
    <w:tmpl w:val="0456D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BFA78C6"/>
    <w:multiLevelType w:val="hybridMultilevel"/>
    <w:tmpl w:val="43A09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5606FD"/>
    <w:multiLevelType w:val="hybridMultilevel"/>
    <w:tmpl w:val="99C0F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40A4DCA"/>
    <w:multiLevelType w:val="hybridMultilevel"/>
    <w:tmpl w:val="C1AC8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185CD4"/>
    <w:multiLevelType w:val="hybridMultilevel"/>
    <w:tmpl w:val="0082FA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996E99"/>
    <w:multiLevelType w:val="hybridMultilevel"/>
    <w:tmpl w:val="7A4C37A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F62706"/>
    <w:multiLevelType w:val="multilevel"/>
    <w:tmpl w:val="A1C23A9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60A84EB0"/>
    <w:multiLevelType w:val="hybridMultilevel"/>
    <w:tmpl w:val="E50EE7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8" w15:restartNumberingAfterBreak="0">
    <w:nsid w:val="6A6318E4"/>
    <w:multiLevelType w:val="hybridMultilevel"/>
    <w:tmpl w:val="3AE0F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3BC4CD1"/>
    <w:multiLevelType w:val="hybridMultilevel"/>
    <w:tmpl w:val="6DC0C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5977B1D"/>
    <w:multiLevelType w:val="hybridMultilevel"/>
    <w:tmpl w:val="9F2040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68771CD"/>
    <w:multiLevelType w:val="hybridMultilevel"/>
    <w:tmpl w:val="424E09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F901C8B"/>
    <w:multiLevelType w:val="hybridMultilevel"/>
    <w:tmpl w:val="4D923C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FA8272E"/>
    <w:multiLevelType w:val="hybridMultilevel"/>
    <w:tmpl w:val="8C8A2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33"/>
  </w:num>
  <w:num w:numId="3">
    <w:abstractNumId w:val="12"/>
  </w:num>
  <w:num w:numId="4">
    <w:abstractNumId w:val="23"/>
  </w:num>
  <w:num w:numId="5">
    <w:abstractNumId w:val="2"/>
  </w:num>
  <w:num w:numId="6">
    <w:abstractNumId w:val="29"/>
  </w:num>
  <w:num w:numId="7">
    <w:abstractNumId w:val="32"/>
  </w:num>
  <w:num w:numId="8">
    <w:abstractNumId w:val="13"/>
  </w:num>
  <w:num w:numId="9">
    <w:abstractNumId w:val="25"/>
  </w:num>
  <w:num w:numId="10">
    <w:abstractNumId w:val="24"/>
  </w:num>
  <w:num w:numId="11">
    <w:abstractNumId w:val="26"/>
  </w:num>
  <w:num w:numId="12">
    <w:abstractNumId w:val="7"/>
  </w:num>
  <w:num w:numId="13">
    <w:abstractNumId w:val="6"/>
  </w:num>
  <w:num w:numId="14">
    <w:abstractNumId w:val="21"/>
  </w:num>
  <w:num w:numId="15">
    <w:abstractNumId w:val="10"/>
  </w:num>
  <w:num w:numId="16">
    <w:abstractNumId w:val="16"/>
  </w:num>
  <w:num w:numId="17">
    <w:abstractNumId w:val="30"/>
  </w:num>
  <w:num w:numId="18">
    <w:abstractNumId w:val="4"/>
  </w:num>
  <w:num w:numId="19">
    <w:abstractNumId w:val="3"/>
  </w:num>
  <w:num w:numId="20">
    <w:abstractNumId w:val="15"/>
  </w:num>
  <w:num w:numId="21">
    <w:abstractNumId w:val="8"/>
  </w:num>
  <w:num w:numId="22">
    <w:abstractNumId w:val="0"/>
  </w:num>
  <w:num w:numId="23">
    <w:abstractNumId w:val="11"/>
  </w:num>
  <w:num w:numId="24">
    <w:abstractNumId w:val="1"/>
  </w:num>
  <w:num w:numId="25">
    <w:abstractNumId w:val="5"/>
  </w:num>
  <w:num w:numId="26">
    <w:abstractNumId w:val="17"/>
  </w:num>
  <w:num w:numId="27">
    <w:abstractNumId w:val="28"/>
  </w:num>
  <w:num w:numId="28">
    <w:abstractNumId w:val="20"/>
  </w:num>
  <w:num w:numId="29">
    <w:abstractNumId w:val="14"/>
  </w:num>
  <w:num w:numId="30">
    <w:abstractNumId w:val="31"/>
  </w:num>
  <w:num w:numId="31">
    <w:abstractNumId w:val="22"/>
  </w:num>
  <w:num w:numId="32">
    <w:abstractNumId w:val="9"/>
  </w:num>
  <w:num w:numId="33">
    <w:abstractNumId w:val="19"/>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8A3"/>
    <w:rsid w:val="0002684C"/>
    <w:rsid w:val="000362B4"/>
    <w:rsid w:val="00065510"/>
    <w:rsid w:val="000D0163"/>
    <w:rsid w:val="00134D45"/>
    <w:rsid w:val="00152C46"/>
    <w:rsid w:val="00161F59"/>
    <w:rsid w:val="001A275B"/>
    <w:rsid w:val="001B6067"/>
    <w:rsid w:val="001C06A4"/>
    <w:rsid w:val="001C7AA6"/>
    <w:rsid w:val="001D239E"/>
    <w:rsid w:val="001D632B"/>
    <w:rsid w:val="001E3569"/>
    <w:rsid w:val="00207A79"/>
    <w:rsid w:val="002349F6"/>
    <w:rsid w:val="00235888"/>
    <w:rsid w:val="002B478D"/>
    <w:rsid w:val="002B79E4"/>
    <w:rsid w:val="002E17A6"/>
    <w:rsid w:val="002F333F"/>
    <w:rsid w:val="00322BF9"/>
    <w:rsid w:val="00323E46"/>
    <w:rsid w:val="00363BFB"/>
    <w:rsid w:val="003D35DE"/>
    <w:rsid w:val="003E2021"/>
    <w:rsid w:val="0043733B"/>
    <w:rsid w:val="00445764"/>
    <w:rsid w:val="004659F2"/>
    <w:rsid w:val="004F5EE9"/>
    <w:rsid w:val="004F6C8F"/>
    <w:rsid w:val="005162FE"/>
    <w:rsid w:val="00563615"/>
    <w:rsid w:val="005B5AAE"/>
    <w:rsid w:val="005B74D6"/>
    <w:rsid w:val="005C42F7"/>
    <w:rsid w:val="00645CC5"/>
    <w:rsid w:val="0066567E"/>
    <w:rsid w:val="006778A5"/>
    <w:rsid w:val="0068254E"/>
    <w:rsid w:val="00695583"/>
    <w:rsid w:val="006A2624"/>
    <w:rsid w:val="006D504B"/>
    <w:rsid w:val="006E645F"/>
    <w:rsid w:val="0070745D"/>
    <w:rsid w:val="0072134C"/>
    <w:rsid w:val="0074100F"/>
    <w:rsid w:val="00772EB6"/>
    <w:rsid w:val="0078546C"/>
    <w:rsid w:val="0079396B"/>
    <w:rsid w:val="007B674D"/>
    <w:rsid w:val="007D0AF9"/>
    <w:rsid w:val="00841806"/>
    <w:rsid w:val="00852514"/>
    <w:rsid w:val="008B5EA3"/>
    <w:rsid w:val="008B7A11"/>
    <w:rsid w:val="008C1E58"/>
    <w:rsid w:val="008C79D9"/>
    <w:rsid w:val="008D25DF"/>
    <w:rsid w:val="00916E1B"/>
    <w:rsid w:val="00917447"/>
    <w:rsid w:val="00930C47"/>
    <w:rsid w:val="00933928"/>
    <w:rsid w:val="00943C84"/>
    <w:rsid w:val="00944217"/>
    <w:rsid w:val="00956866"/>
    <w:rsid w:val="00973C4B"/>
    <w:rsid w:val="00983E5E"/>
    <w:rsid w:val="009954DF"/>
    <w:rsid w:val="009A3B47"/>
    <w:rsid w:val="009C6F52"/>
    <w:rsid w:val="009E2F63"/>
    <w:rsid w:val="00A0581C"/>
    <w:rsid w:val="00A061D6"/>
    <w:rsid w:val="00A2564E"/>
    <w:rsid w:val="00A31D40"/>
    <w:rsid w:val="00A46055"/>
    <w:rsid w:val="00A51386"/>
    <w:rsid w:val="00A57162"/>
    <w:rsid w:val="00A90C94"/>
    <w:rsid w:val="00AA335C"/>
    <w:rsid w:val="00AA40F6"/>
    <w:rsid w:val="00AB618D"/>
    <w:rsid w:val="00AE32CA"/>
    <w:rsid w:val="00AE4995"/>
    <w:rsid w:val="00B51262"/>
    <w:rsid w:val="00B865FA"/>
    <w:rsid w:val="00BA2602"/>
    <w:rsid w:val="00BC0BF9"/>
    <w:rsid w:val="00BD30E1"/>
    <w:rsid w:val="00C03D93"/>
    <w:rsid w:val="00C5618B"/>
    <w:rsid w:val="00C721F8"/>
    <w:rsid w:val="00C93CDA"/>
    <w:rsid w:val="00C9696B"/>
    <w:rsid w:val="00CB36EC"/>
    <w:rsid w:val="00CB6C8A"/>
    <w:rsid w:val="00CE68A3"/>
    <w:rsid w:val="00CF449A"/>
    <w:rsid w:val="00D33602"/>
    <w:rsid w:val="00D7028C"/>
    <w:rsid w:val="00D80F9B"/>
    <w:rsid w:val="00D87251"/>
    <w:rsid w:val="00DB5216"/>
    <w:rsid w:val="00DC370A"/>
    <w:rsid w:val="00DC6DD3"/>
    <w:rsid w:val="00DE49B0"/>
    <w:rsid w:val="00DF6870"/>
    <w:rsid w:val="00E117BD"/>
    <w:rsid w:val="00E41BD9"/>
    <w:rsid w:val="00E5493F"/>
    <w:rsid w:val="00E73BB3"/>
    <w:rsid w:val="00EE01C0"/>
    <w:rsid w:val="00EE329C"/>
    <w:rsid w:val="00EE73AD"/>
    <w:rsid w:val="00F15225"/>
    <w:rsid w:val="00F16F54"/>
    <w:rsid w:val="00F27B2E"/>
    <w:rsid w:val="00F43CA9"/>
    <w:rsid w:val="00F45DCC"/>
    <w:rsid w:val="00F870B0"/>
    <w:rsid w:val="00F946E0"/>
    <w:rsid w:val="00FB1E7E"/>
    <w:rsid w:val="00FD09E3"/>
    <w:rsid w:val="00FE519C"/>
    <w:rsid w:val="00FE7E0F"/>
    <w:rsid w:val="00FF4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5653CB8F"/>
  <w14:defaultImageDpi w14:val="300"/>
  <w15:docId w15:val="{CABB46D0-776E-2C4A-B89D-FC3A3D74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B606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C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3C4B"/>
    <w:rPr>
      <w:rFonts w:ascii="Lucida Grande" w:hAnsi="Lucida Grande" w:cs="Lucida Grande"/>
      <w:sz w:val="18"/>
      <w:szCs w:val="18"/>
    </w:rPr>
  </w:style>
  <w:style w:type="paragraph" w:styleId="Header">
    <w:name w:val="header"/>
    <w:basedOn w:val="Normal"/>
    <w:link w:val="HeaderChar"/>
    <w:uiPriority w:val="99"/>
    <w:unhideWhenUsed/>
    <w:rsid w:val="0066567E"/>
    <w:pPr>
      <w:tabs>
        <w:tab w:val="center" w:pos="4680"/>
        <w:tab w:val="right" w:pos="9360"/>
      </w:tabs>
    </w:pPr>
  </w:style>
  <w:style w:type="character" w:customStyle="1" w:styleId="HeaderChar">
    <w:name w:val="Header Char"/>
    <w:basedOn w:val="DefaultParagraphFont"/>
    <w:link w:val="Header"/>
    <w:uiPriority w:val="99"/>
    <w:rsid w:val="0066567E"/>
  </w:style>
  <w:style w:type="paragraph" w:styleId="Footer">
    <w:name w:val="footer"/>
    <w:basedOn w:val="Normal"/>
    <w:link w:val="FooterChar"/>
    <w:uiPriority w:val="99"/>
    <w:unhideWhenUsed/>
    <w:rsid w:val="0066567E"/>
    <w:pPr>
      <w:tabs>
        <w:tab w:val="center" w:pos="4680"/>
        <w:tab w:val="right" w:pos="9360"/>
      </w:tabs>
    </w:pPr>
  </w:style>
  <w:style w:type="character" w:customStyle="1" w:styleId="FooterChar">
    <w:name w:val="Footer Char"/>
    <w:basedOn w:val="DefaultParagraphFont"/>
    <w:link w:val="Footer"/>
    <w:uiPriority w:val="99"/>
    <w:rsid w:val="0066567E"/>
  </w:style>
  <w:style w:type="paragraph" w:styleId="NormalWeb">
    <w:name w:val="Normal (Web)"/>
    <w:basedOn w:val="Normal"/>
    <w:uiPriority w:val="99"/>
    <w:unhideWhenUsed/>
    <w:rsid w:val="00161F59"/>
    <w:pPr>
      <w:spacing w:before="100" w:beforeAutospacing="1" w:after="100" w:afterAutospacing="1"/>
    </w:pPr>
    <w:rPr>
      <w:rFonts w:ascii="Times New Roman" w:eastAsia="Times New Roman" w:hAnsi="Times New Roman" w:cs="Times New Roman"/>
      <w:lang w:val="en-GB"/>
    </w:rPr>
  </w:style>
  <w:style w:type="character" w:styleId="PageNumber">
    <w:name w:val="page number"/>
    <w:basedOn w:val="DefaultParagraphFont"/>
    <w:uiPriority w:val="99"/>
    <w:semiHidden/>
    <w:unhideWhenUsed/>
    <w:rsid w:val="008C79D9"/>
  </w:style>
  <w:style w:type="character" w:styleId="Hyperlink">
    <w:name w:val="Hyperlink"/>
    <w:basedOn w:val="DefaultParagraphFont"/>
    <w:uiPriority w:val="99"/>
    <w:semiHidden/>
    <w:unhideWhenUsed/>
    <w:rsid w:val="001A275B"/>
    <w:rPr>
      <w:color w:val="0563C1"/>
      <w:u w:val="single"/>
    </w:rPr>
  </w:style>
  <w:style w:type="paragraph" w:styleId="ListParagraph">
    <w:name w:val="List Paragraph"/>
    <w:basedOn w:val="Normal"/>
    <w:link w:val="ListParagraphChar"/>
    <w:uiPriority w:val="34"/>
    <w:qFormat/>
    <w:rsid w:val="001A275B"/>
    <w:pPr>
      <w:spacing w:after="160" w:line="259" w:lineRule="auto"/>
      <w:ind w:left="720"/>
      <w:contextualSpacing/>
    </w:pPr>
    <w:rPr>
      <w:rFonts w:eastAsiaTheme="minorHAnsi"/>
      <w:sz w:val="22"/>
      <w:szCs w:val="22"/>
      <w:lang w:val="en-GB"/>
    </w:rPr>
  </w:style>
  <w:style w:type="table" w:styleId="TableGrid">
    <w:name w:val="Table Grid"/>
    <w:basedOn w:val="TableNormal"/>
    <w:uiPriority w:val="39"/>
    <w:rsid w:val="002B79E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2B79E4"/>
    <w:rPr>
      <w:rFonts w:eastAsiaTheme="minorHAnsi"/>
      <w:sz w:val="22"/>
      <w:szCs w:val="22"/>
      <w:lang w:val="en-GB"/>
    </w:rPr>
  </w:style>
  <w:style w:type="paragraph" w:styleId="FootnoteText">
    <w:name w:val="footnote text"/>
    <w:basedOn w:val="Normal"/>
    <w:link w:val="FootnoteTextChar"/>
    <w:uiPriority w:val="99"/>
    <w:unhideWhenUsed/>
    <w:rsid w:val="00FD09E3"/>
    <w:rPr>
      <w:rFonts w:eastAsiaTheme="minorHAnsi"/>
      <w:sz w:val="20"/>
      <w:szCs w:val="20"/>
      <w:lang w:val="en-GB"/>
    </w:rPr>
  </w:style>
  <w:style w:type="character" w:customStyle="1" w:styleId="FootnoteTextChar">
    <w:name w:val="Footnote Text Char"/>
    <w:basedOn w:val="DefaultParagraphFont"/>
    <w:link w:val="FootnoteText"/>
    <w:uiPriority w:val="99"/>
    <w:rsid w:val="00FD09E3"/>
    <w:rPr>
      <w:rFonts w:eastAsiaTheme="minorHAnsi"/>
      <w:sz w:val="20"/>
      <w:szCs w:val="20"/>
      <w:lang w:val="en-GB"/>
    </w:rPr>
  </w:style>
  <w:style w:type="character" w:styleId="FootnoteReference">
    <w:name w:val="footnote reference"/>
    <w:basedOn w:val="DefaultParagraphFont"/>
    <w:uiPriority w:val="99"/>
    <w:semiHidden/>
    <w:unhideWhenUsed/>
    <w:rsid w:val="00FD09E3"/>
    <w:rPr>
      <w:vertAlign w:val="superscript"/>
    </w:rPr>
  </w:style>
  <w:style w:type="paragraph" w:customStyle="1" w:styleId="Default">
    <w:name w:val="Default"/>
    <w:basedOn w:val="Normal"/>
    <w:uiPriority w:val="99"/>
    <w:rsid w:val="00BD30E1"/>
    <w:pPr>
      <w:autoSpaceDE w:val="0"/>
      <w:autoSpaceDN w:val="0"/>
    </w:pPr>
    <w:rPr>
      <w:rFonts w:ascii="Calibri" w:eastAsiaTheme="minorHAnsi" w:hAnsi="Calibri" w:cs="Calibri"/>
      <w:color w:val="000000"/>
      <w:lang w:val="en-GB" w:eastAsia="ja-JP"/>
    </w:rPr>
  </w:style>
  <w:style w:type="character" w:customStyle="1" w:styleId="Heading2Char">
    <w:name w:val="Heading 2 Char"/>
    <w:basedOn w:val="DefaultParagraphFont"/>
    <w:link w:val="Heading2"/>
    <w:uiPriority w:val="9"/>
    <w:semiHidden/>
    <w:rsid w:val="001B606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355924">
      <w:bodyDiv w:val="1"/>
      <w:marLeft w:val="0"/>
      <w:marRight w:val="0"/>
      <w:marTop w:val="0"/>
      <w:marBottom w:val="0"/>
      <w:divBdr>
        <w:top w:val="none" w:sz="0" w:space="0" w:color="auto"/>
        <w:left w:val="none" w:sz="0" w:space="0" w:color="auto"/>
        <w:bottom w:val="none" w:sz="0" w:space="0" w:color="auto"/>
        <w:right w:val="none" w:sz="0" w:space="0" w:color="auto"/>
      </w:divBdr>
    </w:div>
    <w:div w:id="900407367">
      <w:bodyDiv w:val="1"/>
      <w:marLeft w:val="0"/>
      <w:marRight w:val="0"/>
      <w:marTop w:val="0"/>
      <w:marBottom w:val="0"/>
      <w:divBdr>
        <w:top w:val="none" w:sz="0" w:space="0" w:color="auto"/>
        <w:left w:val="none" w:sz="0" w:space="0" w:color="auto"/>
        <w:bottom w:val="none" w:sz="0" w:space="0" w:color="auto"/>
        <w:right w:val="none" w:sz="0" w:space="0" w:color="auto"/>
      </w:divBdr>
    </w:div>
    <w:div w:id="16359863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usingauthority.gov.mt/services/repair-and-adaptations/repairs/skema-sensabilit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housingauthority.gov.mt/services/repair-and-adaptations/adaptations-for-persons-with-disabilit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usingauthority.gov.mt/services/affordable-housing/skema-new-hop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139BE1A1F75D4ABF8DF7D2EBF4F747" ma:contentTypeVersion="13" ma:contentTypeDescription="Create a new document." ma:contentTypeScope="" ma:versionID="de5603288fd33eabf36428f394af66cf">
  <xsd:schema xmlns:xsd="http://www.w3.org/2001/XMLSchema" xmlns:xs="http://www.w3.org/2001/XMLSchema" xmlns:p="http://schemas.microsoft.com/office/2006/metadata/properties" xmlns:ns2="60be1968-d0e5-4701-af7b-a90510cb729c" xmlns:ns3="5f7bf177-c2d9-488d-9e78-1b3d24026cee" targetNamespace="http://schemas.microsoft.com/office/2006/metadata/properties" ma:root="true" ma:fieldsID="2b70954c1376bb5120f38dd0f446e1e2" ns2:_="" ns3:_="">
    <xsd:import namespace="60be1968-d0e5-4701-af7b-a90510cb729c"/>
    <xsd:import namespace="5f7bf177-c2d9-488d-9e78-1b3d24026c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e1968-d0e5-4701-af7b-a90510cb7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7bf177-c2d9-488d-9e78-1b3d24026c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0be1968-d0e5-4701-af7b-a90510cb729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694D1-2751-44A6-9F66-1AAC622D16A5}">
  <ds:schemaRefs>
    <ds:schemaRef ds:uri="http://schemas.microsoft.com/sharepoint/v3/contenttype/forms"/>
  </ds:schemaRefs>
</ds:datastoreItem>
</file>

<file path=customXml/itemProps2.xml><?xml version="1.0" encoding="utf-8"?>
<ds:datastoreItem xmlns:ds="http://schemas.openxmlformats.org/officeDocument/2006/customXml" ds:itemID="{7FFD5E4A-A90E-48E7-A3CD-3476E1EFB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e1968-d0e5-4701-af7b-a90510cb729c"/>
    <ds:schemaRef ds:uri="5f7bf177-c2d9-488d-9e78-1b3d24026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EAA4B8-92C9-4E5D-8E01-8C67FFBBD988}">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5f7bf177-c2d9-488d-9e78-1b3d24026cee"/>
    <ds:schemaRef ds:uri="60be1968-d0e5-4701-af7b-a90510cb729c"/>
    <ds:schemaRef ds:uri="http://www.w3.org/XML/1998/namespace"/>
    <ds:schemaRef ds:uri="http://purl.org/dc/dcmitype/"/>
  </ds:schemaRefs>
</ds:datastoreItem>
</file>

<file path=customXml/itemProps4.xml><?xml version="1.0" encoding="utf-8"?>
<ds:datastoreItem xmlns:ds="http://schemas.openxmlformats.org/officeDocument/2006/customXml" ds:itemID="{4E6BFB63-BE1C-409E-8FB9-16CD03A37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Facundo Chavez Penillas</cp:lastModifiedBy>
  <cp:revision>2</cp:revision>
  <cp:lastPrinted>2021-03-12T14:11:00Z</cp:lastPrinted>
  <dcterms:created xsi:type="dcterms:W3CDTF">2022-10-28T09:50:00Z</dcterms:created>
  <dcterms:modified xsi:type="dcterms:W3CDTF">2022-10-28T09:50:00Z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0x010100EF139BE1A1F75D4ABF8DF7D2EBF4F747</vt:lpwstr>
  </property>
</Properties>
</file>