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5AD55" w14:textId="7021E16A" w:rsidR="00BE7AC3" w:rsidRDefault="00BE7AC3"/>
    <w:p w14:paraId="483DA285" w14:textId="77777777" w:rsidR="004425FB" w:rsidRDefault="004425FB" w:rsidP="004425FB">
      <w:pPr>
        <w:jc w:val="center"/>
        <w:rPr>
          <w:b/>
          <w:sz w:val="24"/>
          <w:szCs w:val="24"/>
          <w:lang w:val="es-ES"/>
        </w:rPr>
      </w:pPr>
      <w:r w:rsidRPr="00C37312">
        <w:rPr>
          <w:b/>
          <w:sz w:val="24"/>
          <w:szCs w:val="24"/>
          <w:lang w:val="es-ES"/>
        </w:rPr>
        <w:t xml:space="preserve">Despenalización de las personas sin hogar y de la pobreza </w:t>
      </w:r>
    </w:p>
    <w:p w14:paraId="7F909ACF" w14:textId="77777777" w:rsidR="004425FB" w:rsidRPr="00C37312" w:rsidRDefault="004425FB" w:rsidP="004425FB">
      <w:pPr>
        <w:jc w:val="center"/>
        <w:rPr>
          <w:b/>
          <w:sz w:val="24"/>
          <w:szCs w:val="24"/>
          <w:lang w:val="es-ES"/>
        </w:rPr>
      </w:pPr>
      <w:r w:rsidRPr="00C37312">
        <w:rPr>
          <w:b/>
          <w:sz w:val="24"/>
          <w:szCs w:val="24"/>
          <w:lang w:val="es-ES"/>
        </w:rPr>
        <w:t>Nota informativa y cuestionario</w:t>
      </w:r>
    </w:p>
    <w:p w14:paraId="05E9D376" w14:textId="77777777" w:rsidR="004425FB" w:rsidRDefault="004425FB" w:rsidP="004425FB">
      <w:pPr>
        <w:jc w:val="both"/>
        <w:rPr>
          <w:sz w:val="24"/>
          <w:szCs w:val="24"/>
          <w:lang w:val="es-ES"/>
        </w:rPr>
      </w:pPr>
    </w:p>
    <w:p w14:paraId="4802D3F2" w14:textId="79D1EFCF" w:rsidR="004425FB" w:rsidRPr="004425FB" w:rsidRDefault="004425FB" w:rsidP="004425FB">
      <w:pPr>
        <w:jc w:val="both"/>
        <w:rPr>
          <w:sz w:val="24"/>
          <w:szCs w:val="24"/>
          <w:lang w:val="es-ES"/>
        </w:rPr>
      </w:pPr>
      <w:r w:rsidRPr="004425FB">
        <w:rPr>
          <w:sz w:val="24"/>
          <w:szCs w:val="24"/>
          <w:lang w:val="es-ES"/>
        </w:rPr>
        <w:t xml:space="preserve">En muchos países, las personas sin hogar, que viven en la pobreza o en situación de vulnerabilidad son sometidas de forma desproporcionada a multas, deportaciones, detenciones arbitrarias o encarcelamientos por delitos menores o conductas necesarias para sobrevivir, como la venta ambulante informal, la recogida de basuras, el trabajo sexual, la mendicidad, dormir, cocinar o comer en lugares públicos. En muchos países se sigue encarcelando a las personas que no pueden pagar multas por delitos menores, como viajar en transporte público sin billete válido. Estas sanciones no sólo plantean problemas de derechos humanos, sino que también congestionan el sistema de justicia penal con asuntos que deberían abordarse mejor mediante políticas que aborden las causas profundas de la falta de hogar, la pobreza y la exclusión social. </w:t>
      </w:r>
    </w:p>
    <w:p w14:paraId="2F89D610" w14:textId="77777777" w:rsidR="004425FB" w:rsidRPr="004425FB" w:rsidRDefault="004425FB" w:rsidP="004425FB">
      <w:pPr>
        <w:ind w:firstLine="720"/>
        <w:jc w:val="both"/>
        <w:rPr>
          <w:sz w:val="24"/>
          <w:szCs w:val="24"/>
          <w:lang w:val="es-ES"/>
        </w:rPr>
      </w:pPr>
    </w:p>
    <w:p w14:paraId="698FF6E0" w14:textId="55E5F3E9" w:rsidR="004425FB" w:rsidRDefault="004425FB" w:rsidP="004425FB">
      <w:pPr>
        <w:ind w:firstLine="720"/>
        <w:jc w:val="both"/>
        <w:rPr>
          <w:sz w:val="24"/>
          <w:szCs w:val="24"/>
          <w:lang w:val="es-ES"/>
        </w:rPr>
      </w:pPr>
      <w:r w:rsidRPr="004425FB">
        <w:rPr>
          <w:sz w:val="24"/>
          <w:szCs w:val="24"/>
          <w:lang w:val="es-ES"/>
        </w:rPr>
        <w:t>La información presentada servirá de base para un informe conjunto del relator especial de la ONU sobre el derecho a una vivienda adecuada y el relator especial sobre la extrema pobreza y los derechos humanos que se presentará al Consejo de Derechos Humanos en 2024.</w:t>
      </w:r>
    </w:p>
    <w:p w14:paraId="52FEDCFF" w14:textId="77777777" w:rsidR="004425FB" w:rsidRPr="00C37312" w:rsidRDefault="004425FB" w:rsidP="004425FB">
      <w:pPr>
        <w:ind w:firstLine="720"/>
        <w:jc w:val="both"/>
        <w:rPr>
          <w:sz w:val="24"/>
          <w:szCs w:val="24"/>
          <w:lang w:val="es-ES"/>
        </w:rPr>
      </w:pPr>
    </w:p>
    <w:p w14:paraId="1670F283" w14:textId="77777777" w:rsidR="004425FB" w:rsidRPr="00C37312" w:rsidRDefault="004425FB" w:rsidP="004425FB">
      <w:pPr>
        <w:ind w:firstLine="720"/>
        <w:jc w:val="both"/>
        <w:rPr>
          <w:sz w:val="24"/>
          <w:szCs w:val="24"/>
          <w:lang w:val="es-ES"/>
        </w:rPr>
      </w:pPr>
      <w:r w:rsidRPr="00C37312">
        <w:rPr>
          <w:sz w:val="24"/>
          <w:szCs w:val="24"/>
          <w:lang w:val="es-ES"/>
        </w:rPr>
        <w:t xml:space="preserve">Los </w:t>
      </w:r>
      <w:r w:rsidRPr="00C37312">
        <w:rPr>
          <w:b/>
          <w:sz w:val="24"/>
          <w:szCs w:val="24"/>
          <w:lang w:val="es-ES"/>
        </w:rPr>
        <w:t xml:space="preserve">Principios Rectores sobre la Extrema Pobreza y los Derechos Humanos </w:t>
      </w:r>
      <w:r w:rsidRPr="00C37312">
        <w:rPr>
          <w:sz w:val="24"/>
          <w:szCs w:val="24"/>
          <w:lang w:val="es-ES"/>
        </w:rPr>
        <w:t>(</w:t>
      </w:r>
      <w:hyperlink r:id="rId11" w:history="1">
        <w:r w:rsidRPr="00C37312">
          <w:rPr>
            <w:color w:val="0070C0"/>
            <w:sz w:val="24"/>
            <w:szCs w:val="24"/>
            <w:lang w:val="es-ES"/>
          </w:rPr>
          <w:t>A/HRC/21/39</w:t>
        </w:r>
      </w:hyperlink>
      <w:r w:rsidRPr="00C37312">
        <w:rPr>
          <w:color w:val="0070C0"/>
          <w:sz w:val="24"/>
          <w:szCs w:val="24"/>
          <w:lang w:val="es-ES"/>
        </w:rPr>
        <w:t>, para</w:t>
      </w:r>
      <w:r>
        <w:rPr>
          <w:color w:val="0070C0"/>
          <w:sz w:val="24"/>
          <w:szCs w:val="24"/>
          <w:lang w:val="es-ES"/>
        </w:rPr>
        <w:t xml:space="preserve"> 66</w:t>
      </w:r>
      <w:r w:rsidRPr="00C37312">
        <w:rPr>
          <w:sz w:val="24"/>
          <w:szCs w:val="24"/>
          <w:lang w:val="es-ES"/>
        </w:rPr>
        <w:t>), adoptados por la resolución 21/11 del Consejo de Derechos Humanos en septiembre de 2012 subrayan que los Estados deben "</w:t>
      </w:r>
      <w:r w:rsidRPr="004E134D">
        <w:rPr>
          <w:sz w:val="24"/>
          <w:szCs w:val="24"/>
          <w:lang w:val="es-ES"/>
        </w:rPr>
        <w:t>Revocar o enmendar toda ley que penalice la realización de actividades</w:t>
      </w:r>
      <w:r>
        <w:rPr>
          <w:sz w:val="24"/>
          <w:szCs w:val="24"/>
          <w:lang w:val="es-ES"/>
        </w:rPr>
        <w:t xml:space="preserve"> </w:t>
      </w:r>
      <w:r w:rsidRPr="004E134D">
        <w:rPr>
          <w:sz w:val="24"/>
          <w:szCs w:val="24"/>
          <w:lang w:val="es-ES"/>
        </w:rPr>
        <w:t>necesarias para la supervivencia en los lugares públicos, como dormir, mendigar, comer o</w:t>
      </w:r>
      <w:r>
        <w:rPr>
          <w:sz w:val="24"/>
          <w:szCs w:val="24"/>
          <w:lang w:val="es-ES"/>
        </w:rPr>
        <w:t xml:space="preserve"> </w:t>
      </w:r>
      <w:r w:rsidRPr="004E134D">
        <w:rPr>
          <w:sz w:val="24"/>
          <w:szCs w:val="24"/>
          <w:lang w:val="es-ES"/>
        </w:rPr>
        <w:t>practicar actividades de higiene personal</w:t>
      </w:r>
      <w:r w:rsidRPr="00C37312">
        <w:rPr>
          <w:sz w:val="24"/>
          <w:szCs w:val="24"/>
          <w:lang w:val="es-ES"/>
        </w:rPr>
        <w:t>." Además, los Estados deben "</w:t>
      </w:r>
      <w:r>
        <w:rPr>
          <w:sz w:val="24"/>
          <w:szCs w:val="24"/>
          <w:lang w:val="es-ES"/>
        </w:rPr>
        <w:t>r</w:t>
      </w:r>
      <w:r w:rsidRPr="004E134D">
        <w:rPr>
          <w:sz w:val="24"/>
          <w:szCs w:val="24"/>
          <w:lang w:val="es-ES"/>
        </w:rPr>
        <w:t>evisar los procedimientos de sanción que exigen el pago de multas</w:t>
      </w:r>
      <w:r>
        <w:rPr>
          <w:sz w:val="24"/>
          <w:szCs w:val="24"/>
          <w:lang w:val="es-ES"/>
        </w:rPr>
        <w:t xml:space="preserve"> </w:t>
      </w:r>
      <w:r w:rsidRPr="004E134D">
        <w:rPr>
          <w:sz w:val="24"/>
          <w:szCs w:val="24"/>
          <w:lang w:val="es-ES"/>
        </w:rPr>
        <w:t>desproporcionadas a las personas que viven en la pobreza, especialmente las que se</w:t>
      </w:r>
      <w:r>
        <w:rPr>
          <w:sz w:val="24"/>
          <w:szCs w:val="24"/>
          <w:lang w:val="es-ES"/>
        </w:rPr>
        <w:t xml:space="preserve"> </w:t>
      </w:r>
      <w:r w:rsidRPr="004E134D">
        <w:rPr>
          <w:sz w:val="24"/>
          <w:szCs w:val="24"/>
          <w:lang w:val="es-ES"/>
        </w:rPr>
        <w:t>relacionan con la mendicidad, el uso de los espacios públicos y los fraudes a la asistencia</w:t>
      </w:r>
      <w:r>
        <w:rPr>
          <w:sz w:val="24"/>
          <w:szCs w:val="24"/>
          <w:lang w:val="es-ES"/>
        </w:rPr>
        <w:t xml:space="preserve"> </w:t>
      </w:r>
      <w:r w:rsidRPr="004E134D">
        <w:rPr>
          <w:sz w:val="24"/>
          <w:szCs w:val="24"/>
          <w:lang w:val="es-ES"/>
        </w:rPr>
        <w:t>social, y estudiar la posibilidad de abolir las penas de prisión por el impago de multas para</w:t>
      </w:r>
      <w:r>
        <w:rPr>
          <w:sz w:val="24"/>
          <w:szCs w:val="24"/>
          <w:lang w:val="es-ES"/>
        </w:rPr>
        <w:t xml:space="preserve"> </w:t>
      </w:r>
      <w:r w:rsidRPr="004E134D">
        <w:rPr>
          <w:sz w:val="24"/>
          <w:szCs w:val="24"/>
          <w:lang w:val="es-ES"/>
        </w:rPr>
        <w:t>quienes no tengan la posibilidad de pagar</w:t>
      </w:r>
      <w:r>
        <w:rPr>
          <w:sz w:val="24"/>
          <w:szCs w:val="24"/>
          <w:lang w:val="es-ES"/>
        </w:rPr>
        <w:t>.</w:t>
      </w:r>
      <w:r w:rsidRPr="00C37312">
        <w:rPr>
          <w:sz w:val="24"/>
          <w:szCs w:val="24"/>
          <w:lang w:val="es-ES"/>
        </w:rPr>
        <w:t>"</w:t>
      </w:r>
    </w:p>
    <w:p w14:paraId="06145732" w14:textId="77777777" w:rsidR="004425FB" w:rsidRPr="00C37312" w:rsidRDefault="004425FB" w:rsidP="004425FB">
      <w:pPr>
        <w:ind w:firstLine="720"/>
        <w:jc w:val="both"/>
        <w:rPr>
          <w:sz w:val="24"/>
          <w:szCs w:val="24"/>
          <w:lang w:val="es-ES"/>
        </w:rPr>
      </w:pPr>
    </w:p>
    <w:p w14:paraId="5561D734" w14:textId="77777777" w:rsidR="004425FB" w:rsidRPr="00C37312" w:rsidRDefault="004425FB" w:rsidP="004425FB">
      <w:pPr>
        <w:ind w:firstLine="720"/>
        <w:jc w:val="both"/>
        <w:rPr>
          <w:sz w:val="24"/>
          <w:szCs w:val="24"/>
          <w:lang w:val="es-ES"/>
        </w:rPr>
      </w:pPr>
      <w:r w:rsidRPr="00C37312">
        <w:rPr>
          <w:sz w:val="24"/>
          <w:szCs w:val="24"/>
          <w:lang w:val="es-ES"/>
        </w:rPr>
        <w:t xml:space="preserve">Las </w:t>
      </w:r>
      <w:r w:rsidRPr="00C37312">
        <w:rPr>
          <w:b/>
          <w:sz w:val="24"/>
          <w:szCs w:val="24"/>
          <w:lang w:val="es-ES"/>
        </w:rPr>
        <w:t xml:space="preserve">Directrices para la Aplicación del Derecho a una Vivienda Adecuada </w:t>
      </w:r>
      <w:r w:rsidRPr="00C37312">
        <w:rPr>
          <w:sz w:val="24"/>
          <w:szCs w:val="24"/>
          <w:lang w:val="es-ES"/>
        </w:rPr>
        <w:t>(</w:t>
      </w:r>
      <w:hyperlink r:id="rId12" w:history="1">
        <w:r w:rsidRPr="00C37312">
          <w:rPr>
            <w:color w:val="0070C0"/>
            <w:sz w:val="24"/>
            <w:szCs w:val="24"/>
            <w:lang w:val="es-ES"/>
          </w:rPr>
          <w:t>A/HRC/43/43</w:t>
        </w:r>
      </w:hyperlink>
      <w:r w:rsidRPr="00C37312">
        <w:rPr>
          <w:color w:val="0070C0"/>
          <w:sz w:val="24"/>
          <w:szCs w:val="24"/>
          <w:lang w:val="es-ES"/>
        </w:rPr>
        <w:t>, para</w:t>
      </w:r>
      <w:r>
        <w:rPr>
          <w:color w:val="0070C0"/>
          <w:sz w:val="24"/>
          <w:szCs w:val="24"/>
          <w:lang w:val="es-ES"/>
        </w:rPr>
        <w:t>. 33</w:t>
      </w:r>
      <w:r w:rsidRPr="00C37312">
        <w:rPr>
          <w:sz w:val="24"/>
          <w:szCs w:val="24"/>
          <w:lang w:val="es-ES"/>
        </w:rPr>
        <w:t>), especifican que "</w:t>
      </w:r>
      <w:r>
        <w:rPr>
          <w:sz w:val="24"/>
          <w:szCs w:val="24"/>
          <w:lang w:val="es-ES"/>
        </w:rPr>
        <w:t>l</w:t>
      </w:r>
      <w:r w:rsidRPr="004E134D">
        <w:rPr>
          <w:sz w:val="24"/>
          <w:szCs w:val="24"/>
          <w:lang w:val="es-ES"/>
        </w:rPr>
        <w:t>os Estados deberían prohibir y atajar la discriminación basada en la falta de</w:t>
      </w:r>
      <w:r>
        <w:rPr>
          <w:sz w:val="24"/>
          <w:szCs w:val="24"/>
          <w:lang w:val="es-ES"/>
        </w:rPr>
        <w:t xml:space="preserve"> </w:t>
      </w:r>
      <w:r w:rsidRPr="004E134D">
        <w:rPr>
          <w:sz w:val="24"/>
          <w:szCs w:val="24"/>
          <w:lang w:val="es-ES"/>
        </w:rPr>
        <w:t>hogar u otras situaciones habitacionales y derogar todas las leyes y medidas que tipifican</w:t>
      </w:r>
      <w:r>
        <w:rPr>
          <w:sz w:val="24"/>
          <w:szCs w:val="24"/>
          <w:lang w:val="es-ES"/>
        </w:rPr>
        <w:t xml:space="preserve"> </w:t>
      </w:r>
      <w:r w:rsidRPr="004E134D">
        <w:rPr>
          <w:sz w:val="24"/>
          <w:szCs w:val="24"/>
          <w:lang w:val="es-ES"/>
        </w:rPr>
        <w:t>como delito o penalizan la falta de hogar o las conductas asociadas a esta situación, como</w:t>
      </w:r>
      <w:r>
        <w:rPr>
          <w:sz w:val="24"/>
          <w:szCs w:val="24"/>
          <w:lang w:val="es-ES"/>
        </w:rPr>
        <w:t xml:space="preserve"> </w:t>
      </w:r>
      <w:r w:rsidRPr="004E134D">
        <w:rPr>
          <w:sz w:val="24"/>
          <w:szCs w:val="24"/>
          <w:lang w:val="es-ES"/>
        </w:rPr>
        <w:t>dormir o comer en espacios públicos. Debe prohibirse el desalojo forzoso de las personas</w:t>
      </w:r>
      <w:r>
        <w:rPr>
          <w:sz w:val="24"/>
          <w:szCs w:val="24"/>
          <w:lang w:val="es-ES"/>
        </w:rPr>
        <w:t xml:space="preserve"> </w:t>
      </w:r>
      <w:r w:rsidRPr="004E134D">
        <w:rPr>
          <w:sz w:val="24"/>
          <w:szCs w:val="24"/>
          <w:lang w:val="es-ES"/>
        </w:rPr>
        <w:t>sin hogar de los espacios públicos y la destrucción de sus efectos personales.</w:t>
      </w:r>
      <w:r w:rsidRPr="004E134D" w:rsidDel="004E134D">
        <w:rPr>
          <w:sz w:val="24"/>
          <w:szCs w:val="24"/>
          <w:lang w:val="es-ES"/>
        </w:rPr>
        <w:t xml:space="preserve"> </w:t>
      </w:r>
      <w:r w:rsidRPr="00C37312">
        <w:rPr>
          <w:sz w:val="24"/>
          <w:szCs w:val="24"/>
          <w:lang w:val="es-ES"/>
        </w:rPr>
        <w:t>". Recomiendan además que "</w:t>
      </w:r>
      <w:r w:rsidRPr="00C37312">
        <w:rPr>
          <w:lang w:val="es-ES"/>
        </w:rPr>
        <w:t xml:space="preserve"> </w:t>
      </w:r>
      <w:r w:rsidRPr="00C151FE">
        <w:rPr>
          <w:sz w:val="24"/>
          <w:szCs w:val="24"/>
          <w:lang w:val="es-ES"/>
        </w:rPr>
        <w:t>Los Estados deberían prever, en el marco de su sistema judicial,</w:t>
      </w:r>
      <w:r>
        <w:rPr>
          <w:sz w:val="24"/>
          <w:szCs w:val="24"/>
          <w:lang w:val="es-ES"/>
        </w:rPr>
        <w:t xml:space="preserve"> </w:t>
      </w:r>
      <w:r w:rsidRPr="00C151FE">
        <w:rPr>
          <w:sz w:val="24"/>
          <w:szCs w:val="24"/>
          <w:lang w:val="es-ES"/>
        </w:rPr>
        <w:t>procedimientos alternativos para tratar los delitos leves de las personas sin hogar, a fin de</w:t>
      </w:r>
      <w:r>
        <w:rPr>
          <w:sz w:val="24"/>
          <w:szCs w:val="24"/>
          <w:lang w:val="es-ES"/>
        </w:rPr>
        <w:t xml:space="preserve"> </w:t>
      </w:r>
      <w:r w:rsidRPr="00C151FE">
        <w:rPr>
          <w:sz w:val="24"/>
          <w:szCs w:val="24"/>
          <w:lang w:val="es-ES"/>
        </w:rPr>
        <w:t>ayudarlas a romper el ciclo de criminalización, encarcelamiento y falta de hogar y</w:t>
      </w:r>
      <w:r>
        <w:rPr>
          <w:sz w:val="24"/>
          <w:szCs w:val="24"/>
          <w:lang w:val="es-ES"/>
        </w:rPr>
        <w:t xml:space="preserve"> </w:t>
      </w:r>
      <w:r w:rsidRPr="00C151FE">
        <w:rPr>
          <w:sz w:val="24"/>
          <w:szCs w:val="24"/>
          <w:lang w:val="es-ES"/>
        </w:rPr>
        <w:t>garantizar el derecho a la vivienda. La policía debería estar capacitada para interactuar con</w:t>
      </w:r>
      <w:r>
        <w:rPr>
          <w:sz w:val="24"/>
          <w:szCs w:val="24"/>
          <w:lang w:val="es-ES"/>
        </w:rPr>
        <w:t xml:space="preserve"> </w:t>
      </w:r>
      <w:r w:rsidRPr="00C151FE">
        <w:rPr>
          <w:sz w:val="24"/>
          <w:szCs w:val="24"/>
          <w:lang w:val="es-ES"/>
        </w:rPr>
        <w:t>las personas sin hogar de manera que se respeten y promuevan su dignidad y sus derechos.</w:t>
      </w:r>
      <w:r>
        <w:rPr>
          <w:sz w:val="24"/>
          <w:szCs w:val="24"/>
          <w:lang w:val="es-ES"/>
        </w:rPr>
        <w:t>”</w:t>
      </w:r>
      <w:r w:rsidRPr="00C151FE">
        <w:rPr>
          <w:sz w:val="24"/>
          <w:szCs w:val="24"/>
          <w:lang w:val="es-ES"/>
        </w:rPr>
        <w:t xml:space="preserve"> </w:t>
      </w:r>
    </w:p>
    <w:p w14:paraId="2589CF04" w14:textId="77777777" w:rsidR="004425FB" w:rsidRPr="00C37312" w:rsidRDefault="004425FB" w:rsidP="004425FB">
      <w:pPr>
        <w:ind w:firstLine="720"/>
        <w:jc w:val="both"/>
        <w:rPr>
          <w:sz w:val="24"/>
          <w:szCs w:val="24"/>
          <w:lang w:val="es-ES"/>
        </w:rPr>
      </w:pPr>
    </w:p>
    <w:p w14:paraId="32D7A039" w14:textId="77777777" w:rsidR="004425FB" w:rsidRPr="00C37312" w:rsidRDefault="004425FB" w:rsidP="004425FB">
      <w:pPr>
        <w:ind w:firstLine="720"/>
        <w:jc w:val="both"/>
        <w:rPr>
          <w:sz w:val="24"/>
          <w:szCs w:val="24"/>
          <w:lang w:val="es-ES"/>
        </w:rPr>
      </w:pPr>
      <w:r w:rsidRPr="00C37312">
        <w:rPr>
          <w:sz w:val="24"/>
          <w:szCs w:val="24"/>
          <w:lang w:val="es-ES"/>
        </w:rPr>
        <w:t xml:space="preserve">En junio de 2020, la resolución </w:t>
      </w:r>
      <w:hyperlink r:id="rId13" w:history="1">
        <w:r w:rsidRPr="00C37312">
          <w:rPr>
            <w:color w:val="0070C0"/>
            <w:sz w:val="24"/>
            <w:szCs w:val="24"/>
            <w:lang w:val="es-ES"/>
          </w:rPr>
          <w:t>43/14</w:t>
        </w:r>
      </w:hyperlink>
      <w:r w:rsidRPr="00C37312">
        <w:rPr>
          <w:sz w:val="24"/>
          <w:szCs w:val="24"/>
          <w:lang w:val="es-ES"/>
        </w:rPr>
        <w:t xml:space="preserve"> del Consejo de Derechos Humanos pidió a los Estados que "</w:t>
      </w:r>
      <w:r w:rsidRPr="00C151FE">
        <w:rPr>
          <w:lang w:val="es-ES"/>
        </w:rPr>
        <w:t>a</w:t>
      </w:r>
      <w:r w:rsidRPr="00C151FE">
        <w:rPr>
          <w:sz w:val="24"/>
          <w:szCs w:val="24"/>
          <w:lang w:val="es-ES"/>
        </w:rPr>
        <w:t>dopten todas las medidas necesarias para eliminar la legislación que tipifica</w:t>
      </w:r>
      <w:r>
        <w:rPr>
          <w:sz w:val="24"/>
          <w:szCs w:val="24"/>
          <w:lang w:val="es-ES"/>
        </w:rPr>
        <w:t xml:space="preserve"> </w:t>
      </w:r>
      <w:r w:rsidRPr="00C151FE">
        <w:rPr>
          <w:sz w:val="24"/>
          <w:szCs w:val="24"/>
          <w:lang w:val="es-ES"/>
        </w:rPr>
        <w:t>como delito la falta de hogar</w:t>
      </w:r>
      <w:r>
        <w:rPr>
          <w:sz w:val="24"/>
          <w:szCs w:val="24"/>
          <w:lang w:val="es-ES"/>
        </w:rPr>
        <w:t xml:space="preserve">.” </w:t>
      </w:r>
    </w:p>
    <w:p w14:paraId="152A8765" w14:textId="77777777" w:rsidR="004425FB" w:rsidRPr="00C37312" w:rsidRDefault="004425FB" w:rsidP="004425FB">
      <w:pPr>
        <w:jc w:val="both"/>
        <w:rPr>
          <w:sz w:val="24"/>
          <w:szCs w:val="24"/>
          <w:lang w:val="es-ES"/>
        </w:rPr>
      </w:pPr>
    </w:p>
    <w:p w14:paraId="1B98FB9F" w14:textId="77777777" w:rsidR="004425FB" w:rsidRPr="00C37312" w:rsidRDefault="004425FB" w:rsidP="004425FB">
      <w:pPr>
        <w:rPr>
          <w:sz w:val="24"/>
          <w:szCs w:val="24"/>
          <w:lang w:val="es-ES"/>
        </w:rPr>
      </w:pPr>
    </w:p>
    <w:p w14:paraId="56F9B2A4" w14:textId="77777777" w:rsidR="004425FB" w:rsidRPr="00C37312" w:rsidRDefault="004425FB" w:rsidP="004425FB">
      <w:pPr>
        <w:jc w:val="center"/>
        <w:rPr>
          <w:b/>
          <w:bCs/>
          <w:noProof/>
          <w:sz w:val="24"/>
          <w:szCs w:val="24"/>
          <w:lang w:val="es-ES"/>
        </w:rPr>
      </w:pPr>
      <w:r w:rsidRPr="00C37312">
        <w:rPr>
          <w:b/>
          <w:bCs/>
          <w:noProof/>
          <w:sz w:val="24"/>
          <w:szCs w:val="24"/>
          <w:lang w:val="es-ES"/>
        </w:rPr>
        <w:lastRenderedPageBreak/>
        <w:t>Cuestionario</w:t>
      </w:r>
    </w:p>
    <w:p w14:paraId="44471A0A" w14:textId="77777777" w:rsidR="004425FB" w:rsidRPr="00C37312" w:rsidRDefault="004425FB" w:rsidP="004425FB">
      <w:pPr>
        <w:jc w:val="center"/>
        <w:rPr>
          <w:bCs/>
          <w:noProof/>
          <w:sz w:val="24"/>
          <w:szCs w:val="24"/>
          <w:lang w:val="es-ES"/>
        </w:rPr>
      </w:pPr>
    </w:p>
    <w:p w14:paraId="76BED103" w14:textId="77777777" w:rsidR="004425FB" w:rsidRPr="00C37312" w:rsidRDefault="004425FB" w:rsidP="004425FB">
      <w:pPr>
        <w:shd w:val="clear" w:color="auto" w:fill="FFFFFF"/>
        <w:spacing w:after="150"/>
        <w:jc w:val="both"/>
        <w:rPr>
          <w:color w:val="000000"/>
          <w:sz w:val="24"/>
          <w:szCs w:val="24"/>
          <w:lang w:val="es-ES" w:eastAsia="en-GB"/>
        </w:rPr>
      </w:pPr>
      <w:r w:rsidRPr="00C37312">
        <w:rPr>
          <w:color w:val="000000"/>
          <w:sz w:val="24"/>
          <w:szCs w:val="24"/>
          <w:lang w:val="es-ES" w:eastAsia="en-GB"/>
        </w:rPr>
        <w:t>El Relator Especial sobre el derecho a una vivienda adecuada y el Relator Especial sobre la extrema pobreza y los derechos humanos invitan a los Estados, a los gobiernos locales, a las organizaciones de la sociedad civil, a las Instituciones Nacionales de Derechos Humanos y a las asociaciones nacionales que trabajan con las personas sin hogar, a presentar información relativa a:</w:t>
      </w:r>
    </w:p>
    <w:p w14:paraId="11656910" w14:textId="77777777" w:rsidR="004425FB" w:rsidRPr="00C37312" w:rsidRDefault="004425FB" w:rsidP="004425FB">
      <w:pPr>
        <w:numPr>
          <w:ilvl w:val="0"/>
          <w:numId w:val="24"/>
        </w:numPr>
        <w:shd w:val="clear" w:color="auto" w:fill="FFFFFF"/>
        <w:spacing w:before="120" w:after="120"/>
        <w:jc w:val="both"/>
        <w:rPr>
          <w:color w:val="000000"/>
          <w:sz w:val="24"/>
          <w:szCs w:val="24"/>
          <w:lang w:val="es-ES" w:eastAsia="en-GB"/>
        </w:rPr>
      </w:pPr>
      <w:r w:rsidRPr="00C37312">
        <w:rPr>
          <w:color w:val="000000"/>
          <w:sz w:val="24"/>
          <w:szCs w:val="24"/>
          <w:lang w:val="es-ES" w:eastAsia="en-GB"/>
        </w:rPr>
        <w:t>Leyes o normativas que prohíban mendigar, comer, dormir o realizar actividades de higiene personal en todos los lugares públicos o en algunos de ellos (sírvase incluir el texto de estas leyes y normativas y especificar si se aplican efectivamente).</w:t>
      </w:r>
    </w:p>
    <w:p w14:paraId="7A7C3FC9" w14:textId="77777777" w:rsidR="004425FB" w:rsidRPr="00C37312" w:rsidRDefault="004425FB" w:rsidP="004425FB">
      <w:pPr>
        <w:numPr>
          <w:ilvl w:val="0"/>
          <w:numId w:val="24"/>
        </w:numPr>
        <w:shd w:val="clear" w:color="auto" w:fill="FFFFFF"/>
        <w:spacing w:before="120" w:after="120"/>
        <w:jc w:val="both"/>
        <w:rPr>
          <w:color w:val="000000"/>
          <w:sz w:val="24"/>
          <w:szCs w:val="24"/>
          <w:lang w:val="es-ES" w:eastAsia="en-GB"/>
        </w:rPr>
      </w:pPr>
      <w:r w:rsidRPr="00C37312">
        <w:rPr>
          <w:color w:val="000000"/>
          <w:sz w:val="24"/>
          <w:szCs w:val="24"/>
          <w:lang w:val="es-ES" w:eastAsia="en-GB"/>
        </w:rPr>
        <w:t>Leyes o reglamentos que permiten la detención o encarcelamiento de personas que no pueden pagar la multa impuesta por delitos menores.</w:t>
      </w:r>
    </w:p>
    <w:p w14:paraId="0BA7EBF9" w14:textId="77777777" w:rsidR="004425FB" w:rsidRPr="00C37312" w:rsidRDefault="004425FB" w:rsidP="004425FB">
      <w:pPr>
        <w:numPr>
          <w:ilvl w:val="0"/>
          <w:numId w:val="24"/>
        </w:numPr>
        <w:shd w:val="clear" w:color="auto" w:fill="FFFFFF"/>
        <w:spacing w:before="120" w:after="120"/>
        <w:jc w:val="both"/>
        <w:rPr>
          <w:color w:val="000000"/>
          <w:sz w:val="24"/>
          <w:szCs w:val="24"/>
          <w:lang w:val="es-ES" w:eastAsia="en-GB"/>
        </w:rPr>
      </w:pPr>
      <w:r w:rsidRPr="00C37312">
        <w:rPr>
          <w:color w:val="000000"/>
          <w:sz w:val="24"/>
          <w:szCs w:val="24"/>
          <w:lang w:val="es-ES" w:eastAsia="en-GB"/>
        </w:rPr>
        <w:t xml:space="preserve">Información sobre los intentos realizados o previstos para despenalizar la </w:t>
      </w:r>
      <w:r w:rsidRPr="00C94D70">
        <w:rPr>
          <w:color w:val="000000"/>
          <w:sz w:val="24"/>
          <w:szCs w:val="24"/>
          <w:lang w:val="es-ES" w:eastAsia="en-GB"/>
        </w:rPr>
        <w:t>venta ambulante,</w:t>
      </w:r>
      <w:r>
        <w:rPr>
          <w:color w:val="000000"/>
          <w:sz w:val="24"/>
          <w:szCs w:val="24"/>
          <w:lang w:val="es-ES" w:eastAsia="en-GB"/>
        </w:rPr>
        <w:t xml:space="preserve"> les </w:t>
      </w:r>
      <w:r w:rsidRPr="00C94D70">
        <w:rPr>
          <w:color w:val="000000"/>
          <w:sz w:val="24"/>
          <w:szCs w:val="24"/>
          <w:lang w:val="es-ES" w:eastAsia="en-GB"/>
        </w:rPr>
        <w:t xml:space="preserve">actividades comerciales informales, </w:t>
      </w:r>
      <w:r>
        <w:rPr>
          <w:color w:val="000000"/>
          <w:sz w:val="24"/>
          <w:szCs w:val="24"/>
          <w:lang w:val="es-ES" w:eastAsia="en-GB"/>
        </w:rPr>
        <w:t xml:space="preserve">el </w:t>
      </w:r>
      <w:r w:rsidRPr="00C94D70">
        <w:rPr>
          <w:color w:val="000000"/>
          <w:sz w:val="24"/>
          <w:szCs w:val="24"/>
          <w:lang w:val="es-ES" w:eastAsia="en-GB"/>
        </w:rPr>
        <w:t>trabajo sexual</w:t>
      </w:r>
      <w:r>
        <w:rPr>
          <w:color w:val="000000"/>
          <w:sz w:val="24"/>
          <w:szCs w:val="24"/>
          <w:lang w:val="es-ES" w:eastAsia="en-GB"/>
        </w:rPr>
        <w:t>, la</w:t>
      </w:r>
      <w:r w:rsidRPr="00C94D70">
        <w:rPr>
          <w:color w:val="000000"/>
          <w:sz w:val="24"/>
          <w:szCs w:val="24"/>
          <w:lang w:val="es-ES" w:eastAsia="en-GB"/>
        </w:rPr>
        <w:t xml:space="preserve"> </w:t>
      </w:r>
      <w:r w:rsidRPr="00C37312">
        <w:rPr>
          <w:color w:val="000000"/>
          <w:sz w:val="24"/>
          <w:szCs w:val="24"/>
          <w:lang w:val="es-ES" w:eastAsia="en-GB"/>
        </w:rPr>
        <w:t>mendicidad, comer, dormir o realizar actividades de higiene personal en lugares públicos.</w:t>
      </w:r>
    </w:p>
    <w:p w14:paraId="44145CF0" w14:textId="77777777" w:rsidR="004425FB" w:rsidRDefault="004425FB" w:rsidP="004425FB">
      <w:pPr>
        <w:numPr>
          <w:ilvl w:val="0"/>
          <w:numId w:val="24"/>
        </w:numPr>
        <w:shd w:val="clear" w:color="auto" w:fill="FFFFFF"/>
        <w:spacing w:before="120" w:after="120"/>
        <w:jc w:val="both"/>
        <w:rPr>
          <w:color w:val="000000"/>
          <w:sz w:val="24"/>
          <w:szCs w:val="24"/>
          <w:lang w:val="es-ES" w:eastAsia="en-GB"/>
        </w:rPr>
      </w:pPr>
      <w:r w:rsidRPr="00C37312">
        <w:rPr>
          <w:color w:val="000000"/>
          <w:sz w:val="24"/>
          <w:szCs w:val="24"/>
          <w:lang w:val="es-ES" w:eastAsia="en-GB"/>
        </w:rPr>
        <w:t>Información relativa a iniciativas para cambiar la respuesta de los funcionarios encargados de hacer cumplir la ley y del sistema de justicia penal, desde la penalización, el castigo o la detención, hacia la facilitación de la inclusión social de las personas que viven en la pobreza o sin hogar.</w:t>
      </w:r>
    </w:p>
    <w:p w14:paraId="5C3E46D7" w14:textId="77777777" w:rsidR="004425FB" w:rsidRDefault="004425FB" w:rsidP="004425FB">
      <w:pPr>
        <w:numPr>
          <w:ilvl w:val="0"/>
          <w:numId w:val="24"/>
        </w:numPr>
        <w:shd w:val="clear" w:color="auto" w:fill="FFFFFF"/>
        <w:spacing w:before="120" w:after="120"/>
        <w:jc w:val="both"/>
        <w:rPr>
          <w:color w:val="000000"/>
          <w:sz w:val="24"/>
          <w:szCs w:val="24"/>
          <w:lang w:val="es-ES" w:eastAsia="en-GB"/>
        </w:rPr>
      </w:pPr>
      <w:r w:rsidRPr="002562F3">
        <w:rPr>
          <w:color w:val="000000"/>
          <w:sz w:val="24"/>
          <w:szCs w:val="24"/>
          <w:lang w:val="es-ES" w:eastAsia="en-GB"/>
        </w:rPr>
        <w:t>Medidas y servicios disponibles a nivel nacional, regional o municipal para ayudar a las personas que viven en la pobreza y en situación de vulnerabilidad de tener que recurrir a la mendicidad, dormir, lavarse, defecar o realizar otras actividades higiénicas en lugares públicos, por carecer de acceso al empleo, asistencia social, vivienda adecuada, duchas y aseos públicos.</w:t>
      </w:r>
    </w:p>
    <w:p w14:paraId="5C309646" w14:textId="77777777" w:rsidR="004425FB" w:rsidRPr="00C05790" w:rsidRDefault="004425FB" w:rsidP="004425FB">
      <w:pPr>
        <w:shd w:val="clear" w:color="auto" w:fill="FFFFFF"/>
        <w:suppressAutoHyphens/>
        <w:spacing w:before="240" w:line="240" w:lineRule="atLeast"/>
        <w:ind w:left="1134" w:right="1134"/>
        <w:jc w:val="center"/>
        <w:rPr>
          <w:color w:val="000000"/>
          <w:sz w:val="24"/>
          <w:szCs w:val="24"/>
          <w:u w:val="single"/>
          <w:lang w:val="es-ES" w:eastAsia="en-GB"/>
        </w:rPr>
      </w:pPr>
      <w:r>
        <w:rPr>
          <w:color w:val="000000"/>
          <w:sz w:val="24"/>
          <w:szCs w:val="24"/>
          <w:u w:val="single"/>
          <w:lang w:val="es-ES" w:eastAsia="en-GB"/>
        </w:rPr>
        <w:tab/>
      </w:r>
      <w:r>
        <w:rPr>
          <w:color w:val="000000"/>
          <w:sz w:val="24"/>
          <w:szCs w:val="24"/>
          <w:u w:val="single"/>
          <w:lang w:val="es-ES" w:eastAsia="en-GB"/>
        </w:rPr>
        <w:tab/>
      </w:r>
      <w:r>
        <w:rPr>
          <w:color w:val="000000"/>
          <w:sz w:val="24"/>
          <w:szCs w:val="24"/>
          <w:u w:val="single"/>
          <w:lang w:val="es-ES" w:eastAsia="en-GB"/>
        </w:rPr>
        <w:tab/>
      </w:r>
    </w:p>
    <w:p w14:paraId="66E1C025" w14:textId="766201B2" w:rsidR="004425FB" w:rsidRDefault="004425FB" w:rsidP="008D0EFE">
      <w:pPr>
        <w:jc w:val="center"/>
        <w:rPr>
          <w:b/>
          <w:sz w:val="24"/>
          <w:szCs w:val="24"/>
          <w:lang w:val="es-ES"/>
        </w:rPr>
      </w:pPr>
    </w:p>
    <w:p w14:paraId="5159679E" w14:textId="77777777" w:rsidR="004425FB" w:rsidRPr="00C37312" w:rsidRDefault="004425FB" w:rsidP="004425FB">
      <w:pPr>
        <w:pStyle w:val="NormalWeb"/>
        <w:shd w:val="clear" w:color="auto" w:fill="FFFFFF"/>
        <w:spacing w:before="0" w:after="150"/>
        <w:rPr>
          <w:rFonts w:ascii="Times New Roman" w:hAnsi="Times New Roman"/>
          <w:b/>
          <w:color w:val="000000"/>
          <w:sz w:val="24"/>
          <w:lang w:val="es-ES"/>
        </w:rPr>
      </w:pPr>
      <w:r w:rsidRPr="00C37312">
        <w:rPr>
          <w:rFonts w:ascii="Times New Roman" w:hAnsi="Times New Roman"/>
          <w:b/>
          <w:color w:val="000000"/>
          <w:sz w:val="24"/>
          <w:lang w:val="es-ES"/>
        </w:rPr>
        <w:t>Instrucciones de presentación</w:t>
      </w:r>
    </w:p>
    <w:p w14:paraId="6DE900C5" w14:textId="6BA59E5A" w:rsidR="004425FB" w:rsidRPr="00C37312" w:rsidRDefault="004425FB" w:rsidP="004425FB">
      <w:pPr>
        <w:pStyle w:val="NormalWeb"/>
        <w:shd w:val="clear" w:color="auto" w:fill="FFFFFF"/>
        <w:spacing w:before="0" w:after="150"/>
        <w:rPr>
          <w:rFonts w:ascii="Times New Roman" w:hAnsi="Times New Roman"/>
          <w:color w:val="000000"/>
          <w:sz w:val="24"/>
          <w:lang w:val="es-ES"/>
        </w:rPr>
      </w:pPr>
      <w:r w:rsidRPr="00C37312">
        <w:rPr>
          <w:rFonts w:ascii="Times New Roman" w:hAnsi="Times New Roman"/>
          <w:color w:val="000000"/>
          <w:sz w:val="24"/>
          <w:lang w:val="es-ES"/>
        </w:rPr>
        <w:t xml:space="preserve">Nuevo plazo de presentación: </w:t>
      </w:r>
      <w:r w:rsidR="00213B23">
        <w:rPr>
          <w:rFonts w:ascii="Times New Roman" w:hAnsi="Times New Roman"/>
          <w:b/>
          <w:color w:val="000000"/>
          <w:sz w:val="24"/>
          <w:lang w:val="es-ES"/>
        </w:rPr>
        <w:t>6</w:t>
      </w:r>
      <w:r w:rsidRPr="00C37312">
        <w:rPr>
          <w:rFonts w:ascii="Times New Roman" w:hAnsi="Times New Roman"/>
          <w:b/>
          <w:color w:val="000000"/>
          <w:sz w:val="24"/>
          <w:lang w:val="es-ES"/>
        </w:rPr>
        <w:t xml:space="preserve"> de </w:t>
      </w:r>
      <w:r w:rsidR="00213B23">
        <w:rPr>
          <w:rFonts w:ascii="Times New Roman" w:hAnsi="Times New Roman"/>
          <w:b/>
          <w:color w:val="000000"/>
          <w:sz w:val="24"/>
          <w:lang w:val="es-ES"/>
        </w:rPr>
        <w:t>octubre</w:t>
      </w:r>
      <w:r w:rsidRPr="00C37312">
        <w:rPr>
          <w:rFonts w:ascii="Times New Roman" w:hAnsi="Times New Roman"/>
          <w:b/>
          <w:color w:val="000000"/>
          <w:sz w:val="24"/>
          <w:lang w:val="es-ES"/>
        </w:rPr>
        <w:t xml:space="preserve"> de 2023</w:t>
      </w:r>
    </w:p>
    <w:p w14:paraId="1ECF86BF" w14:textId="572AC4B7" w:rsidR="004425FB" w:rsidRPr="00C37312" w:rsidRDefault="004425FB" w:rsidP="004425FB">
      <w:pPr>
        <w:pStyle w:val="NormalWeb"/>
        <w:shd w:val="clear" w:color="auto" w:fill="FFFFFF"/>
        <w:spacing w:before="0" w:after="150"/>
        <w:rPr>
          <w:rStyle w:val="Hyperlink"/>
          <w:rFonts w:ascii="Times New Roman" w:hAnsi="Times New Roman"/>
          <w:sz w:val="24"/>
          <w:lang w:val="es-ES"/>
        </w:rPr>
      </w:pPr>
      <w:r w:rsidRPr="00C37312">
        <w:rPr>
          <w:rFonts w:ascii="Times New Roman" w:hAnsi="Times New Roman"/>
          <w:color w:val="000000"/>
          <w:sz w:val="24"/>
          <w:lang w:val="es-ES"/>
        </w:rPr>
        <w:t xml:space="preserve">Rogamos envíen las respuestas, si es posible, en inglés (preferiblemente), español o francés. Las respuestas al cuestionario y cualquier informe o documentación pertinente deben enviarse a </w:t>
      </w:r>
      <w:hyperlink r:id="rId14" w:history="1">
        <w:r w:rsidRPr="00803FC0">
          <w:rPr>
            <w:rStyle w:val="Hyperlink"/>
            <w:rFonts w:ascii="Times New Roman" w:hAnsi="Times New Roman"/>
            <w:sz w:val="24"/>
            <w:lang w:val="es-ES"/>
          </w:rPr>
          <w:t>ohchr-registry@un.org</w:t>
        </w:r>
      </w:hyperlink>
      <w:r>
        <w:rPr>
          <w:rFonts w:ascii="Times New Roman" w:hAnsi="Times New Roman"/>
          <w:color w:val="000000"/>
          <w:sz w:val="24"/>
          <w:lang w:val="es-ES"/>
        </w:rPr>
        <w:t xml:space="preserve"> </w:t>
      </w:r>
      <w:r w:rsidRPr="001737C5">
        <w:rPr>
          <w:rFonts w:ascii="Times New Roman" w:hAnsi="Times New Roman"/>
          <w:color w:val="000000"/>
          <w:sz w:val="24"/>
          <w:lang w:val="es-ES"/>
        </w:rPr>
        <w:t xml:space="preserve"> </w:t>
      </w:r>
      <w:r w:rsidRPr="00C37312">
        <w:rPr>
          <w:rFonts w:ascii="Times New Roman" w:hAnsi="Times New Roman"/>
          <w:color w:val="000000"/>
          <w:sz w:val="24"/>
          <w:lang w:val="es-ES"/>
        </w:rPr>
        <w:t xml:space="preserve">(cc: </w:t>
      </w:r>
      <w:hyperlink r:id="rId15" w:history="1">
        <w:r w:rsidRPr="003F2527">
          <w:rPr>
            <w:rStyle w:val="Hyperlink"/>
            <w:rFonts w:ascii="Times New Roman" w:hAnsi="Times New Roman"/>
            <w:sz w:val="24"/>
            <w:lang w:val="es-ES"/>
          </w:rPr>
          <w:t>hrc-sr-housing@un.org</w:t>
        </w:r>
      </w:hyperlink>
      <w:r>
        <w:rPr>
          <w:rFonts w:ascii="Times New Roman" w:hAnsi="Times New Roman"/>
          <w:color w:val="000000"/>
          <w:sz w:val="24"/>
          <w:lang w:val="es-ES"/>
        </w:rPr>
        <w:t xml:space="preserve"> </w:t>
      </w:r>
      <w:r w:rsidRPr="00C37312">
        <w:rPr>
          <w:rFonts w:ascii="Times New Roman" w:hAnsi="Times New Roman"/>
          <w:color w:val="000000"/>
          <w:sz w:val="24"/>
          <w:lang w:val="es-ES"/>
        </w:rPr>
        <w:t xml:space="preserve"> y </w:t>
      </w:r>
      <w:hyperlink r:id="rId16" w:history="1">
        <w:r w:rsidRPr="00803FC0">
          <w:rPr>
            <w:rStyle w:val="Hyperlink"/>
            <w:rFonts w:ascii="Times New Roman" w:hAnsi="Times New Roman"/>
            <w:sz w:val="24"/>
            <w:lang w:val="es-ES"/>
          </w:rPr>
          <w:t>hrc-sr-extremepoverty@un.org</w:t>
        </w:r>
      </w:hyperlink>
      <w:r w:rsidRPr="00C37312">
        <w:rPr>
          <w:rFonts w:ascii="Times New Roman" w:hAnsi="Times New Roman"/>
          <w:sz w:val="24"/>
          <w:lang w:val="es-ES"/>
        </w:rPr>
        <w:t xml:space="preserve">) </w:t>
      </w:r>
    </w:p>
    <w:p w14:paraId="1A71068F" w14:textId="77777777" w:rsidR="004425FB" w:rsidRPr="00C37312" w:rsidRDefault="004425FB" w:rsidP="004425FB">
      <w:pPr>
        <w:pStyle w:val="NormalWeb"/>
        <w:shd w:val="clear" w:color="auto" w:fill="FFFFFF"/>
        <w:spacing w:before="0" w:after="150"/>
        <w:rPr>
          <w:rFonts w:ascii="Times New Roman" w:hAnsi="Times New Roman"/>
          <w:color w:val="000000"/>
          <w:sz w:val="24"/>
          <w:lang w:val="es-ES"/>
        </w:rPr>
      </w:pPr>
      <w:r w:rsidRPr="00C37312">
        <w:rPr>
          <w:rFonts w:ascii="Times New Roman" w:hAnsi="Times New Roman"/>
          <w:color w:val="000000"/>
          <w:sz w:val="24"/>
          <w:lang w:val="es-ES"/>
        </w:rPr>
        <w:t xml:space="preserve">Facilite también enlaces a las leyes, reglamentos y políticas pertinentes o envíe copias de los mismos. </w:t>
      </w:r>
    </w:p>
    <w:p w14:paraId="7D156620" w14:textId="77777777" w:rsidR="004425FB" w:rsidRPr="00C37312" w:rsidRDefault="004425FB" w:rsidP="004425FB">
      <w:pPr>
        <w:pStyle w:val="NormalWeb"/>
        <w:shd w:val="clear" w:color="auto" w:fill="FFFFFF"/>
        <w:spacing w:before="0" w:after="150"/>
        <w:rPr>
          <w:rFonts w:ascii="Times New Roman" w:hAnsi="Times New Roman"/>
          <w:color w:val="000000"/>
          <w:sz w:val="24"/>
          <w:lang w:val="es-ES"/>
        </w:rPr>
      </w:pPr>
      <w:r w:rsidRPr="00C37312">
        <w:rPr>
          <w:rFonts w:ascii="Times New Roman" w:hAnsi="Times New Roman"/>
          <w:color w:val="000000"/>
          <w:sz w:val="24"/>
          <w:lang w:val="es-ES"/>
        </w:rPr>
        <w:t xml:space="preserve">Con el fin de garantizar la accesibilidad de la información presentada para las personas con discapacidad visual, se prefieren las presentaciones en formato Word en lugar de PDF. </w:t>
      </w:r>
    </w:p>
    <w:p w14:paraId="28E813D5" w14:textId="77777777" w:rsidR="004425FB" w:rsidRDefault="004425FB" w:rsidP="008D0EFE">
      <w:pPr>
        <w:jc w:val="center"/>
        <w:rPr>
          <w:b/>
          <w:sz w:val="24"/>
          <w:szCs w:val="24"/>
          <w:lang w:val="es-ES"/>
        </w:rPr>
      </w:pPr>
    </w:p>
    <w:sectPr w:rsidR="004425FB" w:rsidSect="00656423">
      <w:footerReference w:type="default" r:id="rId17"/>
      <w:headerReference w:type="first" r:id="rId18"/>
      <w:foot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14B3A" w14:textId="77777777" w:rsidR="00BA3538" w:rsidRDefault="00BA3538">
      <w:r>
        <w:separator/>
      </w:r>
    </w:p>
  </w:endnote>
  <w:endnote w:type="continuationSeparator" w:id="0">
    <w:p w14:paraId="7B785EDB" w14:textId="77777777" w:rsidR="00BA3538" w:rsidRDefault="00BA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8A50" w14:textId="77777777" w:rsidR="00213B23" w:rsidRDefault="00213B23"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C0BE" w14:textId="77777777" w:rsidR="007711A8" w:rsidRDefault="007711A8" w:rsidP="00E9569F">
    <w:pPr>
      <w:pStyle w:val="Footer"/>
      <w:rPr>
        <w:noProof/>
        <w:sz w:val="24"/>
        <w:szCs w:val="24"/>
      </w:rPr>
    </w:pPr>
  </w:p>
  <w:p w14:paraId="1C0A0991" w14:textId="77777777" w:rsidR="00C17B65" w:rsidRPr="002873B2" w:rsidRDefault="00C17B65"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5F30" w14:textId="77777777" w:rsidR="00BA3538" w:rsidRDefault="00BA3538">
      <w:r>
        <w:separator/>
      </w:r>
    </w:p>
  </w:footnote>
  <w:footnote w:type="continuationSeparator" w:id="0">
    <w:p w14:paraId="2BCF16E7" w14:textId="77777777" w:rsidR="00BA3538" w:rsidRDefault="00BA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87A5" w14:textId="16165A41" w:rsidR="0003674D" w:rsidRPr="00925A9D" w:rsidRDefault="004425FB" w:rsidP="00E97A8F">
    <w:pPr>
      <w:pStyle w:val="Header"/>
      <w:tabs>
        <w:tab w:val="clear" w:pos="4153"/>
        <w:tab w:val="clear" w:pos="8306"/>
      </w:tabs>
      <w:jc w:val="center"/>
      <w:rPr>
        <w:sz w:val="14"/>
        <w:szCs w:val="14"/>
        <w:lang w:val="en-GB"/>
      </w:rPr>
    </w:pPr>
    <w:r>
      <w:rPr>
        <w:noProof/>
      </w:rPr>
      <w:drawing>
        <wp:inline distT="0" distB="0" distL="0" distR="0" wp14:anchorId="72913ECF" wp14:editId="49238B2D">
          <wp:extent cx="2838450" cy="1219200"/>
          <wp:effectExtent l="0" t="0" r="0" b="0"/>
          <wp:docPr id="2" name="Picture 2"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P Logo black - spanish"/>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1" w15:restartNumberingAfterBreak="0">
    <w:nsid w:val="3CFF533E"/>
    <w:multiLevelType w:val="multilevel"/>
    <w:tmpl w:val="A1585E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84656594">
    <w:abstractNumId w:val="15"/>
  </w:num>
  <w:num w:numId="2" w16cid:durableId="168452819">
    <w:abstractNumId w:val="23"/>
  </w:num>
  <w:num w:numId="3" w16cid:durableId="175316764">
    <w:abstractNumId w:val="17"/>
  </w:num>
  <w:num w:numId="4" w16cid:durableId="1464739522">
    <w:abstractNumId w:val="7"/>
  </w:num>
  <w:num w:numId="5" w16cid:durableId="249387887">
    <w:abstractNumId w:val="18"/>
  </w:num>
  <w:num w:numId="6" w16cid:durableId="1978758177">
    <w:abstractNumId w:val="9"/>
  </w:num>
  <w:num w:numId="7" w16cid:durableId="902060003">
    <w:abstractNumId w:val="2"/>
  </w:num>
  <w:num w:numId="8" w16cid:durableId="218832100">
    <w:abstractNumId w:val="10"/>
  </w:num>
  <w:num w:numId="9" w16cid:durableId="1774544949">
    <w:abstractNumId w:val="3"/>
  </w:num>
  <w:num w:numId="10" w16cid:durableId="820653606">
    <w:abstractNumId w:val="1"/>
  </w:num>
  <w:num w:numId="11" w16cid:durableId="1379473916">
    <w:abstractNumId w:val="8"/>
  </w:num>
  <w:num w:numId="12" w16cid:durableId="1507283056">
    <w:abstractNumId w:val="21"/>
  </w:num>
  <w:num w:numId="13" w16cid:durableId="1897353264">
    <w:abstractNumId w:val="22"/>
  </w:num>
  <w:num w:numId="14" w16cid:durableId="349794073">
    <w:abstractNumId w:val="14"/>
  </w:num>
  <w:num w:numId="15" w16cid:durableId="491720169">
    <w:abstractNumId w:val="5"/>
  </w:num>
  <w:num w:numId="16" w16cid:durableId="1025011819">
    <w:abstractNumId w:val="0"/>
  </w:num>
  <w:num w:numId="17" w16cid:durableId="2058510452">
    <w:abstractNumId w:val="20"/>
  </w:num>
  <w:num w:numId="18" w16cid:durableId="877855789">
    <w:abstractNumId w:val="6"/>
  </w:num>
  <w:num w:numId="19" w16cid:durableId="246426364">
    <w:abstractNumId w:val="13"/>
  </w:num>
  <w:num w:numId="20" w16cid:durableId="1148277974">
    <w:abstractNumId w:val="4"/>
  </w:num>
  <w:num w:numId="21" w16cid:durableId="1528787052">
    <w:abstractNumId w:val="19"/>
  </w:num>
  <w:num w:numId="22" w16cid:durableId="271207453">
    <w:abstractNumId w:val="16"/>
  </w:num>
  <w:num w:numId="23" w16cid:durableId="735279358">
    <w:abstractNumId w:val="12"/>
  </w:num>
  <w:num w:numId="24" w16cid:durableId="39476518">
    <w:abstractNumId w:val="11"/>
  </w:num>
  <w:num w:numId="25" w16cid:durableId="12938225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25FC"/>
    <w:rsid w:val="00023FD8"/>
    <w:rsid w:val="00026D1F"/>
    <w:rsid w:val="0003674D"/>
    <w:rsid w:val="0005390B"/>
    <w:rsid w:val="00062427"/>
    <w:rsid w:val="00063BFD"/>
    <w:rsid w:val="00077294"/>
    <w:rsid w:val="000875C6"/>
    <w:rsid w:val="000903A6"/>
    <w:rsid w:val="00091BF0"/>
    <w:rsid w:val="000A2B89"/>
    <w:rsid w:val="000A6F03"/>
    <w:rsid w:val="000B12B7"/>
    <w:rsid w:val="000D210E"/>
    <w:rsid w:val="000D34F2"/>
    <w:rsid w:val="000E2860"/>
    <w:rsid w:val="000E42EE"/>
    <w:rsid w:val="000F183C"/>
    <w:rsid w:val="00106F64"/>
    <w:rsid w:val="00107B2B"/>
    <w:rsid w:val="00115798"/>
    <w:rsid w:val="00117F5F"/>
    <w:rsid w:val="001205D6"/>
    <w:rsid w:val="001456CB"/>
    <w:rsid w:val="001537CC"/>
    <w:rsid w:val="00153DB2"/>
    <w:rsid w:val="0015615C"/>
    <w:rsid w:val="001676BA"/>
    <w:rsid w:val="00183B60"/>
    <w:rsid w:val="00193C30"/>
    <w:rsid w:val="00194332"/>
    <w:rsid w:val="001B7B09"/>
    <w:rsid w:val="001C4360"/>
    <w:rsid w:val="001D3313"/>
    <w:rsid w:val="001D6ED3"/>
    <w:rsid w:val="001E3384"/>
    <w:rsid w:val="002028A9"/>
    <w:rsid w:val="0021296A"/>
    <w:rsid w:val="002129D5"/>
    <w:rsid w:val="00213B23"/>
    <w:rsid w:val="00221893"/>
    <w:rsid w:val="00224386"/>
    <w:rsid w:val="00227E2F"/>
    <w:rsid w:val="00227EAD"/>
    <w:rsid w:val="00230775"/>
    <w:rsid w:val="00232EE8"/>
    <w:rsid w:val="00235A1A"/>
    <w:rsid w:val="002431DB"/>
    <w:rsid w:val="00244860"/>
    <w:rsid w:val="0024583B"/>
    <w:rsid w:val="0025174E"/>
    <w:rsid w:val="00257195"/>
    <w:rsid w:val="00266D70"/>
    <w:rsid w:val="00276F10"/>
    <w:rsid w:val="00280331"/>
    <w:rsid w:val="00282E14"/>
    <w:rsid w:val="0028624E"/>
    <w:rsid w:val="002863A2"/>
    <w:rsid w:val="002873B2"/>
    <w:rsid w:val="00293243"/>
    <w:rsid w:val="002969BF"/>
    <w:rsid w:val="002D5F97"/>
    <w:rsid w:val="002E65F4"/>
    <w:rsid w:val="00305B08"/>
    <w:rsid w:val="00335FB9"/>
    <w:rsid w:val="00356299"/>
    <w:rsid w:val="003577DB"/>
    <w:rsid w:val="00380489"/>
    <w:rsid w:val="00385F89"/>
    <w:rsid w:val="003956EF"/>
    <w:rsid w:val="00396E4C"/>
    <w:rsid w:val="003A3957"/>
    <w:rsid w:val="003A4F64"/>
    <w:rsid w:val="003C37C3"/>
    <w:rsid w:val="003D0C10"/>
    <w:rsid w:val="003D3D66"/>
    <w:rsid w:val="003E552B"/>
    <w:rsid w:val="003F6FAC"/>
    <w:rsid w:val="00401FD2"/>
    <w:rsid w:val="00410560"/>
    <w:rsid w:val="00411C0A"/>
    <w:rsid w:val="004153DE"/>
    <w:rsid w:val="00415EFC"/>
    <w:rsid w:val="00440385"/>
    <w:rsid w:val="00440E30"/>
    <w:rsid w:val="00440ED0"/>
    <w:rsid w:val="004425FB"/>
    <w:rsid w:val="00443DF5"/>
    <w:rsid w:val="004448BF"/>
    <w:rsid w:val="00447412"/>
    <w:rsid w:val="00455C6D"/>
    <w:rsid w:val="00456419"/>
    <w:rsid w:val="00460258"/>
    <w:rsid w:val="004A5D9B"/>
    <w:rsid w:val="004B4C3E"/>
    <w:rsid w:val="004B4CAC"/>
    <w:rsid w:val="004B709A"/>
    <w:rsid w:val="004C044F"/>
    <w:rsid w:val="004D21C9"/>
    <w:rsid w:val="004D3D30"/>
    <w:rsid w:val="004D5717"/>
    <w:rsid w:val="004D5D19"/>
    <w:rsid w:val="004E0AB6"/>
    <w:rsid w:val="004E49EC"/>
    <w:rsid w:val="004E4D86"/>
    <w:rsid w:val="004F4DB0"/>
    <w:rsid w:val="005167F0"/>
    <w:rsid w:val="00520DCB"/>
    <w:rsid w:val="00523044"/>
    <w:rsid w:val="00530EF5"/>
    <w:rsid w:val="00535992"/>
    <w:rsid w:val="005417E4"/>
    <w:rsid w:val="005455F8"/>
    <w:rsid w:val="0055573E"/>
    <w:rsid w:val="00562D63"/>
    <w:rsid w:val="0057077C"/>
    <w:rsid w:val="00570A1B"/>
    <w:rsid w:val="00570E41"/>
    <w:rsid w:val="00576638"/>
    <w:rsid w:val="005849E6"/>
    <w:rsid w:val="00585F8E"/>
    <w:rsid w:val="005871D9"/>
    <w:rsid w:val="00590218"/>
    <w:rsid w:val="00594153"/>
    <w:rsid w:val="005957ED"/>
    <w:rsid w:val="005C66AC"/>
    <w:rsid w:val="005E7C37"/>
    <w:rsid w:val="005F283E"/>
    <w:rsid w:val="0060068B"/>
    <w:rsid w:val="0060785C"/>
    <w:rsid w:val="0062194C"/>
    <w:rsid w:val="006279A8"/>
    <w:rsid w:val="00627A52"/>
    <w:rsid w:val="0063240F"/>
    <w:rsid w:val="00635102"/>
    <w:rsid w:val="00636BD7"/>
    <w:rsid w:val="006375A5"/>
    <w:rsid w:val="006412EA"/>
    <w:rsid w:val="00645695"/>
    <w:rsid w:val="00650CD4"/>
    <w:rsid w:val="00656423"/>
    <w:rsid w:val="006605E5"/>
    <w:rsid w:val="00660EDA"/>
    <w:rsid w:val="006617A4"/>
    <w:rsid w:val="00667227"/>
    <w:rsid w:val="006749F6"/>
    <w:rsid w:val="00682D26"/>
    <w:rsid w:val="00682DDB"/>
    <w:rsid w:val="006834E4"/>
    <w:rsid w:val="00687E4F"/>
    <w:rsid w:val="00695D3E"/>
    <w:rsid w:val="006A129D"/>
    <w:rsid w:val="006A7352"/>
    <w:rsid w:val="006B149F"/>
    <w:rsid w:val="006B5A71"/>
    <w:rsid w:val="006C0B2A"/>
    <w:rsid w:val="006E6CC3"/>
    <w:rsid w:val="006F790C"/>
    <w:rsid w:val="007114F8"/>
    <w:rsid w:val="00712363"/>
    <w:rsid w:val="00712EFD"/>
    <w:rsid w:val="00716D30"/>
    <w:rsid w:val="007210F6"/>
    <w:rsid w:val="00721251"/>
    <w:rsid w:val="00723438"/>
    <w:rsid w:val="00733660"/>
    <w:rsid w:val="00741EBC"/>
    <w:rsid w:val="007432E5"/>
    <w:rsid w:val="007450E8"/>
    <w:rsid w:val="007625BA"/>
    <w:rsid w:val="00765952"/>
    <w:rsid w:val="007711A8"/>
    <w:rsid w:val="00776BDB"/>
    <w:rsid w:val="00781D2C"/>
    <w:rsid w:val="00786C82"/>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E07CB"/>
    <w:rsid w:val="007E39E1"/>
    <w:rsid w:val="007F7DA3"/>
    <w:rsid w:val="00803CE1"/>
    <w:rsid w:val="0081101A"/>
    <w:rsid w:val="00811BE8"/>
    <w:rsid w:val="00813191"/>
    <w:rsid w:val="0081788D"/>
    <w:rsid w:val="00834A74"/>
    <w:rsid w:val="00842120"/>
    <w:rsid w:val="00842220"/>
    <w:rsid w:val="008427AA"/>
    <w:rsid w:val="00846B4A"/>
    <w:rsid w:val="008553DE"/>
    <w:rsid w:val="008568EA"/>
    <w:rsid w:val="008656FA"/>
    <w:rsid w:val="00874280"/>
    <w:rsid w:val="008774E3"/>
    <w:rsid w:val="00886D5A"/>
    <w:rsid w:val="008A2623"/>
    <w:rsid w:val="008A2957"/>
    <w:rsid w:val="008B33E8"/>
    <w:rsid w:val="008B4DD7"/>
    <w:rsid w:val="008B4F3E"/>
    <w:rsid w:val="008B6B53"/>
    <w:rsid w:val="008C2924"/>
    <w:rsid w:val="008C5CD6"/>
    <w:rsid w:val="008C60C0"/>
    <w:rsid w:val="008D0EFE"/>
    <w:rsid w:val="008D1A3C"/>
    <w:rsid w:val="008D1D6F"/>
    <w:rsid w:val="008D1F52"/>
    <w:rsid w:val="008D3B8A"/>
    <w:rsid w:val="008E46C1"/>
    <w:rsid w:val="008F3473"/>
    <w:rsid w:val="009066BC"/>
    <w:rsid w:val="009240B2"/>
    <w:rsid w:val="00925A9D"/>
    <w:rsid w:val="009337F5"/>
    <w:rsid w:val="009358CD"/>
    <w:rsid w:val="00944040"/>
    <w:rsid w:val="00944E25"/>
    <w:rsid w:val="00945265"/>
    <w:rsid w:val="009469B5"/>
    <w:rsid w:val="00946B6F"/>
    <w:rsid w:val="00951601"/>
    <w:rsid w:val="009538E4"/>
    <w:rsid w:val="00977C96"/>
    <w:rsid w:val="00982FCF"/>
    <w:rsid w:val="00983FB8"/>
    <w:rsid w:val="0098565E"/>
    <w:rsid w:val="00986237"/>
    <w:rsid w:val="00997618"/>
    <w:rsid w:val="009A2849"/>
    <w:rsid w:val="009A3A4F"/>
    <w:rsid w:val="009B3769"/>
    <w:rsid w:val="009B459A"/>
    <w:rsid w:val="009B7E19"/>
    <w:rsid w:val="009D76A9"/>
    <w:rsid w:val="009E00AF"/>
    <w:rsid w:val="009F18EC"/>
    <w:rsid w:val="009F2043"/>
    <w:rsid w:val="00A01741"/>
    <w:rsid w:val="00A153DB"/>
    <w:rsid w:val="00A21EF1"/>
    <w:rsid w:val="00A23646"/>
    <w:rsid w:val="00A27C63"/>
    <w:rsid w:val="00A34DA7"/>
    <w:rsid w:val="00A364CF"/>
    <w:rsid w:val="00A3761B"/>
    <w:rsid w:val="00A40490"/>
    <w:rsid w:val="00A439B9"/>
    <w:rsid w:val="00A54482"/>
    <w:rsid w:val="00A564C7"/>
    <w:rsid w:val="00A61E26"/>
    <w:rsid w:val="00A63977"/>
    <w:rsid w:val="00A72789"/>
    <w:rsid w:val="00A86B19"/>
    <w:rsid w:val="00A86E08"/>
    <w:rsid w:val="00A9048E"/>
    <w:rsid w:val="00AA3895"/>
    <w:rsid w:val="00AB5184"/>
    <w:rsid w:val="00AC50E4"/>
    <w:rsid w:val="00AD1796"/>
    <w:rsid w:val="00AD4CA9"/>
    <w:rsid w:val="00AE2231"/>
    <w:rsid w:val="00AE69A2"/>
    <w:rsid w:val="00AE796C"/>
    <w:rsid w:val="00AF291B"/>
    <w:rsid w:val="00AF3626"/>
    <w:rsid w:val="00AF7230"/>
    <w:rsid w:val="00AF73D0"/>
    <w:rsid w:val="00B04529"/>
    <w:rsid w:val="00B10E44"/>
    <w:rsid w:val="00B13589"/>
    <w:rsid w:val="00B13D8A"/>
    <w:rsid w:val="00B14752"/>
    <w:rsid w:val="00B234F6"/>
    <w:rsid w:val="00B246B4"/>
    <w:rsid w:val="00B2618C"/>
    <w:rsid w:val="00B31236"/>
    <w:rsid w:val="00B40A55"/>
    <w:rsid w:val="00B42B30"/>
    <w:rsid w:val="00B43D96"/>
    <w:rsid w:val="00B458F6"/>
    <w:rsid w:val="00B54DD5"/>
    <w:rsid w:val="00B556C8"/>
    <w:rsid w:val="00B61545"/>
    <w:rsid w:val="00B6636E"/>
    <w:rsid w:val="00B70810"/>
    <w:rsid w:val="00B73FA8"/>
    <w:rsid w:val="00B73FD1"/>
    <w:rsid w:val="00B7425B"/>
    <w:rsid w:val="00B84F46"/>
    <w:rsid w:val="00BA1FC7"/>
    <w:rsid w:val="00BA3538"/>
    <w:rsid w:val="00BA6E02"/>
    <w:rsid w:val="00BD2C78"/>
    <w:rsid w:val="00BD6119"/>
    <w:rsid w:val="00BE7AC3"/>
    <w:rsid w:val="00BF61EE"/>
    <w:rsid w:val="00BF69D2"/>
    <w:rsid w:val="00C00A1D"/>
    <w:rsid w:val="00C06E97"/>
    <w:rsid w:val="00C07B5F"/>
    <w:rsid w:val="00C12BED"/>
    <w:rsid w:val="00C162CD"/>
    <w:rsid w:val="00C17B65"/>
    <w:rsid w:val="00C234D8"/>
    <w:rsid w:val="00C23DDD"/>
    <w:rsid w:val="00C35851"/>
    <w:rsid w:val="00C4132D"/>
    <w:rsid w:val="00C5224D"/>
    <w:rsid w:val="00C6141D"/>
    <w:rsid w:val="00C64254"/>
    <w:rsid w:val="00C707EA"/>
    <w:rsid w:val="00C73CD7"/>
    <w:rsid w:val="00C74811"/>
    <w:rsid w:val="00C772EF"/>
    <w:rsid w:val="00C82CCE"/>
    <w:rsid w:val="00CA560D"/>
    <w:rsid w:val="00CA65D2"/>
    <w:rsid w:val="00CB1C6E"/>
    <w:rsid w:val="00CC5BEF"/>
    <w:rsid w:val="00CE6A0E"/>
    <w:rsid w:val="00CF087D"/>
    <w:rsid w:val="00D00DDC"/>
    <w:rsid w:val="00D02F61"/>
    <w:rsid w:val="00D1125E"/>
    <w:rsid w:val="00D115F7"/>
    <w:rsid w:val="00D1750C"/>
    <w:rsid w:val="00D230B7"/>
    <w:rsid w:val="00D23B17"/>
    <w:rsid w:val="00D32E5B"/>
    <w:rsid w:val="00D3608E"/>
    <w:rsid w:val="00D36635"/>
    <w:rsid w:val="00D4635B"/>
    <w:rsid w:val="00D5082F"/>
    <w:rsid w:val="00D67524"/>
    <w:rsid w:val="00D70178"/>
    <w:rsid w:val="00D83BB4"/>
    <w:rsid w:val="00D84C7E"/>
    <w:rsid w:val="00D963DD"/>
    <w:rsid w:val="00D968C8"/>
    <w:rsid w:val="00DA5FC2"/>
    <w:rsid w:val="00DB415F"/>
    <w:rsid w:val="00DB5055"/>
    <w:rsid w:val="00DB5616"/>
    <w:rsid w:val="00DC0CA6"/>
    <w:rsid w:val="00DD4909"/>
    <w:rsid w:val="00DE226F"/>
    <w:rsid w:val="00DE5C84"/>
    <w:rsid w:val="00E15347"/>
    <w:rsid w:val="00E22392"/>
    <w:rsid w:val="00E30296"/>
    <w:rsid w:val="00E4367D"/>
    <w:rsid w:val="00E56372"/>
    <w:rsid w:val="00E60057"/>
    <w:rsid w:val="00E679E8"/>
    <w:rsid w:val="00E73F13"/>
    <w:rsid w:val="00E7635F"/>
    <w:rsid w:val="00E84288"/>
    <w:rsid w:val="00E9569F"/>
    <w:rsid w:val="00E97A8F"/>
    <w:rsid w:val="00EA6B3E"/>
    <w:rsid w:val="00EB30F6"/>
    <w:rsid w:val="00EB4CDE"/>
    <w:rsid w:val="00EC123F"/>
    <w:rsid w:val="00EC3E83"/>
    <w:rsid w:val="00EE0A7C"/>
    <w:rsid w:val="00EE5BA8"/>
    <w:rsid w:val="00EE6765"/>
    <w:rsid w:val="00EF0B0D"/>
    <w:rsid w:val="00EF1FB5"/>
    <w:rsid w:val="00F006B5"/>
    <w:rsid w:val="00F01E57"/>
    <w:rsid w:val="00F07C8F"/>
    <w:rsid w:val="00F14740"/>
    <w:rsid w:val="00F161EC"/>
    <w:rsid w:val="00F44EA7"/>
    <w:rsid w:val="00F47B64"/>
    <w:rsid w:val="00F611C6"/>
    <w:rsid w:val="00F62027"/>
    <w:rsid w:val="00F80A14"/>
    <w:rsid w:val="00F80D28"/>
    <w:rsid w:val="00F927D4"/>
    <w:rsid w:val="00FA61F7"/>
    <w:rsid w:val="00FB1650"/>
    <w:rsid w:val="00FB32FB"/>
    <w:rsid w:val="00FB365F"/>
    <w:rsid w:val="00FB41B6"/>
    <w:rsid w:val="00FC0B84"/>
    <w:rsid w:val="00FC1DDB"/>
    <w:rsid w:val="00FD41D3"/>
    <w:rsid w:val="00FD659F"/>
    <w:rsid w:val="00FE575B"/>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UnresolvedMention">
    <w:name w:val="Unresolved Mention"/>
    <w:basedOn w:val="DefaultParagraphFont"/>
    <w:uiPriority w:val="99"/>
    <w:semiHidden/>
    <w:unhideWhenUsed/>
    <w:rsid w:val="00BE7AC3"/>
    <w:rPr>
      <w:color w:val="605E5C"/>
      <w:shd w:val="clear" w:color="auto" w:fill="E1DFDD"/>
    </w:rPr>
  </w:style>
  <w:style w:type="paragraph" w:styleId="NormalWeb">
    <w:name w:val="Normal (Web)"/>
    <w:basedOn w:val="Normal"/>
    <w:uiPriority w:val="99"/>
    <w:unhideWhenUsed/>
    <w:rsid w:val="001D6ED3"/>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475178">
      <w:bodyDiv w:val="1"/>
      <w:marLeft w:val="0"/>
      <w:marRight w:val="0"/>
      <w:marTop w:val="0"/>
      <w:marBottom w:val="0"/>
      <w:divBdr>
        <w:top w:val="none" w:sz="0" w:space="0" w:color="auto"/>
        <w:left w:val="none" w:sz="0" w:space="0" w:color="auto"/>
        <w:bottom w:val="none" w:sz="0" w:space="0" w:color="auto"/>
        <w:right w:val="none" w:sz="0" w:space="0" w:color="auto"/>
      </w:divBdr>
    </w:div>
    <w:div w:id="20965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docs.org/A/HRC/RES/43/1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undocs.org/A/HRC/43/4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c-sr-extremepoverty@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A/HRC/21/39" TargetMode="External"/><Relationship Id="rId5" Type="http://schemas.openxmlformats.org/officeDocument/2006/relationships/numbering" Target="numbering.xml"/><Relationship Id="rId15" Type="http://schemas.openxmlformats.org/officeDocument/2006/relationships/hyperlink" Target="mailto:hrc-sr-housing@un.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hchr-registry@u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3" ma:contentTypeDescription="Create a new document." ma:contentTypeScope="" ma:versionID="c51e45fea38994be9db144450cbfe110">
  <xsd:schema xmlns:xsd="http://www.w3.org/2001/XMLSchema" xmlns:xs="http://www.w3.org/2001/XMLSchema" xmlns:p="http://schemas.microsoft.com/office/2006/metadata/properties" xmlns:ns2="fa1020ff-48ad-4b90-98f4-7161a6f3b630" targetNamespace="http://schemas.microsoft.com/office/2006/metadata/properties" ma:root="true" ma:fieldsID="1267fe73024b98975ff1606cb4326409" ns2:_="">
    <xsd:import namespace="fa1020ff-48ad-4b90-98f4-7161a6f3b6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563DD-B994-4613-BA39-855A4B274AB8}">
  <ds:schemaRefs>
    <ds:schemaRef ds:uri="http://schemas.openxmlformats.org/officeDocument/2006/bibliography"/>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C42B5EED-2E52-41E2-931A-4BC3A611FEB9}"/>
</file>

<file path=customXml/itemProps4.xml><?xml version="1.0" encoding="utf-8"?>
<ds:datastoreItem xmlns:ds="http://schemas.openxmlformats.org/officeDocument/2006/customXml" ds:itemID="{0FB61197-64E8-4CDB-94D4-B18B6C19301B}">
  <ds:schemaRefs>
    <ds:schemaRef ds:uri="http://schemas.microsoft.com/office/2006/metadata/properties"/>
    <ds:schemaRef ds:uri="http://schemas.microsoft.com/office/infopath/2007/PartnerControls"/>
    <ds:schemaRef ds:uri="f62cadcd-e163-4118-ac05-a32b5a627a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5001</Characters>
  <Application>Microsoft Office Word</Application>
  <DocSecurity>0</DocSecurity>
  <Lines>94</Lines>
  <Paragraphs>23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2023-09-12T11:58:00Z</dcterms:created>
  <dcterms:modified xsi:type="dcterms:W3CDTF">2023-09-12T11:58:00Z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GrammarlyDocumentId">
    <vt:lpwstr>81533c73278ef7c7c0c9f8dd8cd225ab83b9399438acc5285093e6b8652fa5c6</vt:lpwstr>
  </property>
</Properties>
</file>