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C857" w14:textId="3AA7AE76" w:rsidR="00640424" w:rsidRPr="00E96EBF" w:rsidRDefault="00640424" w:rsidP="00640424">
      <w:pPr>
        <w:pStyle w:val="Default"/>
        <w:shd w:val="clear" w:color="auto" w:fill="A50021"/>
        <w:jc w:val="center"/>
        <w:rPr>
          <w:rFonts w:ascii="Montserrat" w:hAnsi="Montserrat"/>
          <w:b/>
          <w:color w:val="FFFFFF" w:themeColor="background1"/>
          <w:sz w:val="20"/>
          <w:szCs w:val="23"/>
        </w:rPr>
      </w:pPr>
      <w:r>
        <w:rPr>
          <w:rFonts w:ascii="Montserrat" w:hAnsi="Montserrat"/>
          <w:b/>
          <w:bCs/>
          <w:color w:val="FFFFFF" w:themeColor="background1"/>
          <w:sz w:val="22"/>
          <w:lang w:val="es-ES"/>
        </w:rPr>
        <w:t xml:space="preserve">Alcance - </w:t>
      </w:r>
      <w:r w:rsidRPr="00E96EBF">
        <w:rPr>
          <w:rFonts w:ascii="Montserrat" w:hAnsi="Montserrat"/>
          <w:b/>
          <w:bCs/>
          <w:color w:val="FFFFFF" w:themeColor="background1"/>
          <w:sz w:val="22"/>
          <w:lang w:val="es-ES"/>
        </w:rPr>
        <w:t xml:space="preserve">Informe del </w:t>
      </w:r>
      <w:proofErr w:type="gramStart"/>
      <w:r w:rsidRPr="00E96EBF">
        <w:rPr>
          <w:rFonts w:ascii="Montserrat" w:hAnsi="Montserrat"/>
          <w:b/>
          <w:bCs/>
          <w:color w:val="FFFFFF" w:themeColor="background1"/>
          <w:sz w:val="22"/>
          <w:lang w:val="es-ES"/>
        </w:rPr>
        <w:t>Secretario General</w:t>
      </w:r>
      <w:proofErr w:type="gramEnd"/>
      <w:r w:rsidRPr="00E96EBF">
        <w:rPr>
          <w:rFonts w:ascii="Montserrat" w:hAnsi="Montserrat"/>
          <w:b/>
          <w:bCs/>
          <w:color w:val="FFFFFF" w:themeColor="background1"/>
          <w:sz w:val="22"/>
          <w:lang w:val="es-ES"/>
        </w:rPr>
        <w:t xml:space="preserve"> sobre el “Llamamiento mundial para la adopción de medidas concretas para la eliminación del racismo, la discriminación racial, la xenofobia y las formas conexas de intolerancia y para la aplicación y el seguimiento generales de la Declaración y el Programa de Acción de Durban”</w:t>
      </w:r>
    </w:p>
    <w:p w14:paraId="46BCDB30" w14:textId="77777777" w:rsidR="00640424" w:rsidRDefault="00640424" w:rsidP="00640424">
      <w:pPr>
        <w:pStyle w:val="Default"/>
        <w:ind w:left="1080"/>
        <w:jc w:val="both"/>
        <w:rPr>
          <w:rFonts w:ascii="Montserrat" w:hAnsi="Montserrat"/>
          <w:b/>
          <w:bCs/>
        </w:rPr>
      </w:pPr>
    </w:p>
    <w:p w14:paraId="472884F6" w14:textId="319BF2C2" w:rsidR="0020746D" w:rsidRPr="009D6983" w:rsidRDefault="00662875" w:rsidP="00044DE6">
      <w:pPr>
        <w:pStyle w:val="Default"/>
        <w:numPr>
          <w:ilvl w:val="0"/>
          <w:numId w:val="30"/>
        </w:numPr>
        <w:jc w:val="both"/>
        <w:rPr>
          <w:rFonts w:ascii="Montserrat" w:hAnsi="Montserrat"/>
          <w:b/>
          <w:bCs/>
          <w:sz w:val="22"/>
          <w:szCs w:val="22"/>
        </w:rPr>
      </w:pPr>
      <w:r w:rsidRPr="009D6983">
        <w:rPr>
          <w:rFonts w:ascii="Montserrat" w:hAnsi="Montserrat"/>
          <w:b/>
          <w:bCs/>
          <w:sz w:val="22"/>
          <w:szCs w:val="22"/>
        </w:rPr>
        <w:t>El</w:t>
      </w:r>
      <w:r w:rsidR="00314AD9" w:rsidRPr="009D6983">
        <w:rPr>
          <w:rFonts w:ascii="Montserrat" w:hAnsi="Montserrat"/>
          <w:b/>
          <w:bCs/>
          <w:sz w:val="22"/>
          <w:szCs w:val="22"/>
        </w:rPr>
        <w:t xml:space="preserve"> alcance y el impacto del racismo sistémico y medidas jurídicas, normativas e institucionales que aborden el racismo como algo más que una suma de actos individualizados</w:t>
      </w:r>
      <w:r w:rsidRPr="009D6983">
        <w:rPr>
          <w:rFonts w:ascii="Montserrat" w:hAnsi="Montserrat"/>
          <w:b/>
          <w:bCs/>
          <w:sz w:val="22"/>
          <w:szCs w:val="22"/>
        </w:rPr>
        <w:t xml:space="preserve"> </w:t>
      </w:r>
    </w:p>
    <w:p w14:paraId="55849234" w14:textId="77777777" w:rsidR="00CD689D" w:rsidRPr="009D6983" w:rsidRDefault="00CD689D" w:rsidP="00A361A0">
      <w:pPr>
        <w:pStyle w:val="Default"/>
        <w:ind w:left="720"/>
        <w:jc w:val="both"/>
        <w:rPr>
          <w:rFonts w:ascii="Montserrat" w:hAnsi="Montserrat"/>
          <w:b/>
          <w:bCs/>
          <w:sz w:val="22"/>
          <w:szCs w:val="22"/>
        </w:rPr>
      </w:pPr>
    </w:p>
    <w:p w14:paraId="495DE46D" w14:textId="1BCE61EC" w:rsidR="006F5957" w:rsidRPr="009D6983" w:rsidRDefault="00D66D38" w:rsidP="00A361A0">
      <w:pPr>
        <w:jc w:val="both"/>
        <w:rPr>
          <w:rFonts w:ascii="Montserrat" w:eastAsiaTheme="minorEastAsia" w:hAnsi="Montserrat" w:cs="Arial"/>
          <w:bCs/>
          <w:i/>
          <w:sz w:val="22"/>
          <w:szCs w:val="22"/>
          <w:lang w:val="es-ES_tradnl" w:eastAsia="es-ES"/>
        </w:rPr>
      </w:pPr>
      <w:r w:rsidRPr="009D6983">
        <w:rPr>
          <w:rFonts w:ascii="Montserrat" w:eastAsiaTheme="minorEastAsia" w:hAnsi="Montserrat" w:cs="Arial"/>
          <w:bCs/>
          <w:sz w:val="22"/>
          <w:szCs w:val="22"/>
          <w:lang w:val="es-ES_tradnl" w:eastAsia="es-ES"/>
        </w:rPr>
        <w:t xml:space="preserve">La Constitución Política de los Estados Unidos (CPEUM) </w:t>
      </w:r>
      <w:r w:rsidR="00CA4002" w:rsidRPr="009D6983">
        <w:rPr>
          <w:rFonts w:ascii="Montserrat" w:eastAsiaTheme="minorEastAsia" w:hAnsi="Montserrat" w:cs="Arial"/>
          <w:bCs/>
          <w:sz w:val="22"/>
          <w:szCs w:val="22"/>
          <w:lang w:val="es-ES_tradnl" w:eastAsia="es-ES"/>
        </w:rPr>
        <w:t xml:space="preserve">suscribe </w:t>
      </w:r>
      <w:r w:rsidR="006F5957" w:rsidRPr="009D6983">
        <w:rPr>
          <w:rFonts w:ascii="Montserrat" w:eastAsiaTheme="minorEastAsia" w:hAnsi="Montserrat" w:cs="Arial"/>
          <w:bCs/>
          <w:sz w:val="22"/>
          <w:szCs w:val="22"/>
          <w:lang w:val="es-ES_tradnl" w:eastAsia="es-ES"/>
        </w:rPr>
        <w:t xml:space="preserve">en el artículo primero constitucional, párrafo 5° </w:t>
      </w:r>
      <w:r w:rsidR="00CA4002" w:rsidRPr="009D6983">
        <w:rPr>
          <w:rFonts w:ascii="Montserrat" w:eastAsiaTheme="minorEastAsia" w:hAnsi="Montserrat" w:cs="Arial"/>
          <w:bCs/>
          <w:sz w:val="22"/>
          <w:szCs w:val="22"/>
          <w:lang w:val="es-ES_tradnl" w:eastAsia="es-ES"/>
        </w:rPr>
        <w:t xml:space="preserve">la prohibición de toda discriminación motivada </w:t>
      </w:r>
      <w:r w:rsidR="006F5957" w:rsidRPr="009D6983">
        <w:rPr>
          <w:rFonts w:ascii="Montserrat" w:eastAsiaTheme="minorEastAsia" w:hAnsi="Montserrat" w:cs="Arial"/>
          <w:bCs/>
          <w:i/>
          <w:sz w:val="22"/>
          <w:szCs w:val="22"/>
          <w:lang w:val="es-ES_tradnl" w:eastAsia="es-ES"/>
        </w:rPr>
        <w:t>por origen étnico o nacional, el género, la edad, las discapacidades, la condición social, las condiciones de salud, la religión, las opiniones, las preferencias sexuales, el estado civil o cualquier otra que atente contra la dignidad humana y que tenga por objeto anular o menoscabar los derechos y las libertades de las personas.</w:t>
      </w:r>
      <w:r w:rsidR="006F5957" w:rsidRPr="009D6983">
        <w:rPr>
          <w:rFonts w:ascii="Montserrat" w:eastAsiaTheme="minorEastAsia" w:hAnsi="Montserrat" w:cs="Arial"/>
          <w:bCs/>
          <w:i/>
          <w:sz w:val="22"/>
          <w:szCs w:val="22"/>
          <w:vertAlign w:val="superscript"/>
          <w:lang w:val="es-ES_tradnl" w:eastAsia="es-ES"/>
        </w:rPr>
        <w:footnoteReference w:id="1"/>
      </w:r>
    </w:p>
    <w:p w14:paraId="578F64FD" w14:textId="77777777" w:rsidR="00A361A0" w:rsidRPr="009D6983" w:rsidRDefault="00A361A0" w:rsidP="00A361A0">
      <w:pPr>
        <w:jc w:val="both"/>
        <w:rPr>
          <w:rFonts w:ascii="Montserrat" w:eastAsiaTheme="minorEastAsia" w:hAnsi="Montserrat" w:cs="Arial"/>
          <w:bCs/>
          <w:sz w:val="22"/>
          <w:szCs w:val="22"/>
          <w:lang w:val="es-ES_tradnl" w:eastAsia="es-ES"/>
        </w:rPr>
      </w:pPr>
    </w:p>
    <w:p w14:paraId="399B4CD3" w14:textId="59E9C3EF" w:rsidR="006F5957" w:rsidRPr="009D6983" w:rsidRDefault="006F5957" w:rsidP="00A361A0">
      <w:pPr>
        <w:jc w:val="both"/>
        <w:rPr>
          <w:rFonts w:ascii="Montserrat" w:eastAsiaTheme="minorEastAsia" w:hAnsi="Montserrat" w:cs="Arial"/>
          <w:bCs/>
          <w:sz w:val="22"/>
          <w:szCs w:val="22"/>
          <w:lang w:val="es-ES_tradnl" w:eastAsia="es-ES"/>
        </w:rPr>
      </w:pPr>
      <w:r w:rsidRPr="009D6983">
        <w:rPr>
          <w:rFonts w:ascii="Montserrat" w:eastAsiaTheme="minorEastAsia" w:hAnsi="Montserrat" w:cs="Arial"/>
          <w:bCs/>
          <w:sz w:val="22"/>
          <w:szCs w:val="22"/>
          <w:lang w:val="es-ES_tradnl" w:eastAsia="es-ES"/>
        </w:rPr>
        <w:t>Esta cláusula antidiscriminatoria está reglamentada por la Ley Federal para Prevenir y Eliminar la Discriminación (en lo sucesivo LFPED), que establece criterios para respetar, proteger, garantizar y promover el derecho a la igualdad y no discriminación</w:t>
      </w:r>
      <w:r w:rsidR="00CA4002" w:rsidRPr="009D6983">
        <w:rPr>
          <w:rFonts w:ascii="Montserrat" w:eastAsiaTheme="minorEastAsia" w:hAnsi="Montserrat" w:cs="Arial"/>
          <w:bCs/>
          <w:sz w:val="22"/>
          <w:szCs w:val="22"/>
          <w:lang w:val="es-ES_tradnl" w:eastAsia="es-ES"/>
        </w:rPr>
        <w:t xml:space="preserve"> y que define a la discriminación como </w:t>
      </w:r>
      <w:r w:rsidR="00CA4002" w:rsidRPr="009D6983">
        <w:rPr>
          <w:rFonts w:ascii="Montserrat" w:eastAsiaTheme="minorEastAsia" w:hAnsi="Montserrat" w:cs="Arial"/>
          <w:bCs/>
          <w:i/>
          <w:sz w:val="22"/>
          <w:szCs w:val="22"/>
          <w:lang w:val="es-ES_tradnl" w:eastAsia="es-ES"/>
        </w:rPr>
        <w:t>t</w:t>
      </w:r>
      <w:r w:rsidRPr="009D6983">
        <w:rPr>
          <w:rFonts w:ascii="Montserrat" w:eastAsiaTheme="minorEastAsia" w:hAnsi="Montserrat" w:cs="Arial"/>
          <w:bCs/>
          <w:i/>
          <w:sz w:val="22"/>
          <w:szCs w:val="22"/>
          <w:lang w:val="es-ES_tradnl" w:eastAsia="es-ES"/>
        </w:rPr>
        <w: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w:t>
      </w:r>
      <w:r w:rsidR="00CD689D" w:rsidRPr="009D6983">
        <w:rPr>
          <w:rFonts w:ascii="Montserrat" w:eastAsiaTheme="minorEastAsia" w:hAnsi="Montserrat" w:cs="Arial"/>
          <w:bCs/>
          <w:i/>
          <w:sz w:val="22"/>
          <w:szCs w:val="22"/>
          <w:lang w:val="es-ES_tradnl" w:eastAsia="es-ES"/>
        </w:rPr>
        <w:t>,</w:t>
      </w:r>
      <w:r w:rsidRPr="009D6983">
        <w:rPr>
          <w:rFonts w:ascii="Montserrat" w:eastAsiaTheme="minorEastAsia" w:hAnsi="Montserrat" w:cs="Arial"/>
          <w:bCs/>
          <w:i/>
          <w:sz w:val="22"/>
          <w:szCs w:val="22"/>
          <w:lang w:val="es-ES_tradnl" w:eastAsia="es-ES"/>
        </w:rPr>
        <w:t xml:space="preserve"> la situación migratoria, el idioma, cualquier manifestación de xenofobia, segregación racial, antisemitismo, así como la discriminación racial y otras formas conexas de intolerancia</w:t>
      </w:r>
      <w:r w:rsidRPr="009D6983">
        <w:rPr>
          <w:rFonts w:ascii="Montserrat" w:eastAsiaTheme="minorEastAsia" w:hAnsi="Montserrat" w:cs="Arial"/>
          <w:bCs/>
          <w:sz w:val="22"/>
          <w:szCs w:val="22"/>
          <w:lang w:val="es-ES_tradnl" w:eastAsia="es-ES"/>
        </w:rPr>
        <w:t>.</w:t>
      </w:r>
      <w:r w:rsidRPr="009D6983">
        <w:rPr>
          <w:rFonts w:ascii="Montserrat" w:eastAsiaTheme="minorEastAsia" w:hAnsi="Montserrat" w:cs="Arial"/>
          <w:bCs/>
          <w:sz w:val="22"/>
          <w:szCs w:val="22"/>
          <w:vertAlign w:val="superscript"/>
          <w:lang w:val="es-ES_tradnl" w:eastAsia="es-ES"/>
        </w:rPr>
        <w:footnoteReference w:id="2"/>
      </w:r>
      <w:r w:rsidRPr="009D6983">
        <w:rPr>
          <w:rFonts w:ascii="Montserrat" w:eastAsiaTheme="minorEastAsia" w:hAnsi="Montserrat" w:cs="Arial"/>
          <w:bCs/>
          <w:sz w:val="22"/>
          <w:szCs w:val="22"/>
          <w:lang w:val="es-ES_tradnl" w:eastAsia="es-ES"/>
        </w:rPr>
        <w:t xml:space="preserve"> </w:t>
      </w:r>
    </w:p>
    <w:p w14:paraId="535CB560" w14:textId="77777777" w:rsidR="00A361A0" w:rsidRPr="009D6983" w:rsidRDefault="00A361A0" w:rsidP="00A361A0">
      <w:pPr>
        <w:jc w:val="both"/>
        <w:rPr>
          <w:rFonts w:ascii="Montserrat" w:eastAsiaTheme="minorEastAsia" w:hAnsi="Montserrat" w:cs="Arial"/>
          <w:bCs/>
          <w:sz w:val="22"/>
          <w:szCs w:val="22"/>
          <w:lang w:val="es-ES_tradnl" w:eastAsia="es-ES"/>
        </w:rPr>
      </w:pPr>
    </w:p>
    <w:p w14:paraId="23F8A0CE" w14:textId="06ED4097" w:rsidR="00CD689D" w:rsidRPr="009D6983" w:rsidRDefault="00CD689D" w:rsidP="00A361A0">
      <w:pPr>
        <w:jc w:val="both"/>
        <w:rPr>
          <w:rFonts w:ascii="Montserrat" w:eastAsiaTheme="minorEastAsia" w:hAnsi="Montserrat" w:cs="Arial"/>
          <w:b/>
          <w:bCs/>
          <w:sz w:val="22"/>
          <w:szCs w:val="22"/>
          <w:lang w:eastAsia="es-ES"/>
        </w:rPr>
      </w:pPr>
      <w:r w:rsidRPr="009D6983">
        <w:rPr>
          <w:rFonts w:ascii="Montserrat" w:eastAsiaTheme="minorEastAsia" w:hAnsi="Montserrat" w:cs="Arial"/>
          <w:bCs/>
          <w:sz w:val="22"/>
          <w:szCs w:val="22"/>
          <w:lang w:eastAsia="es-ES"/>
        </w:rPr>
        <w:t xml:space="preserve">El </w:t>
      </w:r>
      <w:r w:rsidR="00A361A0" w:rsidRPr="009D6983">
        <w:rPr>
          <w:rFonts w:ascii="Montserrat" w:hAnsi="Montserrat"/>
          <w:sz w:val="22"/>
          <w:szCs w:val="22"/>
        </w:rPr>
        <w:t xml:space="preserve">Consejo Nacional Para Prevenir la Discriminación (CONAPRED) </w:t>
      </w:r>
      <w:r w:rsidRPr="009D6983">
        <w:rPr>
          <w:rFonts w:ascii="Montserrat" w:eastAsiaTheme="minorEastAsia" w:hAnsi="Montserrat" w:cs="Arial"/>
          <w:bCs/>
          <w:sz w:val="22"/>
          <w:szCs w:val="22"/>
          <w:lang w:eastAsia="es-ES"/>
        </w:rPr>
        <w:t>es la institución del Estado mexicano encargada de conducir la política antidiscriminatoria y tiene como atribución de coordinar y supervisar la instrumentación del Programa de carácter especial y de cumplimiento obligatorio, es decir, el Programa Nacional para la Igualdad y No Discriminación 2021- 2024 (PRONAIND), el cual fue publicado en el Diario Oficial de la Federación (DOF) el 14 de diciembre de 2021</w:t>
      </w:r>
      <w:r w:rsidRPr="009D6983">
        <w:rPr>
          <w:sz w:val="22"/>
          <w:szCs w:val="22"/>
          <w:vertAlign w:val="superscript"/>
          <w:lang w:eastAsia="es-ES"/>
        </w:rPr>
        <w:footnoteReference w:id="3"/>
      </w:r>
      <w:r w:rsidRPr="009D6983">
        <w:rPr>
          <w:rFonts w:ascii="Montserrat" w:eastAsiaTheme="minorEastAsia" w:hAnsi="Montserrat" w:cs="Arial"/>
          <w:bCs/>
          <w:sz w:val="22"/>
          <w:szCs w:val="22"/>
          <w:lang w:eastAsia="es-ES"/>
        </w:rPr>
        <w:t xml:space="preserve"> en estricto apego al Plan Nacional de Desarrollo 2019-2024 (PND) que se basa en el principio rector «No dejar a nadie atrás, no dejar a nadie fuera»; que tiene el propósito de promover el ejercicio de derechos humanos sin discriminación tanto en el quehacer del sector público, como respecto a la regulación de relaciones entre los poderes públicos y la sociedad, con un enfoque particular respecto a los derechos a la educación, a la salud, al trabajo, a la seguridad social y a la seguridad y justicia, entre otros</w:t>
      </w:r>
      <w:r w:rsidRPr="009D6983">
        <w:rPr>
          <w:rFonts w:ascii="Montserrat" w:eastAsiaTheme="minorEastAsia" w:hAnsi="Montserrat" w:cs="Arial"/>
          <w:b/>
          <w:bCs/>
          <w:sz w:val="22"/>
          <w:szCs w:val="22"/>
          <w:lang w:eastAsia="es-ES"/>
        </w:rPr>
        <w:t>.</w:t>
      </w:r>
    </w:p>
    <w:p w14:paraId="56D39561" w14:textId="77777777" w:rsidR="00A361A0" w:rsidRPr="009D6983" w:rsidRDefault="00A361A0" w:rsidP="00A361A0">
      <w:pPr>
        <w:jc w:val="both"/>
        <w:rPr>
          <w:rFonts w:ascii="Montserrat" w:eastAsiaTheme="minorEastAsia" w:hAnsi="Montserrat" w:cs="Arial"/>
          <w:b/>
          <w:bCs/>
          <w:sz w:val="22"/>
          <w:szCs w:val="22"/>
          <w:lang w:eastAsia="es-ES"/>
        </w:rPr>
      </w:pPr>
    </w:p>
    <w:p w14:paraId="5057C711" w14:textId="3FAB964A" w:rsidR="00CD689D" w:rsidRPr="009D6983" w:rsidRDefault="00CD689D" w:rsidP="00A361A0">
      <w:pPr>
        <w:jc w:val="both"/>
        <w:rPr>
          <w:rFonts w:ascii="Montserrat" w:eastAsiaTheme="minorEastAsia" w:hAnsi="Montserrat" w:cs="Arial"/>
          <w:bCs/>
          <w:sz w:val="22"/>
          <w:szCs w:val="22"/>
          <w:lang w:eastAsia="es-ES"/>
        </w:rPr>
      </w:pPr>
      <w:r w:rsidRPr="009D6983">
        <w:rPr>
          <w:rFonts w:ascii="Montserrat" w:eastAsiaTheme="minorEastAsia" w:hAnsi="Montserrat" w:cs="Arial"/>
          <w:bCs/>
          <w:sz w:val="22"/>
          <w:szCs w:val="22"/>
          <w:lang w:eastAsia="es-ES"/>
        </w:rPr>
        <w:lastRenderedPageBreak/>
        <w:t xml:space="preserve">El PRONAIND es el instrumento de la política nacional antidiscriminatoria con seis objetivos que buscan la intervención articulada e integral, desde las atribuciones del gobierno federal, para desmontar distintas prácticas discriminatorias institucionalizadas. </w:t>
      </w:r>
    </w:p>
    <w:p w14:paraId="34B159D1" w14:textId="422FABAD" w:rsidR="00640424" w:rsidRPr="009D6983" w:rsidRDefault="00640424" w:rsidP="00A361A0">
      <w:pPr>
        <w:jc w:val="both"/>
        <w:rPr>
          <w:rFonts w:ascii="Montserrat" w:eastAsiaTheme="minorEastAsia" w:hAnsi="Montserrat" w:cs="Arial"/>
          <w:b/>
          <w:bCs/>
          <w:sz w:val="22"/>
          <w:szCs w:val="22"/>
          <w:lang w:eastAsia="es-ES"/>
        </w:rPr>
      </w:pPr>
    </w:p>
    <w:p w14:paraId="78CBB168" w14:textId="77777777" w:rsidR="00A361A0" w:rsidRPr="009D6983" w:rsidRDefault="00A361A0" w:rsidP="00A361A0">
      <w:pPr>
        <w:pStyle w:val="Default"/>
        <w:jc w:val="both"/>
        <w:rPr>
          <w:rFonts w:ascii="Montserrat" w:eastAsia="Helvetica Neue" w:hAnsi="Montserrat" w:cstheme="majorBidi"/>
          <w:bCs/>
          <w:iCs/>
          <w:color w:val="000000" w:themeColor="text1"/>
          <w:sz w:val="22"/>
          <w:szCs w:val="22"/>
          <w:lang w:val="es-ES"/>
        </w:rPr>
      </w:pPr>
      <w:r w:rsidRPr="009D6983">
        <w:rPr>
          <w:rFonts w:ascii="Montserrat" w:hAnsi="Montserrat"/>
          <w:sz w:val="22"/>
          <w:szCs w:val="22"/>
        </w:rPr>
        <w:t xml:space="preserve">El CONAPRED dentro de la colección </w:t>
      </w:r>
      <w:r w:rsidRPr="009D6983">
        <w:rPr>
          <w:rFonts w:ascii="Montserrat" w:hAnsi="Montserrat"/>
          <w:bCs/>
          <w:i/>
          <w:iCs/>
          <w:sz w:val="22"/>
          <w:szCs w:val="22"/>
          <w:lang w:val="es-ES"/>
        </w:rPr>
        <w:t xml:space="preserve">Reflexiones didácticas en torno al racismo y a la xenofobia en México </w:t>
      </w:r>
      <w:r w:rsidRPr="009D6983">
        <w:rPr>
          <w:rFonts w:ascii="Montserrat" w:hAnsi="Montserrat"/>
          <w:bCs/>
          <w:sz w:val="22"/>
          <w:szCs w:val="22"/>
          <w:lang w:val="es-ES"/>
        </w:rPr>
        <w:t>realiza un análisis con el objetivo de explicar a profundidad qué es el racismo, cómo se manifiesta, cómo funciona y mediante qué mecanismos se ejerce y reproduce en nuestra sociedad</w:t>
      </w:r>
      <w:r w:rsidRPr="009D6983">
        <w:rPr>
          <w:rStyle w:val="FootnoteReference"/>
          <w:rFonts w:ascii="Montserrat" w:eastAsia="Helvetica Neue" w:hAnsi="Montserrat" w:cstheme="majorBidi"/>
          <w:bCs/>
          <w:iCs/>
          <w:color w:val="000000" w:themeColor="text1"/>
          <w:sz w:val="22"/>
          <w:szCs w:val="22"/>
          <w:lang w:val="es-ES"/>
        </w:rPr>
        <w:footnoteReference w:id="4"/>
      </w:r>
      <w:r w:rsidRPr="009D6983">
        <w:rPr>
          <w:rFonts w:ascii="Montserrat" w:eastAsia="Helvetica Neue" w:hAnsi="Montserrat" w:cstheme="majorBidi"/>
          <w:bCs/>
          <w:iCs/>
          <w:color w:val="000000" w:themeColor="text1"/>
          <w:sz w:val="22"/>
          <w:szCs w:val="22"/>
          <w:lang w:val="es-ES"/>
        </w:rPr>
        <w:t xml:space="preserve">. </w:t>
      </w:r>
    </w:p>
    <w:p w14:paraId="39D9EFA7" w14:textId="77777777" w:rsidR="00A361A0" w:rsidRPr="009D6983" w:rsidRDefault="00A361A0" w:rsidP="00A361A0">
      <w:pPr>
        <w:jc w:val="both"/>
        <w:rPr>
          <w:rFonts w:ascii="Montserrat" w:eastAsiaTheme="minorEastAsia" w:hAnsi="Montserrat" w:cs="Arial"/>
          <w:b/>
          <w:bCs/>
          <w:sz w:val="22"/>
          <w:szCs w:val="22"/>
          <w:lang w:val="es-ES" w:eastAsia="es-ES"/>
        </w:rPr>
      </w:pPr>
    </w:p>
    <w:p w14:paraId="414BA81E" w14:textId="77777777" w:rsidR="00CD689D" w:rsidRPr="009D6983" w:rsidRDefault="00CD689D" w:rsidP="00044DE6">
      <w:pPr>
        <w:pStyle w:val="Default"/>
        <w:numPr>
          <w:ilvl w:val="0"/>
          <w:numId w:val="30"/>
        </w:numPr>
        <w:jc w:val="both"/>
        <w:rPr>
          <w:rFonts w:ascii="Montserrat" w:hAnsi="Montserrat"/>
          <w:b/>
          <w:sz w:val="22"/>
          <w:szCs w:val="22"/>
        </w:rPr>
      </w:pPr>
      <w:r w:rsidRPr="009D6983">
        <w:rPr>
          <w:rFonts w:ascii="Montserrat" w:hAnsi="Montserrat"/>
          <w:b/>
          <w:sz w:val="22"/>
          <w:szCs w:val="22"/>
        </w:rPr>
        <w:t xml:space="preserve">Discurso del odio, incitación a la discriminación racial, la hostilidad y la violencia (párrafo 6 del preámbulo). </w:t>
      </w:r>
    </w:p>
    <w:p w14:paraId="06384735" w14:textId="77777777" w:rsidR="00A361A0" w:rsidRPr="009D6983" w:rsidRDefault="00A361A0" w:rsidP="00A361A0">
      <w:pPr>
        <w:jc w:val="both"/>
        <w:rPr>
          <w:rFonts w:ascii="Montserrat" w:eastAsiaTheme="minorEastAsia" w:hAnsi="Montserrat" w:cs="Arial"/>
          <w:bCs/>
          <w:sz w:val="22"/>
          <w:szCs w:val="22"/>
          <w:lang w:val="es-ES_tradnl" w:eastAsia="es-ES"/>
        </w:rPr>
      </w:pPr>
    </w:p>
    <w:p w14:paraId="6AB551A0" w14:textId="77777777" w:rsidR="00A361A0" w:rsidRPr="009D6983" w:rsidRDefault="00A361A0" w:rsidP="00A361A0">
      <w:pPr>
        <w:jc w:val="both"/>
        <w:rPr>
          <w:rFonts w:ascii="Montserrat" w:eastAsiaTheme="minorEastAsia" w:hAnsi="Montserrat" w:cs="Arial"/>
          <w:bCs/>
          <w:sz w:val="22"/>
          <w:szCs w:val="22"/>
          <w:lang w:eastAsia="es-ES"/>
        </w:rPr>
      </w:pPr>
      <w:r w:rsidRPr="009D6983">
        <w:rPr>
          <w:rFonts w:ascii="Montserrat" w:eastAsiaTheme="minorEastAsia" w:hAnsi="Montserrat" w:cs="Arial"/>
          <w:bCs/>
          <w:sz w:val="22"/>
          <w:szCs w:val="22"/>
          <w:lang w:val="es-ES_tradnl" w:eastAsia="es-ES"/>
        </w:rPr>
        <w:t xml:space="preserve">La </w:t>
      </w:r>
      <w:r w:rsidRPr="009D6983">
        <w:rPr>
          <w:rFonts w:ascii="Montserrat" w:eastAsiaTheme="minorEastAsia" w:hAnsi="Montserrat" w:cs="Arial"/>
          <w:bCs/>
          <w:sz w:val="22"/>
          <w:szCs w:val="22"/>
          <w:lang w:eastAsia="es-ES"/>
        </w:rPr>
        <w:t>LFPED faculta al CONAPRED para dar cumplimiento a la obligación de combatir el discurso de odio en dos sentidos: por un lado, otorga atribuciones al Conapred para promover “la prevención y erradicación del discurso de odio, en coordinación con las instituciones públicas, el sector privado y las organizaciones de la sociedad civil", así como para "elaborar, difundir y promover que en los medios de comunicación se incorporen contenidos orientados a prevenir y eliminar las prácticas discriminatorias y el discurso de odio", por otro lado, otorga atribuciones para ejecutar medidas administrativas y de reparación</w:t>
      </w:r>
      <w:r w:rsidRPr="009D6983">
        <w:rPr>
          <w:rFonts w:ascii="Montserrat" w:eastAsiaTheme="minorEastAsia" w:hAnsi="Montserrat" w:cs="Arial"/>
          <w:bCs/>
          <w:sz w:val="22"/>
          <w:szCs w:val="22"/>
          <w:vertAlign w:val="superscript"/>
          <w:lang w:val="es-ES_tradnl" w:eastAsia="es-ES"/>
        </w:rPr>
        <w:footnoteReference w:id="5"/>
      </w:r>
      <w:r w:rsidRPr="009D6983">
        <w:rPr>
          <w:rFonts w:ascii="Montserrat" w:eastAsiaTheme="minorEastAsia" w:hAnsi="Montserrat" w:cs="Arial"/>
          <w:bCs/>
          <w:sz w:val="22"/>
          <w:szCs w:val="22"/>
          <w:lang w:val="es-ES_tradnl" w:eastAsia="es-ES"/>
        </w:rPr>
        <w:t xml:space="preserve"> </w:t>
      </w:r>
      <w:r w:rsidRPr="009D6983">
        <w:rPr>
          <w:rFonts w:ascii="Montserrat" w:eastAsiaTheme="minorEastAsia" w:hAnsi="Montserrat" w:cs="Arial"/>
          <w:bCs/>
          <w:sz w:val="22"/>
          <w:szCs w:val="22"/>
          <w:lang w:eastAsia="es-ES"/>
        </w:rPr>
        <w:t>en casos en los que se comprueben actos y prácticas discriminatorias.</w:t>
      </w:r>
    </w:p>
    <w:p w14:paraId="49095592" w14:textId="77777777" w:rsidR="00A361A0" w:rsidRPr="009D6983" w:rsidRDefault="00A361A0" w:rsidP="00A361A0">
      <w:pPr>
        <w:jc w:val="both"/>
        <w:rPr>
          <w:rFonts w:ascii="Montserrat" w:eastAsiaTheme="minorEastAsia" w:hAnsi="Montserrat" w:cs="Arial"/>
          <w:bCs/>
          <w:sz w:val="22"/>
          <w:szCs w:val="22"/>
          <w:lang w:val="es-ES_tradnl" w:eastAsia="es-ES"/>
        </w:rPr>
      </w:pPr>
    </w:p>
    <w:p w14:paraId="062491D7" w14:textId="37BEDD01" w:rsidR="00A361A0" w:rsidRPr="009D6983" w:rsidRDefault="00A361A0" w:rsidP="00A361A0">
      <w:pPr>
        <w:jc w:val="both"/>
        <w:rPr>
          <w:rFonts w:ascii="Montserrat" w:eastAsiaTheme="minorEastAsia" w:hAnsi="Montserrat" w:cs="Arial"/>
          <w:bCs/>
          <w:sz w:val="22"/>
          <w:szCs w:val="22"/>
          <w:lang w:eastAsia="es-ES"/>
        </w:rPr>
      </w:pPr>
      <w:r w:rsidRPr="009D6983">
        <w:rPr>
          <w:rFonts w:ascii="Montserrat" w:eastAsiaTheme="minorEastAsia" w:hAnsi="Montserrat" w:cs="Arial"/>
          <w:bCs/>
          <w:sz w:val="22"/>
          <w:szCs w:val="22"/>
          <w:lang w:eastAsia="es-ES"/>
        </w:rPr>
        <w:t xml:space="preserve">En </w:t>
      </w:r>
      <w:r w:rsidR="009D6983" w:rsidRPr="009D6983">
        <w:rPr>
          <w:rFonts w:ascii="Montserrat" w:eastAsiaTheme="minorEastAsia" w:hAnsi="Montserrat" w:cs="Arial"/>
          <w:bCs/>
          <w:sz w:val="22"/>
          <w:szCs w:val="22"/>
          <w:lang w:eastAsia="es-ES"/>
        </w:rPr>
        <w:t>e</w:t>
      </w:r>
      <w:r w:rsidRPr="009D6983">
        <w:rPr>
          <w:rFonts w:ascii="Montserrat" w:eastAsiaTheme="minorEastAsia" w:hAnsi="Montserrat" w:cs="Arial"/>
          <w:bCs/>
          <w:sz w:val="22"/>
          <w:szCs w:val="22"/>
          <w:lang w:eastAsia="es-ES"/>
        </w:rPr>
        <w:t xml:space="preserve">l ámbito de la prevención del discurso de odio el CONAPRED ha desarrollado acciones que incluyen; </w:t>
      </w:r>
      <w:r w:rsidRPr="009D6983">
        <w:rPr>
          <w:rFonts w:ascii="Montserrat" w:eastAsiaTheme="minorEastAsia" w:hAnsi="Montserrat" w:cs="Arial"/>
          <w:bCs/>
          <w:sz w:val="22"/>
          <w:szCs w:val="22"/>
          <w:lang w:val="es-ES_tradnl" w:eastAsia="es-ES"/>
        </w:rPr>
        <w:t xml:space="preserve">el </w:t>
      </w:r>
      <w:r w:rsidRPr="009D6983">
        <w:rPr>
          <w:rFonts w:ascii="Montserrat" w:eastAsiaTheme="minorEastAsia" w:hAnsi="Montserrat" w:cs="Arial"/>
          <w:bCs/>
          <w:i/>
          <w:sz w:val="22"/>
          <w:szCs w:val="22"/>
          <w:lang w:val="es-ES_tradnl" w:eastAsia="es-ES"/>
        </w:rPr>
        <w:t>Movimiento Frente al Discurso de Odio</w:t>
      </w:r>
      <w:r w:rsidRPr="009D6983">
        <w:rPr>
          <w:rFonts w:ascii="Montserrat" w:eastAsiaTheme="minorEastAsia" w:hAnsi="Montserrat" w:cs="Arial"/>
          <w:bCs/>
          <w:sz w:val="22"/>
          <w:szCs w:val="22"/>
          <w:lang w:val="es-ES_tradnl" w:eastAsia="es-ES"/>
        </w:rPr>
        <w:t xml:space="preserve">, una iniciativa que buscó contrarrestar los discursos y expresiones de odio utilizados en espacios físicos y medios de comunicación digitales contra varios grupos discriminados, creando narrativas incluyentes y que inviten al diálogo. </w:t>
      </w:r>
      <w:r w:rsidRPr="009D6983">
        <w:rPr>
          <w:rFonts w:ascii="Montserrat" w:eastAsiaTheme="minorEastAsia" w:hAnsi="Montserrat" w:cs="Arial"/>
          <w:bCs/>
          <w:sz w:val="22"/>
          <w:szCs w:val="22"/>
          <w:lang w:eastAsia="es-ES"/>
        </w:rPr>
        <w:t>El Manual ¡</w:t>
      </w:r>
      <w:r w:rsidRPr="009D6983">
        <w:rPr>
          <w:rFonts w:ascii="Montserrat" w:eastAsiaTheme="minorEastAsia" w:hAnsi="Montserrat" w:cs="Arial"/>
          <w:bCs/>
          <w:i/>
          <w:iCs/>
          <w:sz w:val="22"/>
          <w:szCs w:val="22"/>
          <w:lang w:eastAsia="es-ES"/>
        </w:rPr>
        <w:t>Sí podemos! Actuar contra el discurso de odio mediante contranarrativas y narrativas alternas</w:t>
      </w:r>
      <w:r w:rsidRPr="009D6983">
        <w:rPr>
          <w:rFonts w:ascii="Montserrat" w:eastAsiaTheme="minorEastAsia" w:hAnsi="Montserrat" w:cs="Arial"/>
          <w:bCs/>
          <w:sz w:val="22"/>
          <w:szCs w:val="22"/>
          <w:vertAlign w:val="superscript"/>
          <w:lang w:eastAsia="es-ES"/>
        </w:rPr>
        <w:footnoteReference w:id="6"/>
      </w:r>
      <w:r w:rsidRPr="009D6983">
        <w:rPr>
          <w:rFonts w:ascii="Montserrat" w:eastAsiaTheme="minorEastAsia" w:hAnsi="Montserrat" w:cs="Arial"/>
          <w:bCs/>
          <w:sz w:val="22"/>
          <w:szCs w:val="22"/>
          <w:lang w:eastAsia="es-ES"/>
        </w:rPr>
        <w:t xml:space="preserve"> en su versión en español, cuyo objetivo es promover campañas de contranarrativas o de narrativa alternas que se basen en las tecnologías de la información y la comunicación, fundamentadas en los valores de los derechos humanos y la democracia, de respeto por las diferencias, la libertad y la igualdad. </w:t>
      </w:r>
    </w:p>
    <w:p w14:paraId="43FBA9BD" w14:textId="77777777" w:rsidR="00A361A0" w:rsidRPr="009D6983" w:rsidRDefault="00A361A0" w:rsidP="00A361A0">
      <w:pPr>
        <w:jc w:val="both"/>
        <w:rPr>
          <w:rFonts w:ascii="Montserrat" w:eastAsiaTheme="minorEastAsia" w:hAnsi="Montserrat" w:cs="Arial"/>
          <w:bCs/>
          <w:sz w:val="22"/>
          <w:szCs w:val="22"/>
          <w:lang w:eastAsia="es-ES"/>
        </w:rPr>
      </w:pPr>
    </w:p>
    <w:p w14:paraId="28ABA030" w14:textId="6D61F6F6" w:rsidR="00A361A0" w:rsidRPr="009D6983" w:rsidRDefault="00A361A0" w:rsidP="00A361A0">
      <w:pPr>
        <w:jc w:val="both"/>
        <w:rPr>
          <w:rFonts w:ascii="Montserrat" w:eastAsiaTheme="minorEastAsia" w:hAnsi="Montserrat" w:cs="Arial"/>
          <w:bCs/>
          <w:sz w:val="22"/>
          <w:szCs w:val="22"/>
          <w:lang w:eastAsia="es-ES"/>
        </w:rPr>
      </w:pPr>
      <w:r w:rsidRPr="009D6983">
        <w:rPr>
          <w:rFonts w:ascii="Montserrat" w:eastAsiaTheme="minorEastAsia" w:hAnsi="Montserrat" w:cs="Arial"/>
          <w:bCs/>
          <w:sz w:val="22"/>
          <w:szCs w:val="22"/>
          <w:lang w:val="es-ES_tradnl" w:eastAsia="es-ES"/>
        </w:rPr>
        <w:t xml:space="preserve">Por otro lado, se </w:t>
      </w:r>
      <w:r w:rsidRPr="009D6983">
        <w:rPr>
          <w:rFonts w:ascii="Montserrat" w:eastAsiaTheme="minorEastAsia" w:hAnsi="Montserrat" w:cs="Arial"/>
          <w:bCs/>
          <w:sz w:val="22"/>
          <w:szCs w:val="22"/>
          <w:lang w:eastAsia="es-ES"/>
        </w:rPr>
        <w:t xml:space="preserve">elaboró la </w:t>
      </w:r>
      <w:r w:rsidRPr="009D6983">
        <w:rPr>
          <w:rFonts w:ascii="Montserrat" w:eastAsiaTheme="minorEastAsia" w:hAnsi="Montserrat" w:cs="Arial"/>
          <w:bCs/>
          <w:i/>
          <w:iCs/>
          <w:sz w:val="22"/>
          <w:szCs w:val="22"/>
          <w:lang w:eastAsia="es-ES"/>
        </w:rPr>
        <w:t>Guía para la acción pública (GAP)</w:t>
      </w:r>
      <w:r w:rsidRPr="009D6983">
        <w:rPr>
          <w:rFonts w:ascii="Montserrat" w:eastAsiaTheme="minorEastAsia" w:hAnsi="Montserrat" w:cs="Arial"/>
          <w:bCs/>
          <w:sz w:val="22"/>
          <w:szCs w:val="22"/>
          <w:lang w:eastAsia="es-ES"/>
        </w:rPr>
        <w:t xml:space="preserve"> </w:t>
      </w:r>
      <w:r w:rsidRPr="009D6983">
        <w:rPr>
          <w:rFonts w:ascii="Montserrat" w:eastAsiaTheme="minorEastAsia" w:hAnsi="Montserrat" w:cs="Arial"/>
          <w:bCs/>
          <w:i/>
          <w:iCs/>
          <w:sz w:val="22"/>
          <w:szCs w:val="22"/>
          <w:lang w:eastAsia="es-ES"/>
        </w:rPr>
        <w:t xml:space="preserve">Comunicación sin Xenofobia. Recomendaciones para medios y redes sociales </w:t>
      </w:r>
      <w:r w:rsidRPr="009D6983">
        <w:rPr>
          <w:rFonts w:ascii="Montserrat" w:eastAsiaTheme="minorEastAsia" w:hAnsi="Montserrat" w:cs="Arial"/>
          <w:bCs/>
          <w:sz w:val="22"/>
          <w:szCs w:val="22"/>
          <w:lang w:eastAsia="es-ES"/>
        </w:rPr>
        <w:t>cuyo objetivo aportar conocimientos y herramientas útiles para identificar prácticas xenófobas en el ámbito de la comunicación social y actuar para prevenirlas y eliminarlas</w:t>
      </w:r>
      <w:r w:rsidRPr="009D6983">
        <w:rPr>
          <w:rStyle w:val="FootnoteReference"/>
          <w:rFonts w:ascii="Montserrat" w:eastAsiaTheme="minorEastAsia" w:hAnsi="Montserrat" w:cs="Arial"/>
          <w:bCs/>
          <w:sz w:val="22"/>
          <w:szCs w:val="22"/>
          <w:lang w:eastAsia="es-ES"/>
        </w:rPr>
        <w:footnoteReference w:id="7"/>
      </w:r>
      <w:r w:rsidRPr="009D6983">
        <w:rPr>
          <w:rFonts w:ascii="Montserrat" w:eastAsiaTheme="minorEastAsia" w:hAnsi="Montserrat" w:cs="Arial"/>
          <w:bCs/>
          <w:sz w:val="22"/>
          <w:szCs w:val="22"/>
          <w:lang w:eastAsia="es-ES"/>
        </w:rPr>
        <w:t xml:space="preserve">. Asimismo, publicó el libro </w:t>
      </w:r>
      <w:r w:rsidRPr="009D6983">
        <w:rPr>
          <w:rFonts w:ascii="Montserrat" w:eastAsiaTheme="minorEastAsia" w:hAnsi="Montserrat" w:cs="Arial"/>
          <w:bCs/>
          <w:i/>
          <w:iCs/>
          <w:sz w:val="22"/>
          <w:szCs w:val="22"/>
          <w:lang w:eastAsia="es-ES"/>
        </w:rPr>
        <w:t>El prejuicio y la palabra: los derechos a la libre expresión y a la no discriminación en contraste</w:t>
      </w:r>
      <w:r w:rsidRPr="009D6983">
        <w:rPr>
          <w:rFonts w:ascii="Montserrat" w:eastAsiaTheme="minorEastAsia" w:hAnsi="Montserrat" w:cs="Arial"/>
          <w:bCs/>
          <w:sz w:val="22"/>
          <w:szCs w:val="22"/>
          <w:vertAlign w:val="superscript"/>
          <w:lang w:eastAsia="es-ES"/>
        </w:rPr>
        <w:footnoteReference w:id="8"/>
      </w:r>
      <w:r w:rsidRPr="009D6983">
        <w:rPr>
          <w:rFonts w:ascii="Montserrat" w:eastAsiaTheme="minorEastAsia" w:hAnsi="Montserrat" w:cs="Arial"/>
          <w:bCs/>
          <w:i/>
          <w:iCs/>
          <w:sz w:val="22"/>
          <w:szCs w:val="22"/>
          <w:lang w:eastAsia="es-ES"/>
        </w:rPr>
        <w:t xml:space="preserve"> </w:t>
      </w:r>
      <w:r w:rsidRPr="009D6983">
        <w:rPr>
          <w:rFonts w:ascii="Montserrat" w:eastAsiaTheme="minorEastAsia" w:hAnsi="Montserrat" w:cs="Arial"/>
          <w:bCs/>
          <w:sz w:val="22"/>
          <w:szCs w:val="22"/>
          <w:lang w:eastAsia="es-ES"/>
        </w:rPr>
        <w:t xml:space="preserve">analizan temas que van desde la naturaleza político-social de los discursos de odio hasta la </w:t>
      </w:r>
      <w:r w:rsidRPr="009D6983">
        <w:rPr>
          <w:rFonts w:ascii="Montserrat" w:eastAsiaTheme="minorEastAsia" w:hAnsi="Montserrat" w:cs="Arial"/>
          <w:bCs/>
          <w:sz w:val="22"/>
          <w:szCs w:val="22"/>
          <w:lang w:eastAsia="es-ES"/>
        </w:rPr>
        <w:lastRenderedPageBreak/>
        <w:t xml:space="preserve">legitimidad de la intervención gubernamental y judicial en el libre discurso, así como el libro </w:t>
      </w:r>
      <w:r w:rsidRPr="009D6983">
        <w:rPr>
          <w:rFonts w:ascii="Montserrat" w:eastAsiaTheme="minorEastAsia" w:hAnsi="Montserrat" w:cs="Arial"/>
          <w:i/>
          <w:iCs/>
          <w:sz w:val="22"/>
          <w:szCs w:val="22"/>
          <w:lang w:eastAsia="es-ES"/>
        </w:rPr>
        <w:t>Odium dicta. Libertad de expresión y protección de grupos discriminados en internet</w:t>
      </w:r>
      <w:r w:rsidRPr="009D6983">
        <w:rPr>
          <w:rFonts w:ascii="Montserrat" w:eastAsiaTheme="minorEastAsia" w:hAnsi="Montserrat" w:cs="Arial"/>
          <w:b/>
          <w:bCs/>
          <w:i/>
          <w:iCs/>
          <w:sz w:val="22"/>
          <w:szCs w:val="22"/>
          <w:lang w:eastAsia="es-ES"/>
        </w:rPr>
        <w:t xml:space="preserve"> </w:t>
      </w:r>
      <w:r w:rsidRPr="009D6983">
        <w:rPr>
          <w:rFonts w:ascii="Montserrat" w:eastAsiaTheme="minorEastAsia" w:hAnsi="Montserrat" w:cs="Arial"/>
          <w:sz w:val="22"/>
          <w:szCs w:val="22"/>
          <w:lang w:eastAsia="es-ES"/>
        </w:rPr>
        <w:t xml:space="preserve">obra que </w:t>
      </w:r>
      <w:r w:rsidRPr="009D6983">
        <w:rPr>
          <w:rFonts w:ascii="Montserrat" w:eastAsiaTheme="minorEastAsia" w:hAnsi="Montserrat" w:cs="Arial"/>
          <w:bCs/>
          <w:sz w:val="22"/>
          <w:szCs w:val="22"/>
          <w:lang w:eastAsia="es-ES"/>
        </w:rPr>
        <w:t>analiza el fenómeno de las expresiones de odio que circulan en internet, amparadas por el derecho a la libertad de expresión en un marco jurídico que pudiera desamparar a los grupos discriminados</w:t>
      </w:r>
      <w:r w:rsidRPr="009D6983">
        <w:rPr>
          <w:rStyle w:val="FootnoteReference"/>
          <w:rFonts w:ascii="Montserrat" w:eastAsiaTheme="minorEastAsia" w:hAnsi="Montserrat" w:cs="Arial"/>
          <w:bCs/>
          <w:sz w:val="22"/>
          <w:szCs w:val="22"/>
          <w:lang w:eastAsia="es-ES"/>
        </w:rPr>
        <w:footnoteReference w:id="9"/>
      </w:r>
      <w:r w:rsidRPr="009D6983">
        <w:rPr>
          <w:rFonts w:ascii="Montserrat" w:eastAsiaTheme="minorEastAsia" w:hAnsi="Montserrat" w:cs="Arial"/>
          <w:bCs/>
          <w:sz w:val="22"/>
          <w:szCs w:val="22"/>
          <w:lang w:eastAsia="es-ES"/>
        </w:rPr>
        <w:t>.</w:t>
      </w:r>
    </w:p>
    <w:p w14:paraId="2FF24274" w14:textId="7BEC2185" w:rsidR="00375331" w:rsidRPr="009D6983" w:rsidRDefault="00375331" w:rsidP="00A361A0">
      <w:pPr>
        <w:jc w:val="both"/>
        <w:rPr>
          <w:rFonts w:ascii="Montserrat" w:eastAsiaTheme="minorEastAsia" w:hAnsi="Montserrat" w:cs="Arial"/>
          <w:bCs/>
          <w:sz w:val="22"/>
          <w:szCs w:val="22"/>
          <w:lang w:eastAsia="es-ES"/>
        </w:rPr>
      </w:pPr>
    </w:p>
    <w:p w14:paraId="788A9229" w14:textId="58A60E4A" w:rsidR="0014610B" w:rsidRPr="009D6983" w:rsidRDefault="0014610B" w:rsidP="00044DE6">
      <w:pPr>
        <w:pStyle w:val="ListParagraph"/>
        <w:numPr>
          <w:ilvl w:val="0"/>
          <w:numId w:val="29"/>
        </w:numPr>
        <w:jc w:val="both"/>
        <w:rPr>
          <w:rFonts w:ascii="Montserrat" w:eastAsiaTheme="minorEastAsia" w:hAnsi="Montserrat" w:cs="Arial"/>
          <w:b/>
          <w:bCs/>
          <w:sz w:val="22"/>
          <w:szCs w:val="22"/>
          <w:lang w:eastAsia="es-ES"/>
        </w:rPr>
      </w:pPr>
      <w:r w:rsidRPr="009D6983">
        <w:rPr>
          <w:rFonts w:ascii="Montserrat" w:eastAsiaTheme="minorEastAsia" w:hAnsi="Montserrat" w:cs="Arial"/>
          <w:b/>
          <w:bCs/>
          <w:sz w:val="22"/>
          <w:szCs w:val="22"/>
          <w:lang w:eastAsia="es-ES"/>
        </w:rPr>
        <w:t xml:space="preserve">La discriminación racial y la desigualdad que experimentan los niños y los jóvenes afrodescendientes en todos los ámbitos de la vida, como la administración de justicia, la aplicación de la ley, la educación, la salud, la vida familiar y el desarrollo (párrafo 20). </w:t>
      </w:r>
    </w:p>
    <w:p w14:paraId="757F0BE4" w14:textId="77777777" w:rsidR="00320B22" w:rsidRPr="009D6983" w:rsidRDefault="00320B22" w:rsidP="00A361A0">
      <w:pPr>
        <w:pStyle w:val="ListParagraph"/>
        <w:ind w:left="1080"/>
        <w:jc w:val="both"/>
        <w:rPr>
          <w:rFonts w:ascii="Montserrat" w:eastAsiaTheme="minorEastAsia" w:hAnsi="Montserrat" w:cs="Arial"/>
          <w:b/>
          <w:bCs/>
          <w:sz w:val="22"/>
          <w:szCs w:val="22"/>
          <w:lang w:eastAsia="es-ES"/>
        </w:rPr>
      </w:pPr>
    </w:p>
    <w:p w14:paraId="3D458888" w14:textId="77777777" w:rsidR="00D61636" w:rsidRPr="009D6983" w:rsidRDefault="00D61636" w:rsidP="00D61636">
      <w:pPr>
        <w:jc w:val="both"/>
        <w:rPr>
          <w:rFonts w:ascii="Montserrat" w:eastAsiaTheme="minorEastAsia" w:hAnsi="Montserrat" w:cs="Arial"/>
          <w:bCs/>
          <w:sz w:val="22"/>
          <w:szCs w:val="22"/>
          <w:lang w:eastAsia="es-ES"/>
        </w:rPr>
      </w:pPr>
      <w:r w:rsidRPr="009D6983">
        <w:rPr>
          <w:rFonts w:ascii="Montserrat" w:eastAsiaTheme="minorEastAsia" w:hAnsi="Montserrat" w:cs="Arial"/>
          <w:bCs/>
          <w:sz w:val="22"/>
          <w:szCs w:val="22"/>
          <w:lang w:eastAsia="es-ES"/>
        </w:rPr>
        <w:t>La Encuesta Nacional sobre Discriminación (ENADIS) 2017</w:t>
      </w:r>
      <w:r w:rsidRPr="009D6983">
        <w:rPr>
          <w:rStyle w:val="FootnoteReference"/>
          <w:rFonts w:ascii="Montserrat" w:eastAsiaTheme="minorEastAsia" w:hAnsi="Montserrat" w:cs="Arial"/>
          <w:bCs/>
          <w:sz w:val="22"/>
          <w:szCs w:val="22"/>
          <w:lang w:eastAsia="es-ES"/>
        </w:rPr>
        <w:footnoteReference w:id="10"/>
      </w:r>
      <w:r w:rsidRPr="009D6983">
        <w:rPr>
          <w:rFonts w:ascii="Montserrat" w:eastAsiaTheme="minorEastAsia" w:hAnsi="Montserrat" w:cs="Arial"/>
          <w:bCs/>
          <w:sz w:val="22"/>
          <w:szCs w:val="22"/>
          <w:lang w:eastAsia="es-ES"/>
        </w:rPr>
        <w:t xml:space="preserve"> permite medir la magnitud, causas y expresiones de la discriminación en México; profundizando en el conocimiento sobre quiénes sufren discriminación, en qué ámbitos sociales sucede, y los factores sociodemográficos y culturales que se relacionan, para la definición de indicadores de diseño de legislación y política pública. </w:t>
      </w:r>
    </w:p>
    <w:p w14:paraId="2F938F3E" w14:textId="77777777" w:rsidR="00D61636" w:rsidRPr="009D6983" w:rsidRDefault="00D61636" w:rsidP="00D61636">
      <w:pPr>
        <w:jc w:val="both"/>
        <w:rPr>
          <w:rFonts w:ascii="Montserrat" w:eastAsiaTheme="minorEastAsia" w:hAnsi="Montserrat" w:cs="Arial"/>
          <w:bCs/>
          <w:sz w:val="22"/>
          <w:szCs w:val="22"/>
          <w:u w:val="single"/>
          <w:lang w:eastAsia="es-ES"/>
        </w:rPr>
      </w:pPr>
    </w:p>
    <w:p w14:paraId="4AEAFC17" w14:textId="77777777" w:rsidR="00D61636" w:rsidRPr="009D6983" w:rsidRDefault="00D61636" w:rsidP="00D61636">
      <w:pPr>
        <w:jc w:val="both"/>
        <w:rPr>
          <w:rFonts w:ascii="Montserrat" w:eastAsiaTheme="minorEastAsia" w:hAnsi="Montserrat" w:cs="Arial"/>
          <w:bCs/>
          <w:sz w:val="22"/>
          <w:szCs w:val="22"/>
          <w:lang w:eastAsia="es-ES"/>
        </w:rPr>
      </w:pPr>
      <w:r w:rsidRPr="009D6983">
        <w:rPr>
          <w:rFonts w:ascii="Montserrat" w:eastAsiaTheme="minorEastAsia" w:hAnsi="Montserrat" w:cs="Arial"/>
          <w:bCs/>
          <w:sz w:val="22"/>
          <w:szCs w:val="22"/>
          <w:lang w:eastAsia="es-ES"/>
        </w:rPr>
        <w:t xml:space="preserve">Además, con el propósito de dimensionar la situación de discriminación estructural a la que adolescentes y jóvenes se enfrentan cotidianamente y que se manifiesta, en los diversos ámbitos de la vida social, en un amplio número de prejuicios, prácticas excluyentes y barreras de desigualdad que limitan su desarrollo, se elaboró el cuadernillo de resultados sobre adolescentes y jóvenes de la ENADIS 2017 como un diagnóstico para dar pauta a políticas que puedan atender este complejo problema. De acuerdo con este volumen, los ámbitos donde se presenta brechas de desigualdad y obstáculos estructurales para el ejercicio de derechos fundamentales desde la niñez y durante la adolescencia y la juventud son: </w:t>
      </w:r>
    </w:p>
    <w:p w14:paraId="33D5CB88" w14:textId="77777777" w:rsidR="00D61636" w:rsidRPr="009D6983" w:rsidRDefault="00D61636" w:rsidP="00D61636">
      <w:pPr>
        <w:jc w:val="both"/>
        <w:rPr>
          <w:rFonts w:ascii="Montserrat" w:eastAsiaTheme="minorEastAsia" w:hAnsi="Montserrat" w:cs="Arial"/>
          <w:b/>
          <w:sz w:val="22"/>
          <w:szCs w:val="22"/>
          <w:lang w:eastAsia="es-ES"/>
        </w:rPr>
      </w:pPr>
    </w:p>
    <w:p w14:paraId="2BEDFDB2" w14:textId="77777777" w:rsidR="00D61636" w:rsidRPr="009D6983" w:rsidRDefault="00D61636" w:rsidP="00D61636">
      <w:pPr>
        <w:jc w:val="both"/>
        <w:rPr>
          <w:rFonts w:ascii="Montserrat" w:eastAsiaTheme="minorEastAsia" w:hAnsi="Montserrat" w:cs="Arial"/>
          <w:b/>
          <w:sz w:val="22"/>
          <w:szCs w:val="22"/>
          <w:lang w:eastAsia="es-ES"/>
        </w:rPr>
      </w:pPr>
      <w:r w:rsidRPr="009D6983">
        <w:rPr>
          <w:rFonts w:ascii="Montserrat" w:eastAsiaTheme="minorEastAsia" w:hAnsi="Montserrat" w:cs="Arial"/>
          <w:b/>
          <w:sz w:val="22"/>
          <w:szCs w:val="22"/>
          <w:lang w:eastAsia="es-ES"/>
        </w:rPr>
        <w:t xml:space="preserve">Educación </w:t>
      </w:r>
    </w:p>
    <w:p w14:paraId="642A4E9C" w14:textId="77777777" w:rsidR="00D61636" w:rsidRPr="009D6983" w:rsidRDefault="00D61636" w:rsidP="00D61636">
      <w:pPr>
        <w:pStyle w:val="ListParagraph"/>
        <w:numPr>
          <w:ilvl w:val="0"/>
          <w:numId w:val="25"/>
        </w:numPr>
        <w:jc w:val="both"/>
        <w:rPr>
          <w:rFonts w:ascii="Montserrat" w:eastAsiaTheme="minorEastAsia" w:hAnsi="Montserrat" w:cs="Arial"/>
          <w:bCs/>
          <w:sz w:val="22"/>
          <w:szCs w:val="22"/>
          <w:lang w:eastAsia="es-ES"/>
        </w:rPr>
      </w:pPr>
      <w:r w:rsidRPr="009D6983">
        <w:rPr>
          <w:rFonts w:ascii="Montserrat" w:eastAsiaTheme="minorEastAsia" w:hAnsi="Montserrat" w:cs="Arial"/>
          <w:bCs/>
          <w:sz w:val="22"/>
          <w:szCs w:val="22"/>
          <w:lang w:eastAsia="es-ES"/>
        </w:rPr>
        <w:t>Mientras que 1.4% de la población total de personas de 15 a 29 años en México no sabe leer ni escribir, el analfabetismo alcanza 2% entre las personas que se identifican como indígenas o como afrodescendientes, 3.3% entre hablantes de lengua indígena.</w:t>
      </w:r>
    </w:p>
    <w:p w14:paraId="4616924F" w14:textId="77777777" w:rsidR="00D61636" w:rsidRPr="009D6983" w:rsidRDefault="00D61636" w:rsidP="00D61636">
      <w:pPr>
        <w:pStyle w:val="ListParagraph"/>
        <w:numPr>
          <w:ilvl w:val="0"/>
          <w:numId w:val="25"/>
        </w:numPr>
        <w:jc w:val="both"/>
        <w:rPr>
          <w:rFonts w:ascii="Montserrat" w:eastAsiaTheme="minorEastAsia" w:hAnsi="Montserrat" w:cs="Arial"/>
          <w:bCs/>
          <w:sz w:val="22"/>
          <w:szCs w:val="22"/>
          <w:lang w:val="es-ES_tradnl" w:eastAsia="es-ES"/>
        </w:rPr>
      </w:pPr>
      <w:r w:rsidRPr="009D6983">
        <w:rPr>
          <w:rFonts w:ascii="Montserrat" w:eastAsiaTheme="minorEastAsia" w:hAnsi="Montserrat" w:cs="Arial"/>
          <w:bCs/>
          <w:sz w:val="22"/>
          <w:szCs w:val="22"/>
          <w:lang w:eastAsia="es-ES"/>
        </w:rPr>
        <w:t xml:space="preserve">Mientras más de ocho de cada diez adolescentes asisten a la escuela (83.7% de mujeres y 83.1% de hombres), la proporción desciende a siete de cada diez entre las y los adolescentes afrodescendientes o hablantes de lengua indígena. Debido a las mayores barreras que enfrentan las mujeres en el acceso a la educación, también existe una brecha de género para estos grupos y, como consecuencia, sólo 28.6% de las adolescentes afrodescendientes (18 a 24 años) asisten a la escuela. </w:t>
      </w:r>
    </w:p>
    <w:p w14:paraId="6AF7C028" w14:textId="77777777" w:rsidR="00D61636" w:rsidRPr="009D6983" w:rsidRDefault="00D61636" w:rsidP="00D61636">
      <w:pPr>
        <w:jc w:val="both"/>
        <w:rPr>
          <w:rFonts w:ascii="Montserrat" w:eastAsiaTheme="minorEastAsia" w:hAnsi="Montserrat" w:cs="Arial"/>
          <w:b/>
          <w:sz w:val="22"/>
          <w:szCs w:val="22"/>
          <w:lang w:val="es-ES_tradnl" w:eastAsia="es-ES"/>
        </w:rPr>
      </w:pPr>
      <w:r w:rsidRPr="009D6983">
        <w:rPr>
          <w:rFonts w:ascii="Montserrat" w:eastAsiaTheme="minorEastAsia" w:hAnsi="Montserrat" w:cs="Arial"/>
          <w:b/>
          <w:sz w:val="22"/>
          <w:szCs w:val="22"/>
          <w:lang w:val="es-ES_tradnl" w:eastAsia="es-ES"/>
        </w:rPr>
        <w:t xml:space="preserve">Laboral </w:t>
      </w:r>
    </w:p>
    <w:p w14:paraId="3D93A81B" w14:textId="77777777" w:rsidR="00D61636" w:rsidRPr="009D6983" w:rsidRDefault="00D61636" w:rsidP="00D61636">
      <w:pPr>
        <w:pStyle w:val="ListParagraph"/>
        <w:numPr>
          <w:ilvl w:val="0"/>
          <w:numId w:val="26"/>
        </w:numPr>
        <w:jc w:val="both"/>
        <w:rPr>
          <w:rFonts w:ascii="Montserrat" w:eastAsiaTheme="minorEastAsia" w:hAnsi="Montserrat" w:cs="Arial"/>
          <w:bCs/>
          <w:sz w:val="22"/>
          <w:szCs w:val="22"/>
          <w:lang w:val="es-ES_tradnl" w:eastAsia="es-ES"/>
        </w:rPr>
      </w:pPr>
      <w:r w:rsidRPr="009D6983">
        <w:rPr>
          <w:rFonts w:ascii="Montserrat" w:eastAsiaTheme="minorEastAsia" w:hAnsi="Montserrat" w:cs="Arial"/>
          <w:bCs/>
          <w:sz w:val="22"/>
          <w:szCs w:val="22"/>
          <w:lang w:eastAsia="es-ES"/>
        </w:rPr>
        <w:t xml:space="preserve">La ENADIS estima que hay aproximadamente 5.3 millones de adolescentes y jóvenes de 15 a 29 años que no estudian ni tienen un trabajo remunerado (91.4% mujeres y 8.6% hombres), sin considerar a quienes no quieren trabajar. Entre las principales razones para no participar en el mercado de trabajo remunerado se observan </w:t>
      </w:r>
      <w:r w:rsidRPr="009D6983">
        <w:rPr>
          <w:rFonts w:ascii="Montserrat" w:eastAsiaTheme="minorEastAsia" w:hAnsi="Montserrat" w:cs="Arial"/>
          <w:bCs/>
          <w:sz w:val="22"/>
          <w:szCs w:val="22"/>
          <w:lang w:eastAsia="es-ES"/>
        </w:rPr>
        <w:lastRenderedPageBreak/>
        <w:t>diferencias importantes que pueden atribuirse a la persistencia de roles y estereotipos de género: los hombres reportaron no trabajar debido a la falta de empleos o de experiencia laboral (60.4% de los hombres frente a 11.9% de las mujeres), mientras que las mujeres, porque tenían que dedicarse al trabajo en el hogar y los cuidados (73.0% de las mujeres frente a 5.0% de los hombres).</w:t>
      </w:r>
    </w:p>
    <w:p w14:paraId="64A4EB19" w14:textId="77777777" w:rsidR="00D61636" w:rsidRPr="009D6983" w:rsidRDefault="00D61636" w:rsidP="00D61636">
      <w:pPr>
        <w:pStyle w:val="ListParagraph"/>
        <w:numPr>
          <w:ilvl w:val="0"/>
          <w:numId w:val="26"/>
        </w:numPr>
        <w:jc w:val="both"/>
        <w:rPr>
          <w:rFonts w:ascii="Montserrat" w:eastAsiaTheme="minorEastAsia" w:hAnsi="Montserrat" w:cs="Arial"/>
          <w:bCs/>
          <w:sz w:val="22"/>
          <w:szCs w:val="22"/>
          <w:lang w:val="es-ES_tradnl" w:eastAsia="es-ES"/>
        </w:rPr>
      </w:pPr>
      <w:r w:rsidRPr="009D6983">
        <w:rPr>
          <w:rFonts w:ascii="Montserrat" w:eastAsiaTheme="minorEastAsia" w:hAnsi="Montserrat" w:cs="Arial"/>
          <w:bCs/>
          <w:sz w:val="22"/>
          <w:szCs w:val="22"/>
          <w:lang w:eastAsia="es-ES"/>
        </w:rPr>
        <w:t xml:space="preserve">Entre las personas jóvenes, es posible identificar diferencias importantes en el tipo de ocupación de acuerdo con el tono de piel declarado: la proporción de personas con tonos de piel más oscuros que ocupa empleos en la cúspide de la pirámide laboral es inferior al de las personas con tonos de piel más claros (14.0 y 23.4%, respectivamente). </w:t>
      </w:r>
    </w:p>
    <w:p w14:paraId="25DC0F60" w14:textId="77777777" w:rsidR="00D61636" w:rsidRPr="009D6983" w:rsidRDefault="00D61636" w:rsidP="00D61636">
      <w:pPr>
        <w:jc w:val="both"/>
        <w:rPr>
          <w:rFonts w:ascii="Montserrat" w:eastAsiaTheme="minorEastAsia" w:hAnsi="Montserrat" w:cs="Arial"/>
          <w:b/>
          <w:sz w:val="22"/>
          <w:szCs w:val="22"/>
          <w:lang w:val="es-ES_tradnl" w:eastAsia="es-ES"/>
        </w:rPr>
      </w:pPr>
      <w:r w:rsidRPr="009D6983">
        <w:rPr>
          <w:rFonts w:ascii="Montserrat" w:eastAsiaTheme="minorEastAsia" w:hAnsi="Montserrat" w:cs="Arial"/>
          <w:b/>
          <w:sz w:val="22"/>
          <w:szCs w:val="22"/>
          <w:lang w:val="es-ES_tradnl" w:eastAsia="es-ES"/>
        </w:rPr>
        <w:t xml:space="preserve">Salud </w:t>
      </w:r>
    </w:p>
    <w:p w14:paraId="7B0A6700" w14:textId="77777777" w:rsidR="00D61636" w:rsidRPr="009D6983" w:rsidRDefault="00D61636" w:rsidP="00D61636">
      <w:pPr>
        <w:pStyle w:val="Default"/>
        <w:numPr>
          <w:ilvl w:val="0"/>
          <w:numId w:val="22"/>
        </w:numPr>
        <w:jc w:val="both"/>
        <w:rPr>
          <w:rFonts w:ascii="Montserrat" w:hAnsi="Montserrat"/>
          <w:b/>
          <w:sz w:val="22"/>
          <w:szCs w:val="22"/>
        </w:rPr>
      </w:pPr>
      <w:r w:rsidRPr="009D6983">
        <w:rPr>
          <w:rFonts w:ascii="Montserrat" w:eastAsiaTheme="minorEastAsia" w:hAnsi="Montserrat" w:cs="Arial"/>
          <w:bCs/>
          <w:sz w:val="22"/>
          <w:szCs w:val="22"/>
          <w:lang w:eastAsia="es-ES"/>
        </w:rPr>
        <w:t>A diferencia de las personas adultas, que usan principalmente los servicios a los cuales son derechohabientes, de forma directa o por medio de un familiar, una mayor proporción de adolescentes y jóvenes se atiende en los consultorios de farmacia y en el Seguro Popular, con un paquete de servicios menor que el de la seguridad social contributiva (cuya cobertura quedará a cargo del Instituto de Salud para el Bienestar</w:t>
      </w:r>
      <w:r w:rsidRPr="009D6983">
        <w:rPr>
          <w:rStyle w:val="FootnoteReference"/>
          <w:rFonts w:ascii="Montserrat" w:eastAsiaTheme="minorEastAsia" w:hAnsi="Montserrat" w:cs="Arial"/>
          <w:bCs/>
          <w:sz w:val="22"/>
          <w:szCs w:val="22"/>
          <w:lang w:eastAsia="es-ES"/>
        </w:rPr>
        <w:footnoteReference w:id="11"/>
      </w:r>
      <w:r w:rsidRPr="009D6983">
        <w:rPr>
          <w:rFonts w:ascii="Montserrat" w:eastAsiaTheme="minorEastAsia" w:hAnsi="Montserrat" w:cs="Arial"/>
          <w:bCs/>
          <w:sz w:val="22"/>
          <w:szCs w:val="22"/>
          <w:lang w:eastAsia="es-ES"/>
        </w:rPr>
        <w:t xml:space="preserve">. </w:t>
      </w:r>
    </w:p>
    <w:p w14:paraId="7FEC5115" w14:textId="77777777" w:rsidR="00D61636" w:rsidRPr="009D6983" w:rsidRDefault="00D61636" w:rsidP="00D61636">
      <w:pPr>
        <w:pStyle w:val="Default"/>
        <w:ind w:left="720"/>
        <w:jc w:val="both"/>
        <w:rPr>
          <w:rFonts w:ascii="Montserrat" w:hAnsi="Montserrat"/>
          <w:b/>
          <w:sz w:val="22"/>
          <w:szCs w:val="22"/>
        </w:rPr>
      </w:pPr>
    </w:p>
    <w:p w14:paraId="25CE6526" w14:textId="591E7145" w:rsidR="005C2A08" w:rsidRPr="009D6983" w:rsidRDefault="00C54D20" w:rsidP="00D61636">
      <w:pPr>
        <w:pStyle w:val="Default"/>
        <w:numPr>
          <w:ilvl w:val="0"/>
          <w:numId w:val="28"/>
        </w:numPr>
        <w:jc w:val="both"/>
        <w:rPr>
          <w:rFonts w:ascii="Montserrat" w:hAnsi="Montserrat"/>
          <w:b/>
          <w:sz w:val="22"/>
          <w:szCs w:val="22"/>
        </w:rPr>
      </w:pPr>
      <w:r w:rsidRPr="009D6983">
        <w:rPr>
          <w:rFonts w:ascii="Montserrat" w:hAnsi="Montserrat"/>
          <w:b/>
          <w:sz w:val="22"/>
          <w:szCs w:val="22"/>
        </w:rPr>
        <w:t xml:space="preserve">El racismo, la discriminación racial, la xenofobia y las formas conexas de intolerancia que a menudo son blanco los migrantes y los refugiados (párrafos 9 y 10 del preámbulo). </w:t>
      </w:r>
    </w:p>
    <w:p w14:paraId="19BF2EF1" w14:textId="77777777" w:rsidR="00D61636" w:rsidRPr="009D6983" w:rsidRDefault="00D61636" w:rsidP="00A361A0">
      <w:pPr>
        <w:jc w:val="both"/>
        <w:rPr>
          <w:rFonts w:ascii="Montserrat" w:eastAsiaTheme="minorEastAsia" w:hAnsi="Montserrat" w:cs="Arial"/>
          <w:bCs/>
          <w:sz w:val="22"/>
          <w:szCs w:val="22"/>
          <w:lang w:eastAsia="es-ES"/>
        </w:rPr>
      </w:pPr>
    </w:p>
    <w:p w14:paraId="61CAA1C9" w14:textId="004309C8" w:rsidR="005C2A08" w:rsidRPr="009D6983" w:rsidRDefault="006D3865" w:rsidP="00A361A0">
      <w:pPr>
        <w:jc w:val="both"/>
        <w:rPr>
          <w:rFonts w:ascii="Montserrat" w:eastAsiaTheme="minorEastAsia" w:hAnsi="Montserrat" w:cs="Arial"/>
          <w:bCs/>
          <w:sz w:val="22"/>
          <w:szCs w:val="22"/>
          <w:lang w:eastAsia="es-ES"/>
        </w:rPr>
      </w:pPr>
      <w:r w:rsidRPr="009D6983">
        <w:rPr>
          <w:rFonts w:ascii="Montserrat" w:eastAsiaTheme="minorEastAsia" w:hAnsi="Montserrat" w:cs="Arial"/>
          <w:bCs/>
          <w:sz w:val="22"/>
          <w:szCs w:val="22"/>
          <w:lang w:eastAsia="es-ES"/>
        </w:rPr>
        <w:t>La LFPED establece en el artículo 43</w:t>
      </w:r>
      <w:r w:rsidRPr="009D6983">
        <w:rPr>
          <w:sz w:val="22"/>
          <w:szCs w:val="22"/>
          <w:vertAlign w:val="superscript"/>
          <w:lang w:eastAsia="es-ES"/>
        </w:rPr>
        <w:footnoteReference w:id="12"/>
      </w:r>
      <w:r w:rsidRPr="009D6983">
        <w:rPr>
          <w:rFonts w:ascii="Montserrat" w:eastAsiaTheme="minorEastAsia" w:hAnsi="Montserrat" w:cs="Arial"/>
          <w:bCs/>
          <w:sz w:val="22"/>
          <w:szCs w:val="22"/>
          <w:lang w:eastAsia="es-ES"/>
        </w:rPr>
        <w:t xml:space="preserve"> que el CONAPRED es competente para conocer actos u omisiones que sucedan dentro del territorio mexicano, que puedan configurar conductas que se presuman discriminatorias en términos del artículo 1, párrafo segundo, fracción III de la Ley Federal en comento y que son atribuidos a personas particulares o a personas servidoras públicas federales o de los poderes públicos federales. </w:t>
      </w:r>
    </w:p>
    <w:p w14:paraId="26DAFAF3" w14:textId="77777777" w:rsidR="00D61636" w:rsidRPr="009D6983" w:rsidRDefault="00D61636" w:rsidP="00A361A0">
      <w:pPr>
        <w:jc w:val="both"/>
        <w:rPr>
          <w:rFonts w:ascii="Montserrat" w:eastAsiaTheme="minorEastAsia" w:hAnsi="Montserrat" w:cs="Arial"/>
          <w:bCs/>
          <w:sz w:val="22"/>
          <w:szCs w:val="22"/>
          <w:u w:val="single"/>
          <w:lang w:eastAsia="es-ES"/>
        </w:rPr>
      </w:pPr>
    </w:p>
    <w:p w14:paraId="3D14E99E" w14:textId="7C2838A1" w:rsidR="006D3865" w:rsidRPr="009D6983" w:rsidRDefault="006D3865" w:rsidP="00A361A0">
      <w:pPr>
        <w:jc w:val="both"/>
        <w:rPr>
          <w:rFonts w:ascii="Montserrat" w:eastAsiaTheme="minorEastAsia" w:hAnsi="Montserrat" w:cs="Arial"/>
          <w:bCs/>
          <w:sz w:val="22"/>
          <w:szCs w:val="22"/>
          <w:lang w:val="es-ES_tradnl" w:eastAsia="es-ES"/>
        </w:rPr>
      </w:pPr>
      <w:r w:rsidRPr="009D6983">
        <w:rPr>
          <w:rFonts w:ascii="Montserrat" w:eastAsiaTheme="minorEastAsia" w:hAnsi="Montserrat" w:cs="Arial"/>
          <w:bCs/>
          <w:sz w:val="22"/>
          <w:szCs w:val="22"/>
          <w:lang w:val="es-ES_tradnl" w:eastAsia="es-ES"/>
        </w:rPr>
        <w:t>Durante el período 201</w:t>
      </w:r>
      <w:r w:rsidR="008941D9" w:rsidRPr="009D6983">
        <w:rPr>
          <w:rFonts w:ascii="Montserrat" w:eastAsiaTheme="minorEastAsia" w:hAnsi="Montserrat" w:cs="Arial"/>
          <w:bCs/>
          <w:sz w:val="22"/>
          <w:szCs w:val="22"/>
          <w:lang w:val="es-ES_tradnl" w:eastAsia="es-ES"/>
        </w:rPr>
        <w:t>8</w:t>
      </w:r>
      <w:r w:rsidRPr="009D6983">
        <w:rPr>
          <w:rFonts w:ascii="Montserrat" w:eastAsiaTheme="minorEastAsia" w:hAnsi="Montserrat" w:cs="Arial"/>
          <w:bCs/>
          <w:sz w:val="22"/>
          <w:szCs w:val="22"/>
          <w:lang w:val="es-ES_tradnl" w:eastAsia="es-ES"/>
        </w:rPr>
        <w:t>-2023, se radicaron 1</w:t>
      </w:r>
      <w:r w:rsidR="008941D9" w:rsidRPr="009D6983">
        <w:rPr>
          <w:rFonts w:ascii="Montserrat" w:eastAsiaTheme="minorEastAsia" w:hAnsi="Montserrat" w:cs="Arial"/>
          <w:bCs/>
          <w:sz w:val="22"/>
          <w:szCs w:val="22"/>
          <w:lang w:val="es-ES_tradnl" w:eastAsia="es-ES"/>
        </w:rPr>
        <w:t>4</w:t>
      </w:r>
      <w:r w:rsidRPr="009D6983">
        <w:rPr>
          <w:rFonts w:ascii="Montserrat" w:eastAsiaTheme="minorEastAsia" w:hAnsi="Montserrat" w:cs="Arial"/>
          <w:bCs/>
          <w:sz w:val="22"/>
          <w:szCs w:val="22"/>
          <w:lang w:val="es-ES_tradnl" w:eastAsia="es-ES"/>
        </w:rPr>
        <w:t xml:space="preserve"> </w:t>
      </w:r>
      <w:r w:rsidRPr="009D6983">
        <w:rPr>
          <w:rFonts w:ascii="Montserrat" w:eastAsiaTheme="minorEastAsia" w:hAnsi="Montserrat" w:cs="Arial"/>
          <w:bCs/>
          <w:sz w:val="22"/>
          <w:szCs w:val="22"/>
          <w:lang w:eastAsia="es-ES"/>
        </w:rPr>
        <w:t xml:space="preserve">expedientes calificados como presuntos actos de discriminación </w:t>
      </w:r>
      <w:r w:rsidR="008941D9" w:rsidRPr="009D6983">
        <w:rPr>
          <w:rFonts w:ascii="Montserrat" w:eastAsiaTheme="minorEastAsia" w:hAnsi="Montserrat" w:cs="Arial"/>
          <w:bCs/>
          <w:sz w:val="22"/>
          <w:szCs w:val="22"/>
          <w:lang w:eastAsia="es-ES"/>
        </w:rPr>
        <w:t xml:space="preserve">contra personas migrantes y refugiadas </w:t>
      </w:r>
      <w:r w:rsidRPr="009D6983">
        <w:rPr>
          <w:rFonts w:ascii="Montserrat" w:eastAsiaTheme="minorEastAsia" w:hAnsi="Montserrat" w:cs="Arial"/>
          <w:bCs/>
          <w:sz w:val="22"/>
          <w:szCs w:val="22"/>
          <w:lang w:eastAsia="es-ES"/>
        </w:rPr>
        <w:t>de los cuales c</w:t>
      </w:r>
      <w:r w:rsidR="008941D9" w:rsidRPr="009D6983">
        <w:rPr>
          <w:rFonts w:ascii="Montserrat" w:eastAsiaTheme="minorEastAsia" w:hAnsi="Montserrat" w:cs="Arial"/>
          <w:bCs/>
          <w:sz w:val="22"/>
          <w:szCs w:val="22"/>
          <w:lang w:eastAsia="es-ES"/>
        </w:rPr>
        <w:t>inco</w:t>
      </w:r>
      <w:r w:rsidRPr="009D6983">
        <w:rPr>
          <w:rFonts w:ascii="Montserrat" w:eastAsiaTheme="minorEastAsia" w:hAnsi="Montserrat" w:cs="Arial"/>
          <w:bCs/>
          <w:sz w:val="22"/>
          <w:szCs w:val="22"/>
          <w:lang w:eastAsia="es-ES"/>
        </w:rPr>
        <w:t xml:space="preserve"> fueron atribuidos a personas particulares y </w:t>
      </w:r>
      <w:r w:rsidR="008941D9" w:rsidRPr="009D6983">
        <w:rPr>
          <w:rFonts w:ascii="Montserrat" w:eastAsiaTheme="minorEastAsia" w:hAnsi="Montserrat" w:cs="Arial"/>
          <w:bCs/>
          <w:sz w:val="22"/>
          <w:szCs w:val="22"/>
          <w:lang w:eastAsia="es-ES"/>
        </w:rPr>
        <w:t>nueve</w:t>
      </w:r>
      <w:r w:rsidRPr="009D6983">
        <w:rPr>
          <w:rFonts w:ascii="Montserrat" w:eastAsiaTheme="minorEastAsia" w:hAnsi="Montserrat" w:cs="Arial"/>
          <w:bCs/>
          <w:sz w:val="22"/>
          <w:szCs w:val="22"/>
          <w:lang w:eastAsia="es-ES"/>
        </w:rPr>
        <w:t xml:space="preserve"> a personas servidoras públicas federales</w:t>
      </w:r>
      <w:r w:rsidR="00D61636" w:rsidRPr="009D6983">
        <w:rPr>
          <w:rFonts w:ascii="Montserrat" w:eastAsiaTheme="minorEastAsia" w:hAnsi="Montserrat" w:cs="Arial"/>
          <w:bCs/>
          <w:sz w:val="22"/>
          <w:szCs w:val="22"/>
          <w:lang w:eastAsia="es-ES"/>
        </w:rPr>
        <w:t>,</w:t>
      </w:r>
      <w:r w:rsidRPr="009D6983">
        <w:rPr>
          <w:rFonts w:ascii="Montserrat" w:eastAsiaTheme="minorEastAsia" w:hAnsi="Montserrat" w:cs="Arial"/>
          <w:bCs/>
          <w:sz w:val="22"/>
          <w:szCs w:val="22"/>
          <w:lang w:eastAsia="es-ES"/>
        </w:rPr>
        <w:t xml:space="preserve">  </w:t>
      </w:r>
    </w:p>
    <w:p w14:paraId="34282608" w14:textId="35AD7F73" w:rsidR="006D3865" w:rsidRPr="009D6983" w:rsidRDefault="006D3865" w:rsidP="00A361A0">
      <w:pPr>
        <w:jc w:val="both"/>
        <w:rPr>
          <w:rFonts w:ascii="Montserrat" w:eastAsiaTheme="minorEastAsia" w:hAnsi="Montserrat" w:cs="Arial"/>
          <w:b/>
          <w:sz w:val="22"/>
          <w:szCs w:val="22"/>
          <w:lang w:val="es-ES" w:eastAsia="es-ES"/>
        </w:rPr>
      </w:pPr>
    </w:p>
    <w:p w14:paraId="17442E74" w14:textId="74545674" w:rsidR="007720FC" w:rsidRPr="009D6983" w:rsidRDefault="00F00774" w:rsidP="00A361A0">
      <w:pPr>
        <w:jc w:val="both"/>
        <w:rPr>
          <w:rFonts w:ascii="Montserrat" w:eastAsiaTheme="minorEastAsia" w:hAnsi="Montserrat" w:cs="Arial"/>
          <w:bCs/>
          <w:sz w:val="22"/>
          <w:szCs w:val="22"/>
          <w:lang w:eastAsia="es-ES"/>
        </w:rPr>
      </w:pPr>
      <w:r w:rsidRPr="009D6983">
        <w:rPr>
          <w:rFonts w:ascii="Montserrat" w:eastAsiaTheme="minorEastAsia" w:hAnsi="Montserrat" w:cs="Arial"/>
          <w:bCs/>
          <w:sz w:val="22"/>
          <w:szCs w:val="22"/>
          <w:lang w:eastAsia="es-ES"/>
        </w:rPr>
        <w:t xml:space="preserve">Entre las principales causas de discriminación a las que se enfrentaron </w:t>
      </w:r>
      <w:r w:rsidR="000915D4" w:rsidRPr="009D6983">
        <w:rPr>
          <w:rFonts w:ascii="Montserrat" w:eastAsiaTheme="minorEastAsia" w:hAnsi="Montserrat" w:cs="Arial"/>
          <w:bCs/>
          <w:sz w:val="22"/>
          <w:szCs w:val="22"/>
          <w:lang w:eastAsia="es-ES"/>
        </w:rPr>
        <w:t xml:space="preserve">las personas migrantes y refugiadas fueron: origen nacional, situación migratoria, condición jurídica, nacionalidad y origen étnico. Asimismo, dentro de los derechos humanos vulnerados se encuentran: trato digno, igualdad de oportunidades, vida libre de violencia e integridad personal. </w:t>
      </w:r>
    </w:p>
    <w:sectPr w:rsidR="007720FC" w:rsidRPr="009D6983" w:rsidSect="009D6983">
      <w:headerReference w:type="default" r:id="rId11"/>
      <w:footerReference w:type="default" r:id="rId12"/>
      <w:pgSz w:w="12240" w:h="15840"/>
      <w:pgMar w:top="1440" w:right="1080" w:bottom="1440" w:left="1080" w:header="706" w:footer="1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1D43" w14:textId="77777777" w:rsidR="00FD697C" w:rsidRDefault="00FD697C" w:rsidP="00F513EB">
      <w:r>
        <w:separator/>
      </w:r>
    </w:p>
  </w:endnote>
  <w:endnote w:type="continuationSeparator" w:id="0">
    <w:p w14:paraId="08655166" w14:textId="77777777" w:rsidR="00FD697C" w:rsidRDefault="00FD697C" w:rsidP="00F5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DCD1" w14:textId="77777777" w:rsidR="009D6983" w:rsidRPr="009D6983" w:rsidRDefault="009D6983" w:rsidP="009D6983">
    <w:pPr>
      <w:pStyle w:val="Footer"/>
      <w:jc w:val="right"/>
      <w:rPr>
        <w:rFonts w:ascii="Montserrat" w:hAnsi="Montserrat"/>
        <w:b/>
        <w:bCs/>
        <w:color w:val="000000" w:themeColor="text1"/>
        <w:sz w:val="18"/>
        <w:szCs w:val="18"/>
      </w:rPr>
    </w:pPr>
    <w:r w:rsidRPr="009D6983">
      <w:rPr>
        <w:rFonts w:ascii="Montserrat" w:hAnsi="Montserrat"/>
        <w:b/>
        <w:bCs/>
        <w:color w:val="000000" w:themeColor="text1"/>
        <w:sz w:val="18"/>
        <w:szCs w:val="18"/>
      </w:rPr>
      <w:t xml:space="preserve">Página </w:t>
    </w:r>
    <w:r w:rsidRPr="009D6983">
      <w:rPr>
        <w:rFonts w:ascii="Montserrat" w:hAnsi="Montserrat"/>
        <w:b/>
        <w:bCs/>
        <w:color w:val="000000" w:themeColor="text1"/>
        <w:sz w:val="18"/>
        <w:szCs w:val="18"/>
      </w:rPr>
      <w:fldChar w:fldCharType="begin"/>
    </w:r>
    <w:r w:rsidRPr="009D6983">
      <w:rPr>
        <w:rFonts w:ascii="Montserrat" w:hAnsi="Montserrat"/>
        <w:b/>
        <w:bCs/>
        <w:color w:val="000000" w:themeColor="text1"/>
        <w:sz w:val="18"/>
        <w:szCs w:val="18"/>
      </w:rPr>
      <w:instrText>PAGE  \* Arabic  \* MERGEFORMAT</w:instrText>
    </w:r>
    <w:r w:rsidRPr="009D6983">
      <w:rPr>
        <w:rFonts w:ascii="Montserrat" w:hAnsi="Montserrat"/>
        <w:b/>
        <w:bCs/>
        <w:color w:val="000000" w:themeColor="text1"/>
        <w:sz w:val="18"/>
        <w:szCs w:val="18"/>
      </w:rPr>
      <w:fldChar w:fldCharType="separate"/>
    </w:r>
    <w:r w:rsidRPr="009D6983">
      <w:rPr>
        <w:rFonts w:ascii="Montserrat" w:hAnsi="Montserrat"/>
        <w:b/>
        <w:bCs/>
        <w:color w:val="000000" w:themeColor="text1"/>
        <w:sz w:val="18"/>
        <w:szCs w:val="18"/>
      </w:rPr>
      <w:t>2</w:t>
    </w:r>
    <w:r w:rsidRPr="009D6983">
      <w:rPr>
        <w:rFonts w:ascii="Montserrat" w:hAnsi="Montserrat"/>
        <w:b/>
        <w:bCs/>
        <w:color w:val="000000" w:themeColor="text1"/>
        <w:sz w:val="18"/>
        <w:szCs w:val="18"/>
      </w:rPr>
      <w:fldChar w:fldCharType="end"/>
    </w:r>
    <w:r w:rsidRPr="009D6983">
      <w:rPr>
        <w:rFonts w:ascii="Montserrat" w:hAnsi="Montserrat"/>
        <w:b/>
        <w:bCs/>
        <w:color w:val="000000" w:themeColor="text1"/>
        <w:sz w:val="18"/>
        <w:szCs w:val="18"/>
      </w:rPr>
      <w:t xml:space="preserve"> de </w:t>
    </w:r>
    <w:r w:rsidRPr="009D6983">
      <w:rPr>
        <w:rFonts w:ascii="Montserrat" w:hAnsi="Montserrat"/>
        <w:b/>
        <w:bCs/>
        <w:color w:val="000000" w:themeColor="text1"/>
        <w:sz w:val="18"/>
        <w:szCs w:val="18"/>
      </w:rPr>
      <w:fldChar w:fldCharType="begin"/>
    </w:r>
    <w:r w:rsidRPr="009D6983">
      <w:rPr>
        <w:rFonts w:ascii="Montserrat" w:hAnsi="Montserrat"/>
        <w:b/>
        <w:bCs/>
        <w:color w:val="000000" w:themeColor="text1"/>
        <w:sz w:val="18"/>
        <w:szCs w:val="18"/>
      </w:rPr>
      <w:instrText>NUMPAGES  \* Arabic  \* MERGEFORMAT</w:instrText>
    </w:r>
    <w:r w:rsidRPr="009D6983">
      <w:rPr>
        <w:rFonts w:ascii="Montserrat" w:hAnsi="Montserrat"/>
        <w:b/>
        <w:bCs/>
        <w:color w:val="000000" w:themeColor="text1"/>
        <w:sz w:val="18"/>
        <w:szCs w:val="18"/>
      </w:rPr>
      <w:fldChar w:fldCharType="separate"/>
    </w:r>
    <w:r w:rsidRPr="009D6983">
      <w:rPr>
        <w:rFonts w:ascii="Montserrat" w:hAnsi="Montserrat"/>
        <w:b/>
        <w:bCs/>
        <w:color w:val="000000" w:themeColor="text1"/>
        <w:sz w:val="18"/>
        <w:szCs w:val="18"/>
      </w:rPr>
      <w:t>2</w:t>
    </w:r>
    <w:r w:rsidRPr="009D6983">
      <w:rPr>
        <w:rFonts w:ascii="Montserrat" w:hAnsi="Montserrat"/>
        <w:b/>
        <w:bCs/>
        <w:color w:val="000000" w:themeColor="text1"/>
        <w:sz w:val="18"/>
        <w:szCs w:val="18"/>
      </w:rPr>
      <w:fldChar w:fldCharType="end"/>
    </w:r>
  </w:p>
  <w:p w14:paraId="268F3337" w14:textId="77777777" w:rsidR="009D6983" w:rsidRPr="009D6983" w:rsidRDefault="009D6983">
    <w:pPr>
      <w:pStyle w:val="Foo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9832" w14:textId="77777777" w:rsidR="00FD697C" w:rsidRDefault="00FD697C" w:rsidP="00F513EB">
      <w:r>
        <w:separator/>
      </w:r>
    </w:p>
  </w:footnote>
  <w:footnote w:type="continuationSeparator" w:id="0">
    <w:p w14:paraId="11CDD4EA" w14:textId="77777777" w:rsidR="00FD697C" w:rsidRDefault="00FD697C" w:rsidP="00F513EB">
      <w:r>
        <w:continuationSeparator/>
      </w:r>
    </w:p>
  </w:footnote>
  <w:footnote w:id="1">
    <w:p w14:paraId="6245F696" w14:textId="77777777" w:rsidR="006F5957" w:rsidRPr="00D61636" w:rsidRDefault="006F5957" w:rsidP="00D61636">
      <w:pPr>
        <w:pStyle w:val="FootnoteText"/>
        <w:jc w:val="both"/>
        <w:rPr>
          <w:rFonts w:ascii="Montserrat" w:hAnsi="Montserrat" w:cstheme="majorHAnsi"/>
          <w:sz w:val="18"/>
          <w:szCs w:val="18"/>
        </w:rPr>
      </w:pPr>
      <w:r w:rsidRPr="00CD689D">
        <w:rPr>
          <w:rStyle w:val="FootnoteReference"/>
          <w:rFonts w:asciiTheme="majorHAnsi" w:hAnsiTheme="majorHAnsi" w:cstheme="majorHAnsi"/>
          <w:sz w:val="18"/>
          <w:szCs w:val="18"/>
        </w:rPr>
        <w:footnoteRef/>
      </w:r>
      <w:r w:rsidRPr="00D61636">
        <w:rPr>
          <w:rFonts w:ascii="Montserrat" w:hAnsi="Montserrat" w:cstheme="majorHAnsi"/>
          <w:sz w:val="18"/>
          <w:szCs w:val="18"/>
        </w:rPr>
        <w:t xml:space="preserve"> Constitución Política de los Estados Unidos Mexicanos, artículo 1, párrafo V. [en línea] Ver </w:t>
      </w:r>
      <w:hyperlink r:id="rId1" w:history="1">
        <w:r w:rsidRPr="00D61636">
          <w:rPr>
            <w:rStyle w:val="Hyperlink"/>
            <w:rFonts w:ascii="Montserrat" w:hAnsi="Montserrat" w:cstheme="majorHAnsi"/>
            <w:sz w:val="18"/>
            <w:szCs w:val="18"/>
          </w:rPr>
          <w:t>http://www.diputados.gob.mx/LeyesBiblio/pdf/1_270818.pdf</w:t>
        </w:r>
      </w:hyperlink>
      <w:r w:rsidRPr="00D61636">
        <w:rPr>
          <w:rFonts w:ascii="Montserrat" w:hAnsi="Montserrat" w:cstheme="majorHAnsi"/>
          <w:sz w:val="18"/>
          <w:szCs w:val="18"/>
        </w:rPr>
        <w:t xml:space="preserve"> </w:t>
      </w:r>
    </w:p>
  </w:footnote>
  <w:footnote w:id="2">
    <w:p w14:paraId="3111BF72" w14:textId="1DEE5422" w:rsidR="006F5957" w:rsidRPr="00D61636" w:rsidRDefault="006F5957" w:rsidP="00D61636">
      <w:pPr>
        <w:pStyle w:val="FootnoteText"/>
        <w:jc w:val="both"/>
        <w:rPr>
          <w:rFonts w:ascii="Montserrat" w:hAnsi="Montserrat" w:cstheme="majorHAnsi"/>
          <w:sz w:val="18"/>
          <w:szCs w:val="18"/>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rPr>
        <w:t xml:space="preserve"> Ley Federal para Prevenir y Eliminar la Discriminación</w:t>
      </w:r>
      <w:r w:rsidR="00231E85">
        <w:rPr>
          <w:rFonts w:ascii="Montserrat" w:hAnsi="Montserrat" w:cstheme="majorHAnsi"/>
          <w:sz w:val="18"/>
          <w:szCs w:val="18"/>
        </w:rPr>
        <w:t xml:space="preserve"> (LFPED)</w:t>
      </w:r>
      <w:r w:rsidRPr="00D61636">
        <w:rPr>
          <w:rFonts w:ascii="Montserrat" w:hAnsi="Montserrat" w:cstheme="majorHAnsi"/>
          <w:sz w:val="18"/>
          <w:szCs w:val="18"/>
        </w:rPr>
        <w:t xml:space="preserve">, artículo 1, fracción III. [en línea] Ver  </w:t>
      </w:r>
      <w:hyperlink r:id="rId2" w:history="1">
        <w:r w:rsidRPr="00D61636">
          <w:rPr>
            <w:rStyle w:val="Hyperlink"/>
            <w:rFonts w:ascii="Montserrat" w:hAnsi="Montserrat" w:cstheme="majorHAnsi"/>
            <w:sz w:val="18"/>
            <w:szCs w:val="18"/>
          </w:rPr>
          <w:t>http://www.diputados.gob.mx/LeyesBiblio/pdf/262_210618.pdf</w:t>
        </w:r>
      </w:hyperlink>
      <w:r w:rsidRPr="00D61636">
        <w:rPr>
          <w:rFonts w:ascii="Montserrat" w:hAnsi="Montserrat" w:cstheme="majorHAnsi"/>
          <w:sz w:val="18"/>
          <w:szCs w:val="18"/>
        </w:rPr>
        <w:t xml:space="preserve"> </w:t>
      </w:r>
    </w:p>
  </w:footnote>
  <w:footnote w:id="3">
    <w:p w14:paraId="527CC59F" w14:textId="77777777" w:rsidR="00CD689D" w:rsidRPr="00D61636" w:rsidRDefault="00CD689D" w:rsidP="00D61636">
      <w:pPr>
        <w:pStyle w:val="FootnoteText"/>
        <w:jc w:val="both"/>
        <w:rPr>
          <w:rFonts w:ascii="Montserrat" w:hAnsi="Montserrat" w:cstheme="majorHAnsi"/>
          <w:sz w:val="18"/>
          <w:szCs w:val="18"/>
          <w:lang w:val="es-MX"/>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lang w:val="es-MX"/>
        </w:rPr>
        <w:t xml:space="preserve"> Ver: </w:t>
      </w:r>
      <w:hyperlink r:id="rId3" w:history="1">
        <w:r w:rsidRPr="00D61636">
          <w:rPr>
            <w:rStyle w:val="Hyperlink"/>
            <w:rFonts w:ascii="Montserrat" w:hAnsi="Montserrat" w:cstheme="majorHAnsi"/>
            <w:sz w:val="18"/>
            <w:szCs w:val="18"/>
            <w:lang w:val="es-MX"/>
          </w:rPr>
          <w:t>https://dof.gob.mx/nota_detalle.php?codigo=5638256&amp;fecha=14/12/2021</w:t>
        </w:r>
      </w:hyperlink>
      <w:r w:rsidRPr="00D61636">
        <w:rPr>
          <w:rFonts w:ascii="Montserrat" w:hAnsi="Montserrat" w:cstheme="majorHAnsi"/>
          <w:sz w:val="18"/>
          <w:szCs w:val="18"/>
          <w:lang w:val="es-MX"/>
        </w:rPr>
        <w:t xml:space="preserve"> </w:t>
      </w:r>
    </w:p>
  </w:footnote>
  <w:footnote w:id="4">
    <w:p w14:paraId="3961D785" w14:textId="77777777" w:rsidR="00A361A0" w:rsidRPr="00D61636" w:rsidRDefault="00A361A0" w:rsidP="00D61636">
      <w:pPr>
        <w:pStyle w:val="FootnoteText"/>
        <w:jc w:val="both"/>
        <w:rPr>
          <w:rFonts w:ascii="Montserrat" w:hAnsi="Montserrat" w:cstheme="majorHAnsi"/>
          <w:sz w:val="18"/>
          <w:szCs w:val="18"/>
          <w:lang w:val="es-ES"/>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rPr>
        <w:t xml:space="preserve"> </w:t>
      </w:r>
      <w:r w:rsidRPr="00D61636">
        <w:rPr>
          <w:rFonts w:ascii="Montserrat" w:hAnsi="Montserrat" w:cstheme="majorHAnsi"/>
          <w:sz w:val="18"/>
          <w:szCs w:val="18"/>
          <w:lang w:val="es-ES"/>
        </w:rPr>
        <w:t xml:space="preserve">Para más información sobre el cuadernillo 2 </w:t>
      </w:r>
      <w:r w:rsidRPr="00D61636">
        <w:rPr>
          <w:rFonts w:ascii="Montserrat" w:hAnsi="Montserrat" w:cstheme="majorHAnsi"/>
          <w:i/>
          <w:iCs/>
          <w:sz w:val="18"/>
          <w:szCs w:val="18"/>
          <w:lang w:val="es-ES"/>
        </w:rPr>
        <w:t xml:space="preserve">¿Qué es y cómo se manifiesta el racismo? </w:t>
      </w:r>
      <w:r w:rsidRPr="00D61636">
        <w:rPr>
          <w:rFonts w:ascii="Montserrat" w:hAnsi="Montserrat" w:cstheme="majorHAnsi"/>
          <w:sz w:val="18"/>
          <w:szCs w:val="18"/>
          <w:lang w:val="es-ES"/>
        </w:rPr>
        <w:t xml:space="preserve">consultar la siguiente liga de acceso: </w:t>
      </w:r>
      <w:hyperlink r:id="rId4" w:history="1">
        <w:r w:rsidRPr="00D61636">
          <w:rPr>
            <w:rStyle w:val="Hyperlink"/>
            <w:rFonts w:ascii="Montserrat" w:hAnsi="Montserrat" w:cstheme="majorHAnsi"/>
            <w:sz w:val="18"/>
            <w:szCs w:val="18"/>
            <w:lang w:val="es-ES"/>
          </w:rPr>
          <w:t>https://sindis.conapred.org.mx/wp-content/uploads/2022/06/Queycomo_manifiesta_racismo_02_WEB.Ax_.pdf</w:t>
        </w:r>
      </w:hyperlink>
    </w:p>
  </w:footnote>
  <w:footnote w:id="5">
    <w:p w14:paraId="5B2D13D3" w14:textId="77777777" w:rsidR="00A361A0" w:rsidRPr="00D61636" w:rsidRDefault="00A361A0" w:rsidP="00D61636">
      <w:pPr>
        <w:pStyle w:val="FootnoteText"/>
        <w:jc w:val="both"/>
        <w:rPr>
          <w:rFonts w:ascii="Montserrat" w:hAnsi="Montserrat" w:cstheme="majorHAnsi"/>
          <w:sz w:val="18"/>
          <w:szCs w:val="18"/>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rPr>
        <w:t xml:space="preserve"> LFPED, artículo 20, fracciones, XXIX, XXXI y XLVI.</w:t>
      </w:r>
    </w:p>
  </w:footnote>
  <w:footnote w:id="6">
    <w:p w14:paraId="6B5E5CF1" w14:textId="77777777" w:rsidR="00A361A0" w:rsidRPr="00D61636" w:rsidRDefault="00A361A0" w:rsidP="00D61636">
      <w:pPr>
        <w:pStyle w:val="FootnoteText"/>
        <w:jc w:val="both"/>
        <w:rPr>
          <w:rFonts w:ascii="Montserrat" w:hAnsi="Montserrat" w:cstheme="majorHAnsi"/>
          <w:sz w:val="18"/>
          <w:szCs w:val="18"/>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rPr>
        <w:t xml:space="preserve"> CONAPRED, </w:t>
      </w:r>
      <w:r w:rsidRPr="00D61636">
        <w:rPr>
          <w:rFonts w:ascii="Montserrat" w:hAnsi="Montserrat" w:cstheme="majorHAnsi"/>
          <w:i/>
          <w:sz w:val="18"/>
          <w:szCs w:val="18"/>
        </w:rPr>
        <w:t xml:space="preserve">Manual ¡Si podemos! Actuar contra el discurso de odio mediante </w:t>
      </w:r>
      <w:proofErr w:type="spellStart"/>
      <w:r w:rsidRPr="00D61636">
        <w:rPr>
          <w:rFonts w:ascii="Montserrat" w:hAnsi="Montserrat" w:cstheme="majorHAnsi"/>
          <w:i/>
          <w:sz w:val="18"/>
          <w:szCs w:val="18"/>
        </w:rPr>
        <w:t>contranarrativas</w:t>
      </w:r>
      <w:proofErr w:type="spellEnd"/>
      <w:r w:rsidRPr="00D61636">
        <w:rPr>
          <w:rFonts w:ascii="Montserrat" w:hAnsi="Montserrat" w:cstheme="majorHAnsi"/>
          <w:i/>
          <w:sz w:val="18"/>
          <w:szCs w:val="18"/>
        </w:rPr>
        <w:t xml:space="preserve"> y narrativas alternas</w:t>
      </w:r>
      <w:r w:rsidRPr="00D61636">
        <w:rPr>
          <w:rFonts w:ascii="Montserrat" w:hAnsi="Montserrat" w:cstheme="majorHAnsi"/>
          <w:sz w:val="18"/>
          <w:szCs w:val="18"/>
        </w:rPr>
        <w:t xml:space="preserve">. Disponible en </w:t>
      </w:r>
      <w:hyperlink r:id="rId5" w:history="1">
        <w:r w:rsidRPr="00D61636">
          <w:rPr>
            <w:rFonts w:ascii="Montserrat" w:hAnsi="Montserrat" w:cstheme="majorHAnsi"/>
            <w:color w:val="0000FF"/>
            <w:sz w:val="18"/>
            <w:szCs w:val="18"/>
            <w:u w:val="single"/>
            <w:lang w:val="es-MX"/>
          </w:rPr>
          <w:t>https://www.conapred.org.mx/documentos_cedoc/Manual_SI_PODEMOS_2019.Ax.pdf</w:t>
        </w:r>
      </w:hyperlink>
    </w:p>
  </w:footnote>
  <w:footnote w:id="7">
    <w:p w14:paraId="1E207AD8" w14:textId="77777777" w:rsidR="00A361A0" w:rsidRPr="00D61636" w:rsidRDefault="00A361A0" w:rsidP="00D61636">
      <w:pPr>
        <w:pStyle w:val="FootnoteText"/>
        <w:jc w:val="both"/>
        <w:rPr>
          <w:rFonts w:ascii="Montserrat" w:hAnsi="Montserrat" w:cstheme="majorHAnsi"/>
          <w:sz w:val="18"/>
          <w:szCs w:val="18"/>
          <w:lang w:val="es-ES"/>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rPr>
        <w:t xml:space="preserve"> </w:t>
      </w:r>
      <w:r w:rsidRPr="00D61636">
        <w:rPr>
          <w:rFonts w:ascii="Montserrat" w:hAnsi="Montserrat" w:cstheme="majorHAnsi"/>
          <w:sz w:val="18"/>
          <w:szCs w:val="18"/>
          <w:lang w:val="es-ES"/>
        </w:rPr>
        <w:t xml:space="preserve">CONAPRED, </w:t>
      </w:r>
      <w:r w:rsidRPr="00D61636">
        <w:rPr>
          <w:rFonts w:ascii="Montserrat" w:hAnsi="Montserrat" w:cstheme="majorHAnsi"/>
          <w:bCs/>
          <w:i/>
          <w:iCs/>
          <w:sz w:val="18"/>
          <w:szCs w:val="18"/>
          <w:lang w:val="es-MX"/>
        </w:rPr>
        <w:t>Guía para la acción pública. Comunicación sin Xenofobia. Recomendaciones para medios y redes sociales</w:t>
      </w:r>
      <w:r w:rsidRPr="00D61636">
        <w:rPr>
          <w:rFonts w:ascii="Montserrat" w:hAnsi="Montserrat" w:cstheme="majorHAnsi"/>
          <w:b/>
          <w:i/>
          <w:iCs/>
          <w:sz w:val="18"/>
          <w:szCs w:val="18"/>
          <w:lang w:val="es-MX"/>
        </w:rPr>
        <w:t xml:space="preserve">. </w:t>
      </w:r>
      <w:r w:rsidRPr="00D61636">
        <w:rPr>
          <w:rFonts w:ascii="Montserrat" w:hAnsi="Montserrat" w:cstheme="majorHAnsi"/>
          <w:bCs/>
          <w:sz w:val="18"/>
          <w:szCs w:val="18"/>
          <w:lang w:val="es-MX"/>
        </w:rPr>
        <w:t>México (2022)</w:t>
      </w:r>
      <w:r w:rsidRPr="00D61636">
        <w:rPr>
          <w:rFonts w:ascii="Montserrat" w:hAnsi="Montserrat" w:cstheme="majorHAnsi"/>
          <w:b/>
          <w:i/>
          <w:iCs/>
          <w:sz w:val="18"/>
          <w:szCs w:val="18"/>
          <w:lang w:val="es-MX"/>
        </w:rPr>
        <w:t xml:space="preserve"> </w:t>
      </w:r>
      <w:r w:rsidRPr="00D61636">
        <w:rPr>
          <w:rFonts w:ascii="Montserrat" w:hAnsi="Montserrat" w:cstheme="majorHAnsi"/>
          <w:bCs/>
          <w:sz w:val="18"/>
          <w:szCs w:val="18"/>
          <w:lang w:val="es-MX"/>
        </w:rPr>
        <w:t xml:space="preserve">Disponible en: </w:t>
      </w:r>
      <w:hyperlink r:id="rId6" w:history="1">
        <w:r w:rsidRPr="00D61636">
          <w:rPr>
            <w:rStyle w:val="Hyperlink"/>
            <w:rFonts w:ascii="Montserrat" w:hAnsi="Montserrat" w:cstheme="majorHAnsi"/>
            <w:bCs/>
            <w:sz w:val="18"/>
            <w:szCs w:val="18"/>
            <w:lang w:val="es-MX"/>
          </w:rPr>
          <w:t>GAP_Xenofobia_2022_FINAL.pdf (conapred.org.mx)</w:t>
        </w:r>
      </w:hyperlink>
    </w:p>
  </w:footnote>
  <w:footnote w:id="8">
    <w:p w14:paraId="5F157C85" w14:textId="77777777" w:rsidR="00A361A0" w:rsidRPr="00D61636" w:rsidRDefault="00A361A0" w:rsidP="00D61636">
      <w:pPr>
        <w:pStyle w:val="FootnoteText"/>
        <w:jc w:val="both"/>
        <w:rPr>
          <w:rFonts w:ascii="Montserrat" w:hAnsi="Montserrat" w:cstheme="majorHAnsi"/>
          <w:sz w:val="18"/>
          <w:szCs w:val="18"/>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rPr>
        <w:t xml:space="preserve"> CONAPRED, </w:t>
      </w:r>
      <w:r w:rsidRPr="00D61636">
        <w:rPr>
          <w:rFonts w:ascii="Montserrat" w:eastAsia="Times New Roman" w:hAnsi="Montserrat" w:cstheme="majorHAnsi"/>
          <w:i/>
          <w:iCs/>
          <w:sz w:val="18"/>
          <w:szCs w:val="18"/>
          <w:bdr w:val="none" w:sz="0" w:space="0" w:color="auto" w:frame="1"/>
          <w:lang w:eastAsia="es-ES_tradnl"/>
        </w:rPr>
        <w:t>El prejuicio y la palabra: los derechos a la libre expresión y a la no discriminación en contraste.</w:t>
      </w:r>
      <w:r w:rsidRPr="00D61636">
        <w:rPr>
          <w:rFonts w:ascii="Montserrat" w:hAnsi="Montserrat" w:cstheme="majorHAnsi"/>
          <w:sz w:val="18"/>
          <w:szCs w:val="18"/>
        </w:rPr>
        <w:t xml:space="preserve"> </w:t>
      </w:r>
      <w:r w:rsidRPr="00D61636">
        <w:rPr>
          <w:rFonts w:ascii="Montserrat" w:eastAsia="Times New Roman" w:hAnsi="Montserrat" w:cstheme="majorHAnsi"/>
          <w:sz w:val="18"/>
          <w:szCs w:val="18"/>
          <w:bdr w:val="none" w:sz="0" w:space="0" w:color="auto" w:frame="1"/>
          <w:lang w:eastAsia="es-ES_tradnl"/>
        </w:rPr>
        <w:t>México</w:t>
      </w:r>
      <w:r w:rsidRPr="00D61636">
        <w:rPr>
          <w:rFonts w:ascii="Montserrat" w:eastAsia="Times New Roman" w:hAnsi="Montserrat" w:cstheme="majorHAnsi"/>
          <w:i/>
          <w:iCs/>
          <w:sz w:val="18"/>
          <w:szCs w:val="18"/>
          <w:bdr w:val="none" w:sz="0" w:space="0" w:color="auto" w:frame="1"/>
          <w:lang w:eastAsia="es-ES_tradnl"/>
        </w:rPr>
        <w:t xml:space="preserve"> </w:t>
      </w:r>
      <w:r w:rsidRPr="00D61636">
        <w:rPr>
          <w:rFonts w:ascii="Montserrat" w:hAnsi="Montserrat" w:cstheme="majorHAnsi"/>
          <w:sz w:val="18"/>
          <w:szCs w:val="18"/>
        </w:rPr>
        <w:t>(2018)</w:t>
      </w:r>
      <w:r w:rsidRPr="00D61636">
        <w:rPr>
          <w:rFonts w:ascii="Montserrat" w:eastAsia="Times New Roman" w:hAnsi="Montserrat" w:cstheme="majorHAnsi"/>
          <w:sz w:val="18"/>
          <w:szCs w:val="18"/>
          <w:bdr w:val="none" w:sz="0" w:space="0" w:color="auto" w:frame="1"/>
          <w:lang w:eastAsia="es-ES_tradnl"/>
        </w:rPr>
        <w:t xml:space="preserve">: </w:t>
      </w:r>
      <w:proofErr w:type="spellStart"/>
      <w:r w:rsidRPr="00D61636">
        <w:rPr>
          <w:rFonts w:ascii="Montserrat" w:eastAsia="Times New Roman" w:hAnsi="Montserrat" w:cstheme="majorHAnsi"/>
          <w:sz w:val="18"/>
          <w:szCs w:val="18"/>
          <w:bdr w:val="none" w:sz="0" w:space="0" w:color="auto" w:frame="1"/>
          <w:lang w:eastAsia="es-ES_tradnl"/>
        </w:rPr>
        <w:t>Conapred</w:t>
      </w:r>
      <w:proofErr w:type="spellEnd"/>
      <w:r w:rsidRPr="00D61636">
        <w:rPr>
          <w:rFonts w:ascii="Montserrat" w:eastAsia="Times New Roman" w:hAnsi="Montserrat" w:cstheme="majorHAnsi"/>
          <w:sz w:val="18"/>
          <w:szCs w:val="18"/>
          <w:bdr w:val="none" w:sz="0" w:space="0" w:color="auto" w:frame="1"/>
          <w:lang w:eastAsia="es-ES_tradnl"/>
        </w:rPr>
        <w:t>. Disponible en:</w:t>
      </w:r>
      <w:r w:rsidRPr="00D61636">
        <w:rPr>
          <w:rFonts w:ascii="Montserrat" w:hAnsi="Montserrat" w:cstheme="majorHAnsi"/>
          <w:sz w:val="18"/>
          <w:szCs w:val="18"/>
        </w:rPr>
        <w:t xml:space="preserve"> </w:t>
      </w:r>
      <w:hyperlink r:id="rId7" w:history="1">
        <w:r w:rsidRPr="00D61636">
          <w:rPr>
            <w:rStyle w:val="Hyperlink"/>
            <w:rFonts w:ascii="Montserrat" w:hAnsi="Montserrat" w:cstheme="majorHAnsi"/>
            <w:sz w:val="18"/>
            <w:szCs w:val="18"/>
          </w:rPr>
          <w:t>http://www.conapred.org.mx/documentos_cedoc/Prejuicio_Palabra_1.1_Ax.pdf</w:t>
        </w:r>
      </w:hyperlink>
      <w:r w:rsidRPr="00D61636">
        <w:rPr>
          <w:rFonts w:ascii="Montserrat" w:hAnsi="Montserrat" w:cstheme="majorHAnsi"/>
          <w:sz w:val="18"/>
          <w:szCs w:val="18"/>
        </w:rPr>
        <w:t xml:space="preserve">  </w:t>
      </w:r>
    </w:p>
  </w:footnote>
  <w:footnote w:id="9">
    <w:p w14:paraId="5656E22A" w14:textId="77777777" w:rsidR="00A361A0" w:rsidRPr="00D61636" w:rsidRDefault="00A361A0" w:rsidP="00D61636">
      <w:pPr>
        <w:pStyle w:val="FootnoteText"/>
        <w:jc w:val="both"/>
        <w:rPr>
          <w:rFonts w:ascii="Montserrat" w:hAnsi="Montserrat"/>
          <w:sz w:val="18"/>
          <w:szCs w:val="18"/>
          <w:lang w:val="es-ES"/>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rPr>
        <w:t xml:space="preserve"> </w:t>
      </w:r>
      <w:r w:rsidRPr="00D61636">
        <w:rPr>
          <w:rFonts w:ascii="Montserrat" w:hAnsi="Montserrat" w:cstheme="majorHAnsi"/>
          <w:sz w:val="18"/>
          <w:szCs w:val="18"/>
          <w:lang w:val="es-MX"/>
        </w:rPr>
        <w:t xml:space="preserve">CONAPRED, </w:t>
      </w:r>
      <w:r w:rsidRPr="00D61636">
        <w:rPr>
          <w:rFonts w:ascii="Montserrat" w:hAnsi="Montserrat" w:cstheme="majorHAnsi"/>
          <w:i/>
          <w:iCs/>
          <w:sz w:val="18"/>
          <w:szCs w:val="18"/>
          <w:lang w:val="es-MX"/>
        </w:rPr>
        <w:t>Odium dicta</w:t>
      </w:r>
      <w:r w:rsidRPr="00D61636">
        <w:rPr>
          <w:rFonts w:ascii="Montserrat" w:hAnsi="Montserrat" w:cstheme="majorHAnsi"/>
          <w:sz w:val="18"/>
          <w:szCs w:val="18"/>
          <w:lang w:val="es-MX"/>
        </w:rPr>
        <w:t xml:space="preserve">. </w:t>
      </w:r>
      <w:r w:rsidRPr="00D61636">
        <w:rPr>
          <w:rFonts w:ascii="Montserrat" w:hAnsi="Montserrat" w:cstheme="majorHAnsi"/>
          <w:bCs/>
          <w:i/>
          <w:iCs/>
          <w:sz w:val="18"/>
          <w:szCs w:val="18"/>
          <w:lang w:val="es-MX"/>
        </w:rPr>
        <w:t xml:space="preserve">Libertad de expresión y protección de grupos discriminados en internet. </w:t>
      </w:r>
      <w:r w:rsidRPr="00D61636">
        <w:rPr>
          <w:rFonts w:ascii="Montserrat" w:hAnsi="Montserrat" w:cstheme="majorHAnsi"/>
          <w:bCs/>
          <w:sz w:val="18"/>
          <w:szCs w:val="18"/>
          <w:lang w:val="es-MX"/>
        </w:rPr>
        <w:t>México (2015)</w:t>
      </w:r>
      <w:r w:rsidRPr="00D61636">
        <w:rPr>
          <w:rFonts w:ascii="Montserrat" w:hAnsi="Montserrat" w:cstheme="majorHAnsi"/>
          <w:bCs/>
          <w:i/>
          <w:iCs/>
          <w:sz w:val="18"/>
          <w:szCs w:val="18"/>
          <w:lang w:val="es-MX"/>
        </w:rPr>
        <w:t xml:space="preserve"> </w:t>
      </w:r>
      <w:r w:rsidRPr="00D61636">
        <w:rPr>
          <w:rFonts w:ascii="Montserrat" w:hAnsi="Montserrat" w:cstheme="majorHAnsi"/>
          <w:bCs/>
          <w:sz w:val="18"/>
          <w:szCs w:val="18"/>
          <w:lang w:val="es-MX"/>
        </w:rPr>
        <w:t xml:space="preserve">Disponible en: </w:t>
      </w:r>
      <w:hyperlink r:id="rId8" w:history="1">
        <w:r w:rsidRPr="00D61636">
          <w:rPr>
            <w:rStyle w:val="Hyperlink"/>
            <w:rFonts w:ascii="Montserrat" w:hAnsi="Montserrat" w:cstheme="majorHAnsi"/>
            <w:bCs/>
            <w:sz w:val="18"/>
            <w:szCs w:val="18"/>
            <w:lang w:val="es-MX"/>
          </w:rPr>
          <w:t>https://sindis.conapred.org.mx/wp-content/uploads/2018/09/Odium-Dicta-Ax.pdf</w:t>
        </w:r>
      </w:hyperlink>
    </w:p>
  </w:footnote>
  <w:footnote w:id="10">
    <w:p w14:paraId="5EBEE8F2" w14:textId="77777777" w:rsidR="00D61636" w:rsidRPr="00D61636" w:rsidRDefault="00D61636" w:rsidP="00D61636">
      <w:pPr>
        <w:pStyle w:val="FootnoteText"/>
        <w:jc w:val="both"/>
        <w:rPr>
          <w:rFonts w:ascii="Montserrat" w:hAnsi="Montserrat"/>
          <w:sz w:val="18"/>
          <w:szCs w:val="18"/>
          <w:lang w:val="es-ES"/>
        </w:rPr>
      </w:pPr>
      <w:r w:rsidRPr="00D61636">
        <w:rPr>
          <w:rStyle w:val="FootnoteReference"/>
          <w:rFonts w:ascii="Montserrat" w:hAnsi="Montserrat"/>
          <w:sz w:val="18"/>
          <w:szCs w:val="18"/>
        </w:rPr>
        <w:footnoteRef/>
      </w:r>
      <w:r w:rsidRPr="00D61636">
        <w:rPr>
          <w:rFonts w:ascii="Montserrat" w:hAnsi="Montserrat"/>
          <w:sz w:val="18"/>
          <w:szCs w:val="18"/>
        </w:rPr>
        <w:t xml:space="preserve"> Proyecto derivado del trabajo coordinado entre el Instituto Nacional de Estadística y Geografía (INEGI), el Consejo Nacional de Ciencia y Tecnología (CONACYT), la Comisión Nacional de Derechos Humanos (CNDH), la Universidad Nacional Autónoma de México (UNAM) y el CONAPRED</w:t>
      </w:r>
    </w:p>
  </w:footnote>
  <w:footnote w:id="11">
    <w:p w14:paraId="5CFB82AD" w14:textId="77777777" w:rsidR="00D61636" w:rsidRPr="00D61636" w:rsidRDefault="00D61636" w:rsidP="00D61636">
      <w:pPr>
        <w:pStyle w:val="FootnoteText"/>
        <w:jc w:val="both"/>
        <w:rPr>
          <w:rFonts w:ascii="Montserrat" w:hAnsi="Montserrat" w:cstheme="majorHAnsi"/>
          <w:sz w:val="18"/>
          <w:szCs w:val="18"/>
          <w:lang w:val="es-ES"/>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rPr>
        <w:t xml:space="preserve"> </w:t>
      </w:r>
      <w:r w:rsidRPr="00D61636">
        <w:rPr>
          <w:rFonts w:ascii="Montserrat" w:hAnsi="Montserrat" w:cstheme="majorHAnsi"/>
          <w:sz w:val="18"/>
          <w:szCs w:val="18"/>
          <w:lang w:val="es-MX"/>
        </w:rPr>
        <w:t>Para más información sobre el Cuadernillo de resultados sobre adolescentes y jóvenes favor de consultar la siguiente liga:</w:t>
      </w:r>
      <w:r w:rsidRPr="00D61636">
        <w:rPr>
          <w:rFonts w:ascii="Montserrat" w:hAnsi="Montserrat"/>
          <w:sz w:val="18"/>
          <w:szCs w:val="18"/>
        </w:rPr>
        <w:t xml:space="preserve"> </w:t>
      </w:r>
      <w:hyperlink r:id="rId9" w:history="1">
        <w:r w:rsidRPr="00D61636">
          <w:rPr>
            <w:rStyle w:val="Hyperlink"/>
            <w:rFonts w:ascii="Montserrat" w:hAnsi="Montserrat" w:cstheme="majorHAnsi"/>
            <w:sz w:val="18"/>
            <w:szCs w:val="18"/>
            <w:lang w:val="es-MX"/>
          </w:rPr>
          <w:t>https://sindis.conapred.org.mx/wp-content/uploads/2021/08/ENADIS_Resultados_AyJ_web_Ax.pdf</w:t>
        </w:r>
      </w:hyperlink>
      <w:r w:rsidRPr="00D61636">
        <w:rPr>
          <w:rFonts w:ascii="Montserrat" w:hAnsi="Montserrat" w:cstheme="majorHAnsi"/>
          <w:sz w:val="18"/>
          <w:szCs w:val="18"/>
          <w:lang w:val="es-MX"/>
        </w:rPr>
        <w:t xml:space="preserve"> </w:t>
      </w:r>
    </w:p>
  </w:footnote>
  <w:footnote w:id="12">
    <w:p w14:paraId="45F3FA5D" w14:textId="77777777" w:rsidR="006D3865" w:rsidRPr="00D61636" w:rsidRDefault="006D3865" w:rsidP="00D61636">
      <w:pPr>
        <w:pStyle w:val="FootnoteText"/>
        <w:jc w:val="both"/>
        <w:rPr>
          <w:rFonts w:ascii="Montserrat" w:hAnsi="Montserrat" w:cstheme="majorHAnsi"/>
          <w:sz w:val="18"/>
          <w:szCs w:val="18"/>
        </w:rPr>
      </w:pPr>
      <w:r w:rsidRPr="00D61636">
        <w:rPr>
          <w:rStyle w:val="FootnoteReference"/>
          <w:rFonts w:ascii="Montserrat" w:hAnsi="Montserrat" w:cstheme="majorHAnsi"/>
          <w:sz w:val="18"/>
          <w:szCs w:val="18"/>
        </w:rPr>
        <w:footnoteRef/>
      </w:r>
      <w:r w:rsidRPr="00D61636">
        <w:rPr>
          <w:rFonts w:ascii="Montserrat" w:hAnsi="Montserrat" w:cstheme="majorHAnsi"/>
          <w:sz w:val="18"/>
          <w:szCs w:val="18"/>
        </w:rPr>
        <w:t xml:space="preserve"> LFPED. Artículo 43. - El Consejo conocerá de las quejas por presuntos actos, omisiones o prácticas sociales discriminatorias a que se refiere esta ley, atribuidas a particulares, personas físicas o morales, así como a personas servidoras públicas federales, y a los poderes públicos federales, e impondrá en su caso medidas administrativas y de reparación que esta Ley previene. </w:t>
      </w:r>
    </w:p>
    <w:p w14:paraId="3BD8A524" w14:textId="77777777" w:rsidR="006D3865" w:rsidRPr="00410452" w:rsidRDefault="006D3865" w:rsidP="00D61636">
      <w:pPr>
        <w:pStyle w:val="FootnoteText"/>
        <w:jc w:val="both"/>
        <w:rPr>
          <w:rFonts w:asciiTheme="majorHAnsi" w:hAnsiTheme="majorHAnsi" w:cstheme="majorHAnsi"/>
        </w:rPr>
      </w:pPr>
      <w:r w:rsidRPr="00D61636">
        <w:rPr>
          <w:rFonts w:ascii="Montserrat" w:hAnsi="Montserrat" w:cstheme="majorHAnsi"/>
          <w:sz w:val="18"/>
          <w:szCs w:val="18"/>
        </w:rPr>
        <w:t>Toda persona podrá presentar quejas por presuntos actos, omisiones, o prácticas sociales discriminatorias ante el Consejo, ya sea directamente o por medio de un representante.</w:t>
      </w:r>
      <w:r w:rsidRPr="00410452">
        <w:rPr>
          <w:rFonts w:asciiTheme="majorHAnsi" w:hAnsiTheme="majorHAnsi"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8BDD" w14:textId="240B6B17" w:rsidR="00AB3DC0" w:rsidRDefault="00640424" w:rsidP="00640424">
    <w:pPr>
      <w:tabs>
        <w:tab w:val="left" w:pos="3493"/>
      </w:tabs>
      <w:rPr>
        <w:rFonts w:ascii="Montserrat" w:hAnsi="Montserrat"/>
        <w:b/>
        <w:bCs/>
        <w:color w:val="262626" w:themeColor="text1" w:themeTint="D9"/>
        <w:sz w:val="18"/>
        <w:szCs w:val="18"/>
        <w:lang w:val="es-ES"/>
      </w:rPr>
    </w:pPr>
    <w:r w:rsidRPr="000C464F">
      <w:rPr>
        <w:rFonts w:ascii="Montserrat" w:hAnsi="Montserrat"/>
        <w:noProof/>
        <w:bdr w:val="none" w:sz="0" w:space="0" w:color="auto" w:frame="1"/>
        <w:lang w:eastAsia="es-MX"/>
      </w:rPr>
      <w:drawing>
        <wp:anchor distT="0" distB="0" distL="114300" distR="114300" simplePos="0" relativeHeight="251659264" behindDoc="0" locked="0" layoutInCell="1" allowOverlap="1" wp14:anchorId="65182832" wp14:editId="1D827A56">
          <wp:simplePos x="0" y="0"/>
          <wp:positionH relativeFrom="margin">
            <wp:posOffset>3296</wp:posOffset>
          </wp:positionH>
          <wp:positionV relativeFrom="margin">
            <wp:posOffset>-620819</wp:posOffset>
          </wp:positionV>
          <wp:extent cx="3229161" cy="486935"/>
          <wp:effectExtent l="0" t="0" r="0" b="0"/>
          <wp:wrapSquare wrapText="bothSides"/>
          <wp:docPr id="14" name="Imagen 14" descr="D:\Users\gguzma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gguzmang\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4129" r="35414" b="22944"/>
                  <a:stretch/>
                </pic:blipFill>
                <pic:spPr bwMode="auto">
                  <a:xfrm>
                    <a:off x="0" y="0"/>
                    <a:ext cx="3229161" cy="486935"/>
                  </a:xfrm>
                  <a:prstGeom prst="rect">
                    <a:avLst/>
                  </a:prstGeom>
                  <a:noFill/>
                  <a:ln>
                    <a:noFill/>
                  </a:ln>
                  <a:extLst>
                    <a:ext uri="{53640926-AAD7-44D8-BBD7-CCE9431645EC}">
                      <a14:shadowObscured xmlns:a14="http://schemas.microsoft.com/office/drawing/2010/main"/>
                    </a:ext>
                  </a:extLst>
                </pic:spPr>
              </pic:pic>
            </a:graphicData>
          </a:graphic>
        </wp:anchor>
      </w:drawing>
    </w:r>
  </w:p>
  <w:p w14:paraId="27E08B83" w14:textId="3790FF1F" w:rsidR="00AB3DC0" w:rsidRDefault="00AB3DC0" w:rsidP="00AB3DC0">
    <w:pPr>
      <w:tabs>
        <w:tab w:val="left" w:pos="6732"/>
      </w:tabs>
      <w:rPr>
        <w:rFonts w:ascii="Montserrat" w:hAnsi="Montserrat"/>
        <w:b/>
        <w:bCs/>
        <w:color w:val="262626" w:themeColor="text1" w:themeTint="D9"/>
        <w:sz w:val="18"/>
        <w:szCs w:val="18"/>
        <w:lang w:val="es-ES"/>
      </w:rPr>
    </w:pPr>
  </w:p>
  <w:p w14:paraId="40FEBB53" w14:textId="77777777" w:rsidR="00667D0C" w:rsidRPr="00667D0C" w:rsidRDefault="00667D0C" w:rsidP="00667D0C">
    <w:pPr>
      <w:jc w:val="right"/>
      <w:rPr>
        <w:rFonts w:ascii="Montserrat" w:hAnsi="Montserrat"/>
        <w:b/>
        <w:bCs/>
        <w:color w:val="262626" w:themeColor="text1" w:themeTint="D9"/>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pt;height:7pt" o:bullet="t">
        <v:imagedata r:id="rId1" o:title="msoDA37"/>
      </v:shape>
    </w:pict>
  </w:numPicBullet>
  <w:abstractNum w:abstractNumId="0" w15:restartNumberingAfterBreak="0">
    <w:nsid w:val="008A6705"/>
    <w:multiLevelType w:val="hybridMultilevel"/>
    <w:tmpl w:val="DEEE00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7B2783"/>
    <w:multiLevelType w:val="hybridMultilevel"/>
    <w:tmpl w:val="CA163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4E008C"/>
    <w:multiLevelType w:val="hybridMultilevel"/>
    <w:tmpl w:val="96722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204323"/>
    <w:multiLevelType w:val="hybridMultilevel"/>
    <w:tmpl w:val="B1BE50EA"/>
    <w:lvl w:ilvl="0" w:tplc="A386DB46">
      <w:start w:val="1"/>
      <w:numFmt w:val="lowerLetter"/>
      <w:lvlText w:val="%1."/>
      <w:lvlJc w:val="left"/>
      <w:pPr>
        <w:ind w:left="720" w:hanging="360"/>
      </w:pPr>
      <w:rPr>
        <w:b/>
        <w:bCs w:val="0"/>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560B84"/>
    <w:multiLevelType w:val="hybridMultilevel"/>
    <w:tmpl w:val="D6B6B788"/>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23D43E7"/>
    <w:multiLevelType w:val="hybridMultilevel"/>
    <w:tmpl w:val="94E0CB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CB4159"/>
    <w:multiLevelType w:val="hybridMultilevel"/>
    <w:tmpl w:val="54D8531C"/>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60708E"/>
    <w:multiLevelType w:val="hybridMultilevel"/>
    <w:tmpl w:val="92E291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736694"/>
    <w:multiLevelType w:val="hybridMultilevel"/>
    <w:tmpl w:val="CDACFE10"/>
    <w:lvl w:ilvl="0" w:tplc="0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3561BA"/>
    <w:multiLevelType w:val="hybridMultilevel"/>
    <w:tmpl w:val="B4747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172B0D"/>
    <w:multiLevelType w:val="hybridMultilevel"/>
    <w:tmpl w:val="8D64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BD07ED"/>
    <w:multiLevelType w:val="hybridMultilevel"/>
    <w:tmpl w:val="081ECF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330E73"/>
    <w:multiLevelType w:val="hybridMultilevel"/>
    <w:tmpl w:val="8DEAC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662F71"/>
    <w:multiLevelType w:val="hybridMultilevel"/>
    <w:tmpl w:val="091E04D8"/>
    <w:lvl w:ilvl="0" w:tplc="080A0001">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2408B"/>
    <w:multiLevelType w:val="hybridMultilevel"/>
    <w:tmpl w:val="A25C255E"/>
    <w:lvl w:ilvl="0" w:tplc="0409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3196A09"/>
    <w:multiLevelType w:val="hybridMultilevel"/>
    <w:tmpl w:val="72603E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3A287F"/>
    <w:multiLevelType w:val="hybridMultilevel"/>
    <w:tmpl w:val="AEEC3B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8624EE"/>
    <w:multiLevelType w:val="hybridMultilevel"/>
    <w:tmpl w:val="5DF4D0C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15:restartNumberingAfterBreak="0">
    <w:nsid w:val="4F9F46AB"/>
    <w:multiLevelType w:val="hybridMultilevel"/>
    <w:tmpl w:val="926CD1E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744814"/>
    <w:multiLevelType w:val="hybridMultilevel"/>
    <w:tmpl w:val="16C85C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751D74"/>
    <w:multiLevelType w:val="hybridMultilevel"/>
    <w:tmpl w:val="40D8F37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1" w15:restartNumberingAfterBreak="0">
    <w:nsid w:val="52CF0C32"/>
    <w:multiLevelType w:val="hybridMultilevel"/>
    <w:tmpl w:val="81587F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BD3F4D"/>
    <w:multiLevelType w:val="multilevel"/>
    <w:tmpl w:val="4958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B733F"/>
    <w:multiLevelType w:val="hybridMultilevel"/>
    <w:tmpl w:val="20ACC70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823803"/>
    <w:multiLevelType w:val="hybridMultilevel"/>
    <w:tmpl w:val="137828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DE01FD"/>
    <w:multiLevelType w:val="hybridMultilevel"/>
    <w:tmpl w:val="C706D5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325AF5"/>
    <w:multiLevelType w:val="hybridMultilevel"/>
    <w:tmpl w:val="4F921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673D1A"/>
    <w:multiLevelType w:val="hybridMultilevel"/>
    <w:tmpl w:val="A2B0E73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FE2E85"/>
    <w:multiLevelType w:val="hybridMultilevel"/>
    <w:tmpl w:val="48066196"/>
    <w:lvl w:ilvl="0" w:tplc="080A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F9D7192"/>
    <w:multiLevelType w:val="hybridMultilevel"/>
    <w:tmpl w:val="A13878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12"/>
  </w:num>
  <w:num w:numId="5">
    <w:abstractNumId w:val="22"/>
  </w:num>
  <w:num w:numId="6">
    <w:abstractNumId w:val="18"/>
  </w:num>
  <w:num w:numId="7">
    <w:abstractNumId w:val="7"/>
  </w:num>
  <w:num w:numId="8">
    <w:abstractNumId w:val="16"/>
  </w:num>
  <w:num w:numId="9">
    <w:abstractNumId w:val="25"/>
  </w:num>
  <w:num w:numId="10">
    <w:abstractNumId w:val="26"/>
  </w:num>
  <w:num w:numId="11">
    <w:abstractNumId w:val="28"/>
  </w:num>
  <w:num w:numId="12">
    <w:abstractNumId w:val="21"/>
  </w:num>
  <w:num w:numId="13">
    <w:abstractNumId w:val="10"/>
  </w:num>
  <w:num w:numId="14">
    <w:abstractNumId w:val="4"/>
  </w:num>
  <w:num w:numId="15">
    <w:abstractNumId w:val="9"/>
  </w:num>
  <w:num w:numId="16">
    <w:abstractNumId w:val="27"/>
  </w:num>
  <w:num w:numId="17">
    <w:abstractNumId w:val="1"/>
  </w:num>
  <w:num w:numId="18">
    <w:abstractNumId w:val="19"/>
  </w:num>
  <w:num w:numId="19">
    <w:abstractNumId w:val="29"/>
  </w:num>
  <w:num w:numId="20">
    <w:abstractNumId w:val="23"/>
  </w:num>
  <w:num w:numId="21">
    <w:abstractNumId w:val="11"/>
  </w:num>
  <w:num w:numId="22">
    <w:abstractNumId w:val="6"/>
  </w:num>
  <w:num w:numId="23">
    <w:abstractNumId w:val="13"/>
  </w:num>
  <w:num w:numId="24">
    <w:abstractNumId w:val="3"/>
  </w:num>
  <w:num w:numId="25">
    <w:abstractNumId w:val="24"/>
  </w:num>
  <w:num w:numId="26">
    <w:abstractNumId w:val="5"/>
  </w:num>
  <w:num w:numId="27">
    <w:abstractNumId w:val="15"/>
  </w:num>
  <w:num w:numId="28">
    <w:abstractNumId w:val="8"/>
  </w:num>
  <w:num w:numId="29">
    <w:abstractNumId w:val="20"/>
  </w:num>
  <w:num w:numId="3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EB"/>
    <w:rsid w:val="00012185"/>
    <w:rsid w:val="000124A3"/>
    <w:rsid w:val="000228D5"/>
    <w:rsid w:val="00031F54"/>
    <w:rsid w:val="00037AE2"/>
    <w:rsid w:val="00044DE6"/>
    <w:rsid w:val="00046C69"/>
    <w:rsid w:val="0005151B"/>
    <w:rsid w:val="00054355"/>
    <w:rsid w:val="00054402"/>
    <w:rsid w:val="00054463"/>
    <w:rsid w:val="00056A57"/>
    <w:rsid w:val="00066282"/>
    <w:rsid w:val="00086223"/>
    <w:rsid w:val="000915D4"/>
    <w:rsid w:val="000A240E"/>
    <w:rsid w:val="000B018F"/>
    <w:rsid w:val="000B5905"/>
    <w:rsid w:val="000B6F1A"/>
    <w:rsid w:val="000C07BE"/>
    <w:rsid w:val="000C16FB"/>
    <w:rsid w:val="000C4609"/>
    <w:rsid w:val="000D1382"/>
    <w:rsid w:val="00100EA1"/>
    <w:rsid w:val="001103FE"/>
    <w:rsid w:val="00121FB0"/>
    <w:rsid w:val="00131E96"/>
    <w:rsid w:val="00133650"/>
    <w:rsid w:val="00134D7C"/>
    <w:rsid w:val="0014610B"/>
    <w:rsid w:val="001469E9"/>
    <w:rsid w:val="001479D7"/>
    <w:rsid w:val="00166137"/>
    <w:rsid w:val="001671FD"/>
    <w:rsid w:val="00182BDB"/>
    <w:rsid w:val="001A4BEB"/>
    <w:rsid w:val="001A54BC"/>
    <w:rsid w:val="001B1AA6"/>
    <w:rsid w:val="001B1F61"/>
    <w:rsid w:val="001B49A1"/>
    <w:rsid w:val="001C353B"/>
    <w:rsid w:val="001D0714"/>
    <w:rsid w:val="001D2295"/>
    <w:rsid w:val="001D46A3"/>
    <w:rsid w:val="001E1DBC"/>
    <w:rsid w:val="001E45AE"/>
    <w:rsid w:val="001E474F"/>
    <w:rsid w:val="001F6D6A"/>
    <w:rsid w:val="0020419B"/>
    <w:rsid w:val="0020746D"/>
    <w:rsid w:val="002238BB"/>
    <w:rsid w:val="00231E85"/>
    <w:rsid w:val="0023289F"/>
    <w:rsid w:val="00241485"/>
    <w:rsid w:val="00241DAC"/>
    <w:rsid w:val="00243202"/>
    <w:rsid w:val="002461FC"/>
    <w:rsid w:val="00253B47"/>
    <w:rsid w:val="00271F57"/>
    <w:rsid w:val="002742FD"/>
    <w:rsid w:val="00274FD7"/>
    <w:rsid w:val="00277009"/>
    <w:rsid w:val="00293ACA"/>
    <w:rsid w:val="002A0C54"/>
    <w:rsid w:val="002A57AC"/>
    <w:rsid w:val="002A5D71"/>
    <w:rsid w:val="002B2DCE"/>
    <w:rsid w:val="002B4B7D"/>
    <w:rsid w:val="002C06D7"/>
    <w:rsid w:val="002C0BAA"/>
    <w:rsid w:val="002C6741"/>
    <w:rsid w:val="002C7122"/>
    <w:rsid w:val="002E6317"/>
    <w:rsid w:val="002E6C1A"/>
    <w:rsid w:val="00303EDD"/>
    <w:rsid w:val="003116A9"/>
    <w:rsid w:val="00314AD9"/>
    <w:rsid w:val="00320B22"/>
    <w:rsid w:val="003215DD"/>
    <w:rsid w:val="0033067E"/>
    <w:rsid w:val="003345D4"/>
    <w:rsid w:val="00342C11"/>
    <w:rsid w:val="00344AA6"/>
    <w:rsid w:val="003454AE"/>
    <w:rsid w:val="00345931"/>
    <w:rsid w:val="0035634D"/>
    <w:rsid w:val="00360B82"/>
    <w:rsid w:val="00363055"/>
    <w:rsid w:val="00370DC4"/>
    <w:rsid w:val="00375331"/>
    <w:rsid w:val="003769DC"/>
    <w:rsid w:val="00380616"/>
    <w:rsid w:val="003A09B3"/>
    <w:rsid w:val="003A6382"/>
    <w:rsid w:val="003A7C8D"/>
    <w:rsid w:val="003B07DA"/>
    <w:rsid w:val="003D286B"/>
    <w:rsid w:val="003E0439"/>
    <w:rsid w:val="003E091E"/>
    <w:rsid w:val="00406A61"/>
    <w:rsid w:val="004207E4"/>
    <w:rsid w:val="00424952"/>
    <w:rsid w:val="0044363E"/>
    <w:rsid w:val="00445F78"/>
    <w:rsid w:val="00463B1E"/>
    <w:rsid w:val="00465115"/>
    <w:rsid w:val="004655CF"/>
    <w:rsid w:val="004678D4"/>
    <w:rsid w:val="0048017B"/>
    <w:rsid w:val="004839D1"/>
    <w:rsid w:val="00486210"/>
    <w:rsid w:val="00487561"/>
    <w:rsid w:val="004877E9"/>
    <w:rsid w:val="00497E22"/>
    <w:rsid w:val="004B24A9"/>
    <w:rsid w:val="004B47D3"/>
    <w:rsid w:val="004B4A94"/>
    <w:rsid w:val="004C37AF"/>
    <w:rsid w:val="004D3187"/>
    <w:rsid w:val="004D671E"/>
    <w:rsid w:val="004E05D1"/>
    <w:rsid w:val="004E6CA2"/>
    <w:rsid w:val="004F1988"/>
    <w:rsid w:val="004F2B5E"/>
    <w:rsid w:val="00527B08"/>
    <w:rsid w:val="00531300"/>
    <w:rsid w:val="00532720"/>
    <w:rsid w:val="0054283A"/>
    <w:rsid w:val="00543DB3"/>
    <w:rsid w:val="00547544"/>
    <w:rsid w:val="00553C35"/>
    <w:rsid w:val="00560AEC"/>
    <w:rsid w:val="00563835"/>
    <w:rsid w:val="0057278A"/>
    <w:rsid w:val="00573502"/>
    <w:rsid w:val="00574328"/>
    <w:rsid w:val="00586D0C"/>
    <w:rsid w:val="0059770E"/>
    <w:rsid w:val="005A2577"/>
    <w:rsid w:val="005C2A08"/>
    <w:rsid w:val="005C50C9"/>
    <w:rsid w:val="005C57FA"/>
    <w:rsid w:val="005C646D"/>
    <w:rsid w:val="005D05DA"/>
    <w:rsid w:val="005E0269"/>
    <w:rsid w:val="005E646E"/>
    <w:rsid w:val="005E680D"/>
    <w:rsid w:val="005E7272"/>
    <w:rsid w:val="005F25FF"/>
    <w:rsid w:val="005F6619"/>
    <w:rsid w:val="0060147A"/>
    <w:rsid w:val="00606305"/>
    <w:rsid w:val="00606496"/>
    <w:rsid w:val="00606818"/>
    <w:rsid w:val="006079E7"/>
    <w:rsid w:val="00616E78"/>
    <w:rsid w:val="00640424"/>
    <w:rsid w:val="006422B6"/>
    <w:rsid w:val="006479FB"/>
    <w:rsid w:val="006508B7"/>
    <w:rsid w:val="00652208"/>
    <w:rsid w:val="00661873"/>
    <w:rsid w:val="00662875"/>
    <w:rsid w:val="00667D0C"/>
    <w:rsid w:val="00672D5D"/>
    <w:rsid w:val="00674504"/>
    <w:rsid w:val="00676844"/>
    <w:rsid w:val="00677327"/>
    <w:rsid w:val="00681C9E"/>
    <w:rsid w:val="00693D26"/>
    <w:rsid w:val="006B526B"/>
    <w:rsid w:val="006C1D53"/>
    <w:rsid w:val="006C23B4"/>
    <w:rsid w:val="006D3865"/>
    <w:rsid w:val="006E4914"/>
    <w:rsid w:val="006F5957"/>
    <w:rsid w:val="006F637E"/>
    <w:rsid w:val="00702673"/>
    <w:rsid w:val="00710AB1"/>
    <w:rsid w:val="00710E83"/>
    <w:rsid w:val="00716E82"/>
    <w:rsid w:val="007306AA"/>
    <w:rsid w:val="00741F8A"/>
    <w:rsid w:val="0075035E"/>
    <w:rsid w:val="00752971"/>
    <w:rsid w:val="00753F97"/>
    <w:rsid w:val="00756B20"/>
    <w:rsid w:val="007662DF"/>
    <w:rsid w:val="007720FC"/>
    <w:rsid w:val="00776042"/>
    <w:rsid w:val="00782284"/>
    <w:rsid w:val="00792FA9"/>
    <w:rsid w:val="0079606E"/>
    <w:rsid w:val="007974FB"/>
    <w:rsid w:val="007A0308"/>
    <w:rsid w:val="007A2C2B"/>
    <w:rsid w:val="007A74C3"/>
    <w:rsid w:val="007C3C45"/>
    <w:rsid w:val="007C52E2"/>
    <w:rsid w:val="007D723A"/>
    <w:rsid w:val="007E1491"/>
    <w:rsid w:val="007F092A"/>
    <w:rsid w:val="007F6DF1"/>
    <w:rsid w:val="007F6E82"/>
    <w:rsid w:val="008055C3"/>
    <w:rsid w:val="008121F8"/>
    <w:rsid w:val="008200D4"/>
    <w:rsid w:val="008231EA"/>
    <w:rsid w:val="00824963"/>
    <w:rsid w:val="008252E7"/>
    <w:rsid w:val="00855FC2"/>
    <w:rsid w:val="00860D0A"/>
    <w:rsid w:val="008752F4"/>
    <w:rsid w:val="008800AF"/>
    <w:rsid w:val="00883423"/>
    <w:rsid w:val="008912C9"/>
    <w:rsid w:val="008941D9"/>
    <w:rsid w:val="008A26F5"/>
    <w:rsid w:val="008B0CAC"/>
    <w:rsid w:val="008B30CC"/>
    <w:rsid w:val="008C08EC"/>
    <w:rsid w:val="008C33DE"/>
    <w:rsid w:val="008C60C3"/>
    <w:rsid w:val="008D071D"/>
    <w:rsid w:val="008D642C"/>
    <w:rsid w:val="008E35B9"/>
    <w:rsid w:val="008F5BA1"/>
    <w:rsid w:val="00901300"/>
    <w:rsid w:val="009058F4"/>
    <w:rsid w:val="009059AB"/>
    <w:rsid w:val="00914B7F"/>
    <w:rsid w:val="009166F9"/>
    <w:rsid w:val="00921748"/>
    <w:rsid w:val="00923FF3"/>
    <w:rsid w:val="009271A7"/>
    <w:rsid w:val="00944643"/>
    <w:rsid w:val="009533AC"/>
    <w:rsid w:val="00954DDB"/>
    <w:rsid w:val="009614E1"/>
    <w:rsid w:val="00961657"/>
    <w:rsid w:val="009628D7"/>
    <w:rsid w:val="0096767B"/>
    <w:rsid w:val="00974159"/>
    <w:rsid w:val="0097508B"/>
    <w:rsid w:val="00975C05"/>
    <w:rsid w:val="009772C4"/>
    <w:rsid w:val="00980436"/>
    <w:rsid w:val="009B0607"/>
    <w:rsid w:val="009B29B7"/>
    <w:rsid w:val="009C0485"/>
    <w:rsid w:val="009C58CD"/>
    <w:rsid w:val="009D6983"/>
    <w:rsid w:val="009E1631"/>
    <w:rsid w:val="009F05D5"/>
    <w:rsid w:val="009F08B6"/>
    <w:rsid w:val="009F0922"/>
    <w:rsid w:val="009F24C3"/>
    <w:rsid w:val="009F51CF"/>
    <w:rsid w:val="009F543C"/>
    <w:rsid w:val="009F7082"/>
    <w:rsid w:val="00A228FD"/>
    <w:rsid w:val="00A22FD4"/>
    <w:rsid w:val="00A25AF8"/>
    <w:rsid w:val="00A31B47"/>
    <w:rsid w:val="00A361A0"/>
    <w:rsid w:val="00A437A5"/>
    <w:rsid w:val="00A50F21"/>
    <w:rsid w:val="00A71991"/>
    <w:rsid w:val="00A95F84"/>
    <w:rsid w:val="00AA03E7"/>
    <w:rsid w:val="00AA1C22"/>
    <w:rsid w:val="00AA20BD"/>
    <w:rsid w:val="00AA503A"/>
    <w:rsid w:val="00AA51EB"/>
    <w:rsid w:val="00AA7826"/>
    <w:rsid w:val="00AB3DC0"/>
    <w:rsid w:val="00AB6A0C"/>
    <w:rsid w:val="00AC06DF"/>
    <w:rsid w:val="00AC1608"/>
    <w:rsid w:val="00AC184D"/>
    <w:rsid w:val="00AC60FB"/>
    <w:rsid w:val="00AC6DFA"/>
    <w:rsid w:val="00AD2E37"/>
    <w:rsid w:val="00AE02A9"/>
    <w:rsid w:val="00AE4ADB"/>
    <w:rsid w:val="00AE546B"/>
    <w:rsid w:val="00AE729D"/>
    <w:rsid w:val="00AF229A"/>
    <w:rsid w:val="00AF2E8E"/>
    <w:rsid w:val="00B05E54"/>
    <w:rsid w:val="00B07ECB"/>
    <w:rsid w:val="00B17935"/>
    <w:rsid w:val="00B30031"/>
    <w:rsid w:val="00B320A5"/>
    <w:rsid w:val="00B3230E"/>
    <w:rsid w:val="00B346E0"/>
    <w:rsid w:val="00B34C29"/>
    <w:rsid w:val="00B448AC"/>
    <w:rsid w:val="00B538AE"/>
    <w:rsid w:val="00B676BE"/>
    <w:rsid w:val="00B74E91"/>
    <w:rsid w:val="00B82389"/>
    <w:rsid w:val="00B92FFB"/>
    <w:rsid w:val="00B9381F"/>
    <w:rsid w:val="00B95182"/>
    <w:rsid w:val="00BA66FD"/>
    <w:rsid w:val="00BC7CCD"/>
    <w:rsid w:val="00C05D9C"/>
    <w:rsid w:val="00C0725A"/>
    <w:rsid w:val="00C13CC2"/>
    <w:rsid w:val="00C2190D"/>
    <w:rsid w:val="00C23067"/>
    <w:rsid w:val="00C252D4"/>
    <w:rsid w:val="00C32D45"/>
    <w:rsid w:val="00C34DD7"/>
    <w:rsid w:val="00C350B3"/>
    <w:rsid w:val="00C37F6D"/>
    <w:rsid w:val="00C42E5F"/>
    <w:rsid w:val="00C52D1D"/>
    <w:rsid w:val="00C54D20"/>
    <w:rsid w:val="00C57B2B"/>
    <w:rsid w:val="00C6292A"/>
    <w:rsid w:val="00CA1B04"/>
    <w:rsid w:val="00CA2C5A"/>
    <w:rsid w:val="00CA4002"/>
    <w:rsid w:val="00CA42E5"/>
    <w:rsid w:val="00CA56FB"/>
    <w:rsid w:val="00CB3CD1"/>
    <w:rsid w:val="00CB48BD"/>
    <w:rsid w:val="00CD689D"/>
    <w:rsid w:val="00CD6BCF"/>
    <w:rsid w:val="00CF14B3"/>
    <w:rsid w:val="00CF264F"/>
    <w:rsid w:val="00CF64C5"/>
    <w:rsid w:val="00CF7AE5"/>
    <w:rsid w:val="00D105C2"/>
    <w:rsid w:val="00D10DF5"/>
    <w:rsid w:val="00D15F88"/>
    <w:rsid w:val="00D2349F"/>
    <w:rsid w:val="00D60476"/>
    <w:rsid w:val="00D61636"/>
    <w:rsid w:val="00D66D38"/>
    <w:rsid w:val="00D711BA"/>
    <w:rsid w:val="00D73BDC"/>
    <w:rsid w:val="00D75537"/>
    <w:rsid w:val="00D8055A"/>
    <w:rsid w:val="00D9702B"/>
    <w:rsid w:val="00DC12B5"/>
    <w:rsid w:val="00DC61B0"/>
    <w:rsid w:val="00DD10E2"/>
    <w:rsid w:val="00DD4444"/>
    <w:rsid w:val="00DD61BA"/>
    <w:rsid w:val="00DE1097"/>
    <w:rsid w:val="00DF10B7"/>
    <w:rsid w:val="00DF470D"/>
    <w:rsid w:val="00DF64BC"/>
    <w:rsid w:val="00E00687"/>
    <w:rsid w:val="00E01A15"/>
    <w:rsid w:val="00E06F31"/>
    <w:rsid w:val="00E11702"/>
    <w:rsid w:val="00E11BA8"/>
    <w:rsid w:val="00E171BC"/>
    <w:rsid w:val="00E229C2"/>
    <w:rsid w:val="00E251B7"/>
    <w:rsid w:val="00E26013"/>
    <w:rsid w:val="00E40884"/>
    <w:rsid w:val="00E44831"/>
    <w:rsid w:val="00E4576A"/>
    <w:rsid w:val="00E45D65"/>
    <w:rsid w:val="00E472F5"/>
    <w:rsid w:val="00E5133F"/>
    <w:rsid w:val="00E5343F"/>
    <w:rsid w:val="00E54BB8"/>
    <w:rsid w:val="00E5791E"/>
    <w:rsid w:val="00E6355A"/>
    <w:rsid w:val="00E63833"/>
    <w:rsid w:val="00E6650F"/>
    <w:rsid w:val="00E71F53"/>
    <w:rsid w:val="00E74609"/>
    <w:rsid w:val="00E74D23"/>
    <w:rsid w:val="00E76F07"/>
    <w:rsid w:val="00E770BE"/>
    <w:rsid w:val="00E777CC"/>
    <w:rsid w:val="00E84910"/>
    <w:rsid w:val="00EA0391"/>
    <w:rsid w:val="00EA1BA2"/>
    <w:rsid w:val="00EA3FDF"/>
    <w:rsid w:val="00EA5145"/>
    <w:rsid w:val="00EB3742"/>
    <w:rsid w:val="00EB5A01"/>
    <w:rsid w:val="00EB72D0"/>
    <w:rsid w:val="00EC686E"/>
    <w:rsid w:val="00EC7541"/>
    <w:rsid w:val="00EE75DB"/>
    <w:rsid w:val="00EF4819"/>
    <w:rsid w:val="00F00774"/>
    <w:rsid w:val="00F038D8"/>
    <w:rsid w:val="00F26A11"/>
    <w:rsid w:val="00F44358"/>
    <w:rsid w:val="00F513EB"/>
    <w:rsid w:val="00F62EBD"/>
    <w:rsid w:val="00F6395F"/>
    <w:rsid w:val="00F70820"/>
    <w:rsid w:val="00F81289"/>
    <w:rsid w:val="00F950E0"/>
    <w:rsid w:val="00FA6B77"/>
    <w:rsid w:val="00FB3A9F"/>
    <w:rsid w:val="00FD5A12"/>
    <w:rsid w:val="00FD697C"/>
    <w:rsid w:val="00FE2F50"/>
    <w:rsid w:val="00FE4012"/>
    <w:rsid w:val="00FE45FD"/>
    <w:rsid w:val="00FE5CEF"/>
    <w:rsid w:val="00FF0129"/>
    <w:rsid w:val="00FF27D5"/>
    <w:rsid w:val="00FF43A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06D7884"/>
  <w15:chartTrackingRefBased/>
  <w15:docId w15:val="{B84C95A0-1A77-CF49-893C-F6BC43F5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3EB"/>
    <w:pPr>
      <w:tabs>
        <w:tab w:val="center" w:pos="4419"/>
        <w:tab w:val="right" w:pos="8838"/>
      </w:tabs>
    </w:pPr>
  </w:style>
  <w:style w:type="character" w:customStyle="1" w:styleId="HeaderChar">
    <w:name w:val="Header Char"/>
    <w:basedOn w:val="DefaultParagraphFont"/>
    <w:link w:val="Header"/>
    <w:uiPriority w:val="99"/>
    <w:rsid w:val="00F513EB"/>
  </w:style>
  <w:style w:type="paragraph" w:styleId="Footer">
    <w:name w:val="footer"/>
    <w:basedOn w:val="Normal"/>
    <w:link w:val="FooterChar"/>
    <w:uiPriority w:val="99"/>
    <w:unhideWhenUsed/>
    <w:rsid w:val="00F513EB"/>
    <w:pPr>
      <w:tabs>
        <w:tab w:val="center" w:pos="4419"/>
        <w:tab w:val="right" w:pos="8838"/>
      </w:tabs>
    </w:pPr>
  </w:style>
  <w:style w:type="character" w:customStyle="1" w:styleId="FooterChar">
    <w:name w:val="Footer Char"/>
    <w:basedOn w:val="DefaultParagraphFont"/>
    <w:link w:val="Footer"/>
    <w:uiPriority w:val="99"/>
    <w:rsid w:val="00F513EB"/>
  </w:style>
  <w:style w:type="paragraph" w:styleId="ListParagraph">
    <w:name w:val="List Paragraph"/>
    <w:aliases w:val="lp1,List Paragraph1,Lista vistosa - Énfasis 11,Listas,viñetas,Dot pt,No Spacing1,List Paragraph Char Char Char,Indicator Text,Numbered Para 1,Colorful List - Accent 11,Bullet 1,F5 List Paragraph,Bullet Points,4 Párrafo de lista,Figuras"/>
    <w:basedOn w:val="Normal"/>
    <w:link w:val="ListParagraphChar"/>
    <w:uiPriority w:val="34"/>
    <w:qFormat/>
    <w:rsid w:val="00A71991"/>
    <w:pPr>
      <w:ind w:left="720"/>
      <w:contextualSpacing/>
    </w:pPr>
  </w:style>
  <w:style w:type="character" w:styleId="Hyperlink">
    <w:name w:val="Hyperlink"/>
    <w:basedOn w:val="DefaultParagraphFont"/>
    <w:uiPriority w:val="99"/>
    <w:unhideWhenUsed/>
    <w:rsid w:val="00A71991"/>
    <w:rPr>
      <w:color w:val="0563C1" w:themeColor="hyperlink"/>
      <w:u w:val="single"/>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A71991"/>
    <w:rPr>
      <w:rFonts w:eastAsiaTheme="minorEastAsia"/>
      <w:sz w:val="20"/>
      <w:szCs w:val="20"/>
      <w:lang w:val="es-ES_tradnl" w:eastAsia="es-ES"/>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qFormat/>
    <w:rsid w:val="00A71991"/>
    <w:rPr>
      <w:rFonts w:eastAsiaTheme="minorEastAsia"/>
      <w:sz w:val="20"/>
      <w:szCs w:val="20"/>
      <w:lang w:val="es-ES_tradnl" w:eastAsia="es-ES"/>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link w:val="BVIfnrCar1CarCarCarCar"/>
    <w:uiPriority w:val="99"/>
    <w:unhideWhenUsed/>
    <w:qFormat/>
    <w:rsid w:val="00A71991"/>
    <w:rPr>
      <w:vertAlign w:val="superscript"/>
    </w:rPr>
  </w:style>
  <w:style w:type="table" w:styleId="TableGrid">
    <w:name w:val="Table Grid"/>
    <w:basedOn w:val="TableNormal"/>
    <w:uiPriority w:val="39"/>
    <w:rsid w:val="00A71991"/>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844"/>
    <w:rPr>
      <w:color w:val="605E5C"/>
      <w:shd w:val="clear" w:color="auto" w:fill="E1DFDD"/>
    </w:rPr>
  </w:style>
  <w:style w:type="table" w:styleId="GridTable4-Accent2">
    <w:name w:val="Grid Table 4 Accent 2"/>
    <w:basedOn w:val="TableNormal"/>
    <w:uiPriority w:val="49"/>
    <w:rsid w:val="00C23067"/>
    <w:rPr>
      <w:rFonts w:eastAsiaTheme="minorEastAsia"/>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012185"/>
    <w:pPr>
      <w:spacing w:before="200" w:after="160" w:line="240" w:lineRule="exact"/>
    </w:pPr>
    <w:rPr>
      <w:vertAlign w:val="superscript"/>
    </w:rPr>
  </w:style>
  <w:style w:type="character" w:customStyle="1" w:styleId="ListParagraphChar">
    <w:name w:val="List Paragraph Char"/>
    <w:aliases w:val="lp1 Char,List Paragraph1 Char,Lista vistosa - Énfasis 11 Char,Listas Char,viñetas Char,Dot pt Char,No Spacing1 Char,List Paragraph Char Char Char Char,Indicator Text Char,Numbered Para 1 Char,Colorful List - Accent 11 Char"/>
    <w:link w:val="ListParagraph"/>
    <w:uiPriority w:val="34"/>
    <w:qFormat/>
    <w:locked/>
    <w:rsid w:val="00C52D1D"/>
  </w:style>
  <w:style w:type="paragraph" w:styleId="Revision">
    <w:name w:val="Revision"/>
    <w:hidden/>
    <w:uiPriority w:val="99"/>
    <w:semiHidden/>
    <w:rsid w:val="00EB5A01"/>
  </w:style>
  <w:style w:type="paragraph" w:styleId="Quote">
    <w:name w:val="Quote"/>
    <w:basedOn w:val="Normal"/>
    <w:next w:val="Normal"/>
    <w:link w:val="QuoteChar"/>
    <w:uiPriority w:val="29"/>
    <w:qFormat/>
    <w:rsid w:val="00792FA9"/>
    <w:pPr>
      <w:spacing w:before="200" w:after="160"/>
      <w:ind w:left="864" w:right="864"/>
      <w:jc w:val="center"/>
    </w:pPr>
    <w:rPr>
      <w:i/>
      <w:iCs/>
      <w:color w:val="404040" w:themeColor="text1" w:themeTint="BF"/>
      <w:lang w:val="es-ES_tradnl"/>
    </w:rPr>
  </w:style>
  <w:style w:type="character" w:customStyle="1" w:styleId="QuoteChar">
    <w:name w:val="Quote Char"/>
    <w:basedOn w:val="DefaultParagraphFont"/>
    <w:link w:val="Quote"/>
    <w:uiPriority w:val="29"/>
    <w:rsid w:val="00792FA9"/>
    <w:rPr>
      <w:i/>
      <w:iCs/>
      <w:color w:val="404040" w:themeColor="text1" w:themeTint="BF"/>
      <w:lang w:val="es-ES_tradnl"/>
    </w:rPr>
  </w:style>
  <w:style w:type="character" w:styleId="CommentReference">
    <w:name w:val="annotation reference"/>
    <w:basedOn w:val="DefaultParagraphFont"/>
    <w:uiPriority w:val="99"/>
    <w:semiHidden/>
    <w:unhideWhenUsed/>
    <w:rsid w:val="00056A57"/>
    <w:rPr>
      <w:sz w:val="16"/>
      <w:szCs w:val="16"/>
    </w:rPr>
  </w:style>
  <w:style w:type="paragraph" w:styleId="CommentText">
    <w:name w:val="annotation text"/>
    <w:basedOn w:val="Normal"/>
    <w:link w:val="CommentTextChar"/>
    <w:uiPriority w:val="99"/>
    <w:semiHidden/>
    <w:unhideWhenUsed/>
    <w:rsid w:val="00056A57"/>
    <w:rPr>
      <w:sz w:val="20"/>
      <w:szCs w:val="20"/>
    </w:rPr>
  </w:style>
  <w:style w:type="character" w:customStyle="1" w:styleId="CommentTextChar">
    <w:name w:val="Comment Text Char"/>
    <w:basedOn w:val="DefaultParagraphFont"/>
    <w:link w:val="CommentText"/>
    <w:uiPriority w:val="99"/>
    <w:semiHidden/>
    <w:rsid w:val="00056A57"/>
    <w:rPr>
      <w:sz w:val="20"/>
      <w:szCs w:val="20"/>
    </w:rPr>
  </w:style>
  <w:style w:type="paragraph" w:styleId="CommentSubject">
    <w:name w:val="annotation subject"/>
    <w:basedOn w:val="CommentText"/>
    <w:next w:val="CommentText"/>
    <w:link w:val="CommentSubjectChar"/>
    <w:uiPriority w:val="99"/>
    <w:semiHidden/>
    <w:unhideWhenUsed/>
    <w:rsid w:val="00056A57"/>
    <w:rPr>
      <w:b/>
      <w:bCs/>
    </w:rPr>
  </w:style>
  <w:style w:type="character" w:customStyle="1" w:styleId="CommentSubjectChar">
    <w:name w:val="Comment Subject Char"/>
    <w:basedOn w:val="CommentTextChar"/>
    <w:link w:val="CommentSubject"/>
    <w:uiPriority w:val="99"/>
    <w:semiHidden/>
    <w:rsid w:val="00056A57"/>
    <w:rPr>
      <w:b/>
      <w:bCs/>
      <w:sz w:val="20"/>
      <w:szCs w:val="20"/>
    </w:rPr>
  </w:style>
  <w:style w:type="paragraph" w:customStyle="1" w:styleId="Default">
    <w:name w:val="Default"/>
    <w:rsid w:val="0066287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indis.conapred.org.mx/wp-content/uploads/2018/09/Odium-Dicta-Ax.pdf" TargetMode="External"/><Relationship Id="rId3" Type="http://schemas.openxmlformats.org/officeDocument/2006/relationships/hyperlink" Target="https://dof.gob.mx/nota_detalle.php?codigo=5638256&amp;fecha=14/12/2021" TargetMode="External"/><Relationship Id="rId7" Type="http://schemas.openxmlformats.org/officeDocument/2006/relationships/hyperlink" Target="http://www.conapred.org.mx/documentos_cedoc/Prejuicio_Palabra_1.1_Ax.pdf" TargetMode="External"/><Relationship Id="rId2" Type="http://schemas.openxmlformats.org/officeDocument/2006/relationships/hyperlink" Target="http://www.diputados.gob.mx/LeyesBiblio/pdf/262_210618.pdf" TargetMode="External"/><Relationship Id="rId1" Type="http://schemas.openxmlformats.org/officeDocument/2006/relationships/hyperlink" Target="http://www.diputados.gob.mx/LeyesBiblio/pdf/1_270818.pdf" TargetMode="External"/><Relationship Id="rId6" Type="http://schemas.openxmlformats.org/officeDocument/2006/relationships/hyperlink" Target="https://www.conapred.org.mx/documentos_cedoc/GAP_Xenofobia_2022_FINAL.pdf" TargetMode="External"/><Relationship Id="rId5" Type="http://schemas.openxmlformats.org/officeDocument/2006/relationships/hyperlink" Target="https://www.conapred.org.mx/documentos_cedoc/Manual_SI_PODEMOS_2019.Ax.pdf" TargetMode="External"/><Relationship Id="rId4" Type="http://schemas.openxmlformats.org/officeDocument/2006/relationships/hyperlink" Target="https://sindis.conapred.org.mx/wp-content/uploads/2022/06/Queycomo_manifiesta_racismo_02_WEB.Ax_.pdf" TargetMode="External"/><Relationship Id="rId9" Type="http://schemas.openxmlformats.org/officeDocument/2006/relationships/hyperlink" Target="https://sindis.conapred.org.mx/wp-content/uploads/2021/08/ENADIS_Resultados_AyJ_web_A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Mexico</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D95E-CDF4-4033-AF64-0BC565A332FC}"/>
</file>

<file path=customXml/itemProps2.xml><?xml version="1.0" encoding="utf-8"?>
<ds:datastoreItem xmlns:ds="http://schemas.openxmlformats.org/officeDocument/2006/customXml" ds:itemID="{938EE4A6-95A2-4593-A49A-3CC4DC92C262}">
  <ds:schemaRefs>
    <ds:schemaRef ds:uri="http://schemas.microsoft.com/sharepoint/v3/contenttype/forms"/>
  </ds:schemaRefs>
</ds:datastoreItem>
</file>

<file path=customXml/itemProps3.xml><?xml version="1.0" encoding="utf-8"?>
<ds:datastoreItem xmlns:ds="http://schemas.openxmlformats.org/officeDocument/2006/customXml" ds:itemID="{960EAAC7-A9AC-44A3-8E61-4D82023B1E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2104AE-D624-6449-86EB-CC4C3331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diseno2</dc:creator>
  <cp:keywords/>
  <dc:description/>
  <cp:lastModifiedBy>Kellie-Shandra Ognimba</cp:lastModifiedBy>
  <cp:revision>2</cp:revision>
  <cp:lastPrinted>2020-01-08T16:46:00Z</cp:lastPrinted>
  <dcterms:created xsi:type="dcterms:W3CDTF">2023-10-26T11:29:00Z</dcterms:created>
  <dcterms:modified xsi:type="dcterms:W3CDTF">2023-10-26T11:29:00Z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