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97D8" w14:textId="77777777" w:rsidR="000C464F" w:rsidRPr="00E96EBF" w:rsidRDefault="000C464F" w:rsidP="000C464F">
      <w:pPr>
        <w:pStyle w:val="Default"/>
        <w:shd w:val="clear" w:color="auto" w:fill="A50021"/>
        <w:jc w:val="center"/>
        <w:rPr>
          <w:rFonts w:ascii="Montserrat" w:hAnsi="Montserrat"/>
          <w:b/>
          <w:color w:val="FFFFFF" w:themeColor="background1"/>
          <w:sz w:val="20"/>
          <w:szCs w:val="23"/>
        </w:rPr>
      </w:pPr>
      <w:r w:rsidRPr="00E96EBF">
        <w:rPr>
          <w:rFonts w:ascii="Montserrat" w:hAnsi="Montserrat"/>
          <w:b/>
          <w:bCs/>
          <w:color w:val="FFFFFF" w:themeColor="background1"/>
          <w:sz w:val="22"/>
          <w:lang w:val="es-ES"/>
        </w:rPr>
        <w:t xml:space="preserve">Informe del </w:t>
      </w:r>
      <w:proofErr w:type="gramStart"/>
      <w:r w:rsidRPr="00E96EBF">
        <w:rPr>
          <w:rFonts w:ascii="Montserrat" w:hAnsi="Montserrat"/>
          <w:b/>
          <w:bCs/>
          <w:color w:val="FFFFFF" w:themeColor="background1"/>
          <w:sz w:val="22"/>
          <w:lang w:val="es-ES"/>
        </w:rPr>
        <w:t>Secretario General</w:t>
      </w:r>
      <w:proofErr w:type="gramEnd"/>
      <w:r w:rsidRPr="00E96EBF">
        <w:rPr>
          <w:rFonts w:ascii="Montserrat" w:hAnsi="Montserrat"/>
          <w:b/>
          <w:bCs/>
          <w:color w:val="FFFFFF" w:themeColor="background1"/>
          <w:sz w:val="22"/>
          <w:lang w:val="es-ES"/>
        </w:rPr>
        <w:t xml:space="preserve"> sobre el </w:t>
      </w:r>
      <w:r w:rsidR="00B61DB0" w:rsidRPr="00E96EBF">
        <w:rPr>
          <w:rFonts w:ascii="Montserrat" w:hAnsi="Montserrat"/>
          <w:b/>
          <w:bCs/>
          <w:color w:val="FFFFFF" w:themeColor="background1"/>
          <w:sz w:val="22"/>
          <w:lang w:val="es-ES"/>
        </w:rPr>
        <w:t>“Llamamiento mundial para la adopción de medidas concretas para la eliminación del racismo, la discriminación racial, la xenofobia y las formas conexas de intolerancia y para la aplicación y el seguimiento generales de la Declaración y el Programa de Acción de Durban”</w:t>
      </w:r>
    </w:p>
    <w:p w14:paraId="22EF0FF0" w14:textId="77777777" w:rsidR="00680C57" w:rsidRPr="00E96EBF" w:rsidRDefault="00680C57" w:rsidP="00E96EBF">
      <w:pPr>
        <w:pStyle w:val="Default"/>
        <w:ind w:left="720"/>
        <w:jc w:val="both"/>
        <w:rPr>
          <w:rFonts w:ascii="Montserrat" w:hAnsi="Montserrat"/>
          <w:b/>
          <w:sz w:val="22"/>
          <w:szCs w:val="22"/>
        </w:rPr>
      </w:pPr>
    </w:p>
    <w:p w14:paraId="48433531" w14:textId="77777777" w:rsidR="000C464F" w:rsidRPr="00E96EBF" w:rsidRDefault="000C464F" w:rsidP="00E96EBF">
      <w:pPr>
        <w:pStyle w:val="Default"/>
        <w:numPr>
          <w:ilvl w:val="0"/>
          <w:numId w:val="3"/>
        </w:numPr>
        <w:jc w:val="both"/>
        <w:rPr>
          <w:rFonts w:ascii="Montserrat" w:hAnsi="Montserrat"/>
          <w:b/>
          <w:sz w:val="22"/>
          <w:szCs w:val="22"/>
        </w:rPr>
      </w:pPr>
      <w:r w:rsidRPr="00E96EBF">
        <w:rPr>
          <w:rFonts w:ascii="Montserrat" w:hAnsi="Montserrat"/>
          <w:b/>
          <w:sz w:val="22"/>
          <w:szCs w:val="22"/>
        </w:rPr>
        <w:t xml:space="preserve">El alcance y el impacto del racismo sistémico y medidas jurídicas, normativas e institucionales que aborden el racismo como algo más que una suma de actos individualizados (párrafo 20). </w:t>
      </w:r>
    </w:p>
    <w:p w14:paraId="555C6BD2" w14:textId="77777777" w:rsidR="000C464F" w:rsidRPr="00E96EBF" w:rsidRDefault="000C464F" w:rsidP="00E96EBF">
      <w:pPr>
        <w:pStyle w:val="Default"/>
        <w:jc w:val="both"/>
        <w:rPr>
          <w:rFonts w:ascii="Montserrat" w:hAnsi="Montserrat"/>
          <w:b/>
          <w:sz w:val="22"/>
          <w:szCs w:val="22"/>
        </w:rPr>
      </w:pPr>
    </w:p>
    <w:p w14:paraId="55A13B05" w14:textId="77777777" w:rsidR="00B61DB0" w:rsidRPr="00E96EBF" w:rsidRDefault="00B61DB0" w:rsidP="00E96EBF">
      <w:pPr>
        <w:spacing w:after="0" w:line="240" w:lineRule="auto"/>
        <w:jc w:val="both"/>
        <w:rPr>
          <w:rFonts w:ascii="Montserrat" w:hAnsi="Montserrat" w:cs="Arial"/>
          <w:bCs/>
        </w:rPr>
      </w:pPr>
      <w:r w:rsidRPr="00E96EBF">
        <w:rPr>
          <w:rFonts w:ascii="Montserrat" w:hAnsi="Montserrat" w:cs="Arial"/>
          <w:bCs/>
        </w:rPr>
        <w:t xml:space="preserve">En el </w:t>
      </w:r>
      <w:r w:rsidRPr="00E96EBF">
        <w:rPr>
          <w:rFonts w:ascii="Montserrat" w:hAnsi="Montserrat" w:cs="Arial"/>
          <w:b/>
        </w:rPr>
        <w:t>Amparo directo en revisión 2990/2022</w:t>
      </w:r>
      <w:r w:rsidRPr="00E96EBF">
        <w:rPr>
          <w:rFonts w:ascii="Montserrat" w:hAnsi="Montserrat" w:cs="Arial"/>
          <w:bCs/>
        </w:rPr>
        <w:t>,</w:t>
      </w:r>
      <w:r w:rsidRPr="00E96EBF">
        <w:rPr>
          <w:rStyle w:val="FootnoteReference"/>
          <w:rFonts w:ascii="Montserrat" w:hAnsi="Montserrat" w:cs="Arial"/>
          <w:bCs/>
        </w:rPr>
        <w:footnoteReference w:id="1"/>
      </w:r>
      <w:r w:rsidRPr="00E96EBF">
        <w:rPr>
          <w:rFonts w:ascii="Montserrat" w:hAnsi="Montserrat" w:cs="Arial"/>
          <w:bCs/>
        </w:rPr>
        <w:t xml:space="preserve"> la S</w:t>
      </w:r>
      <w:r w:rsidR="004240DC">
        <w:rPr>
          <w:rFonts w:ascii="Montserrat" w:hAnsi="Montserrat" w:cs="Arial"/>
          <w:bCs/>
        </w:rPr>
        <w:t xml:space="preserve">uprema </w:t>
      </w:r>
      <w:r w:rsidRPr="00E96EBF">
        <w:rPr>
          <w:rFonts w:ascii="Montserrat" w:hAnsi="Montserrat" w:cs="Arial"/>
          <w:bCs/>
        </w:rPr>
        <w:t>C</w:t>
      </w:r>
      <w:r w:rsidR="004240DC">
        <w:rPr>
          <w:rFonts w:ascii="Montserrat" w:hAnsi="Montserrat" w:cs="Arial"/>
          <w:bCs/>
        </w:rPr>
        <w:t xml:space="preserve">orte de </w:t>
      </w:r>
      <w:r w:rsidRPr="00E96EBF">
        <w:rPr>
          <w:rFonts w:ascii="Montserrat" w:hAnsi="Montserrat" w:cs="Arial"/>
          <w:bCs/>
        </w:rPr>
        <w:t>J</w:t>
      </w:r>
      <w:r w:rsidR="004240DC">
        <w:rPr>
          <w:rFonts w:ascii="Montserrat" w:hAnsi="Montserrat" w:cs="Arial"/>
          <w:bCs/>
        </w:rPr>
        <w:t xml:space="preserve">usticia de la </w:t>
      </w:r>
      <w:r w:rsidRPr="00E96EBF">
        <w:rPr>
          <w:rFonts w:ascii="Montserrat" w:hAnsi="Montserrat" w:cs="Arial"/>
          <w:bCs/>
        </w:rPr>
        <w:t>N</w:t>
      </w:r>
      <w:r w:rsidR="004240DC">
        <w:rPr>
          <w:rFonts w:ascii="Montserrat" w:hAnsi="Montserrat" w:cs="Arial"/>
          <w:bCs/>
        </w:rPr>
        <w:t>ación (SCJN)</w:t>
      </w:r>
      <w:r w:rsidRPr="00E96EBF">
        <w:rPr>
          <w:rFonts w:ascii="Montserrat" w:hAnsi="Montserrat" w:cs="Arial"/>
          <w:bCs/>
        </w:rPr>
        <w:t xml:space="preserve"> señaló que el artículo 2º de la Constitución Federal refleja la intención de acabar con la discriminación sistemática e histórica que han sufrido los pueblos indígenas en el acceso pleno a las instancias jurisdiccionales, así como a la protección de derechos compatibles en general, con su especificidad cultural.</w:t>
      </w:r>
    </w:p>
    <w:p w14:paraId="2561FF97" w14:textId="77777777" w:rsidR="00B61DB0" w:rsidRPr="00E96EBF" w:rsidRDefault="00B61DB0" w:rsidP="00E96EBF">
      <w:pPr>
        <w:spacing w:after="0" w:line="240" w:lineRule="auto"/>
        <w:jc w:val="both"/>
        <w:rPr>
          <w:rFonts w:ascii="Montserrat" w:hAnsi="Montserrat" w:cs="Arial"/>
          <w:bCs/>
        </w:rPr>
      </w:pPr>
    </w:p>
    <w:p w14:paraId="3B97165A" w14:textId="77777777" w:rsidR="00B61DB0" w:rsidRPr="00E96EBF" w:rsidRDefault="00B61DB0" w:rsidP="00E96EBF">
      <w:pPr>
        <w:spacing w:after="0" w:line="240" w:lineRule="auto"/>
        <w:jc w:val="both"/>
        <w:rPr>
          <w:rFonts w:ascii="Montserrat" w:hAnsi="Montserrat" w:cs="Arial"/>
        </w:rPr>
      </w:pPr>
      <w:r w:rsidRPr="00E96EBF">
        <w:rPr>
          <w:rFonts w:ascii="Montserrat" w:hAnsi="Montserrat" w:cs="Arial"/>
          <w:bCs/>
        </w:rPr>
        <w:t>También refirió que la perspectiva intercultural implica una interpretación culturalmente sensible de los hechos y las normas jurídicas, así como la necesidad de tomar en cuenta las características específicas de la cultura involucrada y del marco de protección de los derechos humanos de las personas, tengan o no la condición de indígenas.</w:t>
      </w:r>
      <w:r w:rsidRPr="00E96EBF">
        <w:rPr>
          <w:rFonts w:ascii="Montserrat" w:hAnsi="Montserrat" w:cs="Arial"/>
        </w:rPr>
        <w:t xml:space="preserve"> </w:t>
      </w:r>
    </w:p>
    <w:p w14:paraId="2E415403" w14:textId="77777777" w:rsidR="00B61DB0" w:rsidRPr="00E96EBF" w:rsidRDefault="00B61DB0" w:rsidP="00E96EBF">
      <w:pPr>
        <w:spacing w:after="0" w:line="240" w:lineRule="auto"/>
        <w:jc w:val="both"/>
        <w:rPr>
          <w:rFonts w:ascii="Montserrat" w:hAnsi="Montserrat" w:cs="Arial"/>
        </w:rPr>
      </w:pPr>
    </w:p>
    <w:p w14:paraId="1B40BE59" w14:textId="77777777" w:rsidR="00772B20" w:rsidRDefault="00B61DB0" w:rsidP="00E96EBF">
      <w:pPr>
        <w:spacing w:after="0" w:line="240" w:lineRule="auto"/>
        <w:jc w:val="both"/>
        <w:rPr>
          <w:rFonts w:ascii="Montserrat" w:eastAsia="Cambria" w:hAnsi="Montserrat" w:cs="Arial"/>
        </w:rPr>
      </w:pPr>
      <w:r w:rsidRPr="00E96EBF">
        <w:rPr>
          <w:rFonts w:ascii="Montserrat" w:hAnsi="Montserrat" w:cs="Arial"/>
        </w:rPr>
        <w:t xml:space="preserve">Se precisa que los criterios sobre pueblos y comunidades indígenas que se presentan a continuación también son aplicables a personas afrodescendientes y </w:t>
      </w:r>
      <w:proofErr w:type="spellStart"/>
      <w:r w:rsidRPr="00E96EBF">
        <w:rPr>
          <w:rFonts w:ascii="Montserrat" w:hAnsi="Montserrat" w:cs="Arial"/>
        </w:rPr>
        <w:t>afromexicanas</w:t>
      </w:r>
      <w:proofErr w:type="spellEnd"/>
      <w:r w:rsidRPr="00E96EBF">
        <w:rPr>
          <w:rFonts w:ascii="Montserrat" w:hAnsi="Montserrat" w:cs="Arial"/>
        </w:rPr>
        <w:t xml:space="preserve">, ya que en el 2001 </w:t>
      </w:r>
      <w:r w:rsidRPr="00E96EBF">
        <w:rPr>
          <w:rFonts w:ascii="Montserrat" w:eastAsia="Montserrat Medium" w:hAnsi="Montserrat" w:cs="Arial"/>
          <w:lang w:eastAsia="es-ES_tradnl"/>
        </w:rPr>
        <w:t>se llevó a cabo una reforma al artículo 2º de la Constitución Política de los Estados Unidos Mexicanos, en la que se reconoció a las comunidades y pueblos afrodescendientes como parte de la composición pluricultural de la Nación.</w:t>
      </w:r>
      <w:r w:rsidRPr="00E96EBF">
        <w:rPr>
          <w:rStyle w:val="FootnoteReference"/>
          <w:rFonts w:ascii="Montserrat" w:eastAsia="Montserrat Medium" w:hAnsi="Montserrat" w:cs="Arial"/>
          <w:lang w:eastAsia="es-ES_tradnl"/>
        </w:rPr>
        <w:footnoteReference w:id="2"/>
      </w:r>
      <w:r w:rsidRPr="00E96EBF">
        <w:rPr>
          <w:rFonts w:ascii="Montserrat" w:eastAsia="Montserrat Medium" w:hAnsi="Montserrat" w:cs="Arial"/>
          <w:lang w:eastAsia="es-ES_tradnl"/>
        </w:rPr>
        <w:t xml:space="preserve"> De hecho,</w:t>
      </w:r>
      <w:r w:rsidRPr="00E96EBF">
        <w:rPr>
          <w:rFonts w:ascii="Montserrat" w:eastAsia="Cambria" w:hAnsi="Montserrat" w:cs="Arial"/>
        </w:rPr>
        <w:t xml:space="preserve"> la SCJN al resolver la acción de inconstitucionalidad 116/2019</w:t>
      </w:r>
      <w:r w:rsidRPr="00E96EBF">
        <w:rPr>
          <w:rStyle w:val="FootnoteReference"/>
          <w:rFonts w:ascii="Montserrat" w:eastAsia="Cambria" w:hAnsi="Montserrat" w:cs="Arial"/>
        </w:rPr>
        <w:footnoteReference w:id="3"/>
      </w:r>
      <w:r w:rsidRPr="00E96EBF">
        <w:rPr>
          <w:rFonts w:ascii="Montserrat" w:eastAsia="Cambria" w:hAnsi="Montserrat" w:cs="Arial"/>
        </w:rPr>
        <w:t xml:space="preserve"> advirtió que de una interpretación progresiva del artículo 2° de la Constitución Federal, era posible reconocer el derecho de los pueblos indígenas, haciéndolo extensivo a los pueblos y comunidades </w:t>
      </w:r>
      <w:proofErr w:type="spellStart"/>
      <w:r w:rsidRPr="00E96EBF">
        <w:rPr>
          <w:rFonts w:ascii="Montserrat" w:eastAsia="Cambria" w:hAnsi="Montserrat" w:cs="Arial"/>
        </w:rPr>
        <w:t>afromexicanas</w:t>
      </w:r>
      <w:proofErr w:type="spellEnd"/>
      <w:r w:rsidRPr="00E96EBF">
        <w:rPr>
          <w:rFonts w:ascii="Montserrat" w:eastAsia="Cambria" w:hAnsi="Montserrat" w:cs="Arial"/>
        </w:rPr>
        <w:t xml:space="preserve">, a la libre determinación y autonomía para decidir sus formas internas de convivencia y organización social, económica, política y cultural. </w:t>
      </w:r>
    </w:p>
    <w:p w14:paraId="1DD32C35" w14:textId="77777777" w:rsidR="00E96EBF" w:rsidRPr="00E96EBF" w:rsidRDefault="00E96EBF" w:rsidP="00E96EBF">
      <w:pPr>
        <w:spacing w:after="0" w:line="240" w:lineRule="auto"/>
        <w:jc w:val="both"/>
        <w:rPr>
          <w:rFonts w:ascii="Montserrat" w:eastAsia="Cambria" w:hAnsi="Montserrat" w:cs="Arial"/>
        </w:rPr>
      </w:pPr>
    </w:p>
    <w:p w14:paraId="4953B8DB" w14:textId="77777777" w:rsidR="000C464F" w:rsidRPr="00E96EBF" w:rsidRDefault="000C464F" w:rsidP="00E96EBF">
      <w:pPr>
        <w:pStyle w:val="Default"/>
        <w:numPr>
          <w:ilvl w:val="0"/>
          <w:numId w:val="3"/>
        </w:numPr>
        <w:jc w:val="both"/>
        <w:rPr>
          <w:rFonts w:ascii="Montserrat" w:hAnsi="Montserrat"/>
          <w:b/>
          <w:sz w:val="22"/>
          <w:szCs w:val="22"/>
        </w:rPr>
      </w:pPr>
      <w:r w:rsidRPr="00E96EBF">
        <w:rPr>
          <w:rFonts w:ascii="Montserrat" w:hAnsi="Montserrat"/>
          <w:b/>
          <w:sz w:val="22"/>
          <w:szCs w:val="22"/>
        </w:rPr>
        <w:t xml:space="preserve">Discurso del odio, incitación a la discriminación racial, la hostilidad y la violencia (párrafo 6 del preámbulo). </w:t>
      </w:r>
    </w:p>
    <w:p w14:paraId="2BE78DF7" w14:textId="77777777" w:rsidR="000C464F" w:rsidRPr="00E96EBF" w:rsidRDefault="000C464F" w:rsidP="00E96EBF">
      <w:pPr>
        <w:pStyle w:val="ListParagraph"/>
        <w:spacing w:after="0" w:line="240" w:lineRule="auto"/>
        <w:jc w:val="both"/>
        <w:rPr>
          <w:rFonts w:ascii="Montserrat" w:hAnsi="Montserrat"/>
          <w:b/>
        </w:rPr>
      </w:pPr>
    </w:p>
    <w:p w14:paraId="6D3DFF7D" w14:textId="77777777" w:rsidR="00B61DB0" w:rsidRPr="00E96EBF" w:rsidRDefault="00B61DB0" w:rsidP="00E96EBF">
      <w:pPr>
        <w:spacing w:after="0" w:line="240" w:lineRule="auto"/>
        <w:jc w:val="both"/>
        <w:rPr>
          <w:rFonts w:ascii="Montserrat" w:hAnsi="Montserrat" w:cs="Arial"/>
          <w:bCs/>
        </w:rPr>
      </w:pPr>
      <w:r w:rsidRPr="00E96EBF">
        <w:rPr>
          <w:rFonts w:ascii="Montserrat" w:hAnsi="Montserrat" w:cs="Arial"/>
          <w:bCs/>
        </w:rPr>
        <w:t xml:space="preserve">En el </w:t>
      </w:r>
      <w:r w:rsidRPr="00E96EBF">
        <w:rPr>
          <w:rFonts w:ascii="Montserrat" w:hAnsi="Montserrat" w:cs="Arial"/>
          <w:b/>
          <w:bCs/>
        </w:rPr>
        <w:t>Amparo directo en revisión 4865/2018</w:t>
      </w:r>
      <w:r w:rsidRPr="00E96EBF">
        <w:rPr>
          <w:rFonts w:ascii="Montserrat" w:hAnsi="Montserrat" w:cs="Arial"/>
          <w:bCs/>
        </w:rPr>
        <w:t>,</w:t>
      </w:r>
      <w:r w:rsidRPr="00E96EBF">
        <w:rPr>
          <w:rFonts w:ascii="Montserrat" w:hAnsi="Montserrat" w:cs="Arial"/>
          <w:bCs/>
          <w:vertAlign w:val="superscript"/>
        </w:rPr>
        <w:footnoteReference w:id="4"/>
      </w:r>
      <w:r w:rsidRPr="00E96EBF">
        <w:rPr>
          <w:rFonts w:ascii="Montserrat" w:hAnsi="Montserrat" w:cs="Arial"/>
          <w:bCs/>
        </w:rPr>
        <w:t xml:space="preserve"> un trabajador presentó una demanda en contra de la empresa en la que trabajaba, pues consideró que había sido discriminado al ser despedido por portar un tatuaje con un símbolo de esvástica en el lugar de trabajo, en el cual laboraban personas que se autoidentificaban como judías. La SCJN determinó que el derecho a la libertad de expresión puede ser restringido cuando implique un mensaje de odio en contra de un grupo de personas con motivo de características como el origen étnico, la raza, la religión, entre otras. En el caso, se señaló que la esvástica comunicaba un discurso de odio que se asocia directamente con el nazismo y con ideas de superioridad racial. </w:t>
      </w:r>
    </w:p>
    <w:p w14:paraId="7E7F588A" w14:textId="77777777" w:rsidR="00772B20" w:rsidRPr="00E96EBF" w:rsidRDefault="00772B20" w:rsidP="00E96EBF">
      <w:pPr>
        <w:pStyle w:val="Default"/>
        <w:jc w:val="both"/>
        <w:rPr>
          <w:rFonts w:ascii="Montserrat" w:hAnsi="Montserrat"/>
          <w:b/>
          <w:sz w:val="22"/>
          <w:szCs w:val="22"/>
        </w:rPr>
      </w:pPr>
    </w:p>
    <w:p w14:paraId="7674A954" w14:textId="77777777" w:rsidR="000C464F" w:rsidRPr="004240DC" w:rsidRDefault="000C464F" w:rsidP="004240DC">
      <w:pPr>
        <w:pStyle w:val="Default"/>
        <w:numPr>
          <w:ilvl w:val="0"/>
          <w:numId w:val="3"/>
        </w:numPr>
        <w:jc w:val="both"/>
        <w:rPr>
          <w:rFonts w:ascii="Montserrat" w:hAnsi="Montserrat"/>
          <w:b/>
          <w:sz w:val="22"/>
          <w:szCs w:val="22"/>
        </w:rPr>
      </w:pPr>
      <w:r w:rsidRPr="004240DC">
        <w:rPr>
          <w:rFonts w:ascii="Montserrat" w:hAnsi="Montserrat"/>
          <w:b/>
          <w:sz w:val="22"/>
          <w:szCs w:val="22"/>
        </w:rPr>
        <w:t xml:space="preserve">Procesos participativos e inclusivos de formulación e implementación de procesos que contribuyan a detener, cambiar y reparar las consecuencias duraderas y las manifestaciones actuales del racismo; y el rol de las personas y las comunidades de ascendencia africana, así como de los jóvenes en estos procesos (párrafo 19). </w:t>
      </w:r>
    </w:p>
    <w:p w14:paraId="7490FDD0" w14:textId="77777777" w:rsidR="000C464F" w:rsidRPr="004240DC" w:rsidRDefault="000C464F" w:rsidP="004240DC">
      <w:pPr>
        <w:pStyle w:val="ListParagraph"/>
        <w:spacing w:after="0" w:line="240" w:lineRule="auto"/>
        <w:jc w:val="both"/>
        <w:rPr>
          <w:rFonts w:ascii="Montserrat" w:hAnsi="Montserrat"/>
          <w:b/>
        </w:rPr>
      </w:pPr>
    </w:p>
    <w:p w14:paraId="79660FF7" w14:textId="77777777" w:rsidR="00B61DB0" w:rsidRPr="00913113" w:rsidRDefault="00B61DB0" w:rsidP="004240DC">
      <w:pPr>
        <w:spacing w:after="0" w:line="240" w:lineRule="auto"/>
        <w:ind w:right="-93"/>
        <w:jc w:val="both"/>
        <w:rPr>
          <w:rFonts w:ascii="Montserrat" w:hAnsi="Montserrat" w:cs="Arial"/>
          <w:bCs/>
        </w:rPr>
      </w:pPr>
      <w:r w:rsidRPr="00913113">
        <w:rPr>
          <w:rFonts w:ascii="Montserrat" w:hAnsi="Montserrat" w:cs="Arial"/>
          <w:bCs/>
        </w:rPr>
        <w:t>El Programa para el Bienestar Integral de los Pueblos Indígenas (PROBIPI) es un programa presupuestario ejecutado por el I</w:t>
      </w:r>
      <w:r w:rsidR="00981E34" w:rsidRPr="00913113">
        <w:rPr>
          <w:rFonts w:ascii="Montserrat" w:hAnsi="Montserrat" w:cs="Arial"/>
          <w:bCs/>
        </w:rPr>
        <w:t xml:space="preserve">nstituto </w:t>
      </w:r>
      <w:r w:rsidRPr="00913113">
        <w:rPr>
          <w:rFonts w:ascii="Montserrat" w:hAnsi="Montserrat" w:cs="Arial"/>
          <w:bCs/>
        </w:rPr>
        <w:t>N</w:t>
      </w:r>
      <w:r w:rsidR="00981E34" w:rsidRPr="00913113">
        <w:rPr>
          <w:rFonts w:ascii="Montserrat" w:hAnsi="Montserrat" w:cs="Arial"/>
          <w:bCs/>
        </w:rPr>
        <w:t xml:space="preserve">acional de los </w:t>
      </w:r>
      <w:r w:rsidRPr="00913113">
        <w:rPr>
          <w:rFonts w:ascii="Montserrat" w:hAnsi="Montserrat" w:cs="Arial"/>
          <w:bCs/>
        </w:rPr>
        <w:t>P</w:t>
      </w:r>
      <w:r w:rsidR="00981E34" w:rsidRPr="00913113">
        <w:rPr>
          <w:rFonts w:ascii="Montserrat" w:hAnsi="Montserrat" w:cs="Arial"/>
          <w:bCs/>
        </w:rPr>
        <w:t xml:space="preserve">ueblos </w:t>
      </w:r>
      <w:r w:rsidRPr="00913113">
        <w:rPr>
          <w:rFonts w:ascii="Montserrat" w:hAnsi="Montserrat" w:cs="Arial"/>
          <w:bCs/>
        </w:rPr>
        <w:t>I</w:t>
      </w:r>
      <w:r w:rsidR="00981E34" w:rsidRPr="00913113">
        <w:rPr>
          <w:rFonts w:ascii="Montserrat" w:hAnsi="Montserrat" w:cs="Arial"/>
          <w:bCs/>
        </w:rPr>
        <w:t>ndígenas</w:t>
      </w:r>
      <w:r w:rsidRPr="00913113">
        <w:rPr>
          <w:rFonts w:ascii="Montserrat" w:hAnsi="Montserrat" w:cs="Arial"/>
          <w:bCs/>
        </w:rPr>
        <w:t xml:space="preserve">, que tiene como objetivo contribuir al proceso de desarrollo integral de los pueblos y comunidades indígenas y </w:t>
      </w:r>
      <w:proofErr w:type="spellStart"/>
      <w:r w:rsidRPr="00913113">
        <w:rPr>
          <w:rFonts w:ascii="Montserrat" w:hAnsi="Montserrat" w:cs="Arial"/>
          <w:bCs/>
        </w:rPr>
        <w:t>afromexicanas</w:t>
      </w:r>
      <w:proofErr w:type="spellEnd"/>
      <w:r w:rsidRPr="00913113">
        <w:rPr>
          <w:rFonts w:ascii="Montserrat" w:hAnsi="Montserrat" w:cs="Arial"/>
          <w:bCs/>
        </w:rPr>
        <w:t>, como sujetos de derecho público, mediante apoyos para la implementación y ejercicio efectivo de sus derechos colectivos; la protección, el aprovechamiento y conservación de sus tierras, territorios, recursos naturales, biodiversidad y medio ambiente; el fortalecimiento de sus actividades económicas y productivas estratégicas; la construcción de caminos, infraestructura de servicios básicos y comunitaria, y el fomento de su patrimonio cultural, con el fin de alcanzar su bienestar común, en un marco de respeto a su autonomía y formas de gobierno.</w:t>
      </w:r>
      <w:r w:rsidR="00981E34" w:rsidRPr="00913113">
        <w:rPr>
          <w:rFonts w:ascii="Montserrat" w:hAnsi="Montserrat" w:cs="Arial"/>
          <w:bCs/>
        </w:rPr>
        <w:t xml:space="preserve"> </w:t>
      </w:r>
      <w:r w:rsidRPr="00913113">
        <w:rPr>
          <w:rFonts w:ascii="Montserrat" w:hAnsi="Montserrat" w:cs="Arial"/>
          <w:bCs/>
        </w:rPr>
        <w:t xml:space="preserve">A través del PROBIPI entre 2021 y 2022 se han apoyado dos iniciativas de comunicación indígena propuestos por integrantes del Pueblo </w:t>
      </w:r>
      <w:proofErr w:type="spellStart"/>
      <w:r w:rsidRPr="00913113">
        <w:rPr>
          <w:rFonts w:ascii="Montserrat" w:hAnsi="Montserrat" w:cs="Arial"/>
          <w:bCs/>
        </w:rPr>
        <w:t>afromexicano</w:t>
      </w:r>
      <w:proofErr w:type="spellEnd"/>
      <w:r w:rsidRPr="00913113">
        <w:rPr>
          <w:rFonts w:ascii="Montserrat" w:hAnsi="Montserrat" w:cs="Arial"/>
          <w:bCs/>
        </w:rPr>
        <w:t>.</w:t>
      </w:r>
    </w:p>
    <w:p w14:paraId="5B7F7D3A" w14:textId="77777777" w:rsidR="00981E34" w:rsidRPr="00913113" w:rsidRDefault="00981E34" w:rsidP="004240DC">
      <w:pPr>
        <w:spacing w:after="0" w:line="240" w:lineRule="auto"/>
        <w:ind w:right="-93"/>
        <w:jc w:val="both"/>
        <w:rPr>
          <w:rFonts w:ascii="Montserrat" w:hAnsi="Montserrat" w:cs="Arial"/>
          <w:bCs/>
        </w:rPr>
      </w:pPr>
    </w:p>
    <w:p w14:paraId="44F3F5B5" w14:textId="77777777" w:rsidR="00B61DB0" w:rsidRPr="00913113" w:rsidRDefault="00981E34" w:rsidP="004240DC">
      <w:pPr>
        <w:spacing w:after="0" w:line="240" w:lineRule="auto"/>
        <w:ind w:right="-93"/>
        <w:jc w:val="both"/>
        <w:rPr>
          <w:rFonts w:ascii="Montserrat" w:hAnsi="Montserrat" w:cs="Arial"/>
          <w:bCs/>
        </w:rPr>
      </w:pPr>
      <w:r w:rsidRPr="00913113">
        <w:rPr>
          <w:rFonts w:ascii="Montserrat" w:hAnsi="Montserrat" w:cs="Arial"/>
          <w:bCs/>
        </w:rPr>
        <w:t xml:space="preserve">Por otra parte, con la </w:t>
      </w:r>
      <w:r w:rsidR="00B61DB0" w:rsidRPr="00913113">
        <w:rPr>
          <w:rFonts w:ascii="Montserrat" w:hAnsi="Montserrat" w:cs="Arial"/>
          <w:bCs/>
        </w:rPr>
        <w:t>serie radiofónica</w:t>
      </w:r>
      <w:r w:rsidRPr="00913113">
        <w:rPr>
          <w:rFonts w:ascii="Montserrat" w:hAnsi="Montserrat" w:cs="Arial"/>
          <w:bCs/>
        </w:rPr>
        <w:t xml:space="preserve"> </w:t>
      </w:r>
      <w:r w:rsidR="00B61DB0" w:rsidRPr="00913113">
        <w:rPr>
          <w:rFonts w:ascii="Montserrat" w:hAnsi="Montserrat" w:cs="Arial"/>
          <w:bCs/>
        </w:rPr>
        <w:t>“Pueblos negros de la costa chica de</w:t>
      </w:r>
      <w:r w:rsidRPr="00913113">
        <w:rPr>
          <w:rFonts w:ascii="Montserrat" w:hAnsi="Montserrat" w:cs="Arial"/>
          <w:bCs/>
        </w:rPr>
        <w:t xml:space="preserve"> </w:t>
      </w:r>
      <w:r w:rsidR="00B61DB0" w:rsidRPr="00913113">
        <w:rPr>
          <w:rFonts w:ascii="Montserrat" w:hAnsi="Montserrat" w:cs="Arial"/>
          <w:bCs/>
        </w:rPr>
        <w:t xml:space="preserve">Oaxaca” que consta de 24 programas de </w:t>
      </w:r>
      <w:r w:rsidRPr="00913113">
        <w:rPr>
          <w:rFonts w:ascii="Montserrat" w:hAnsi="Montserrat" w:cs="Arial"/>
          <w:bCs/>
        </w:rPr>
        <w:t xml:space="preserve">radio, tiene como objetivo </w:t>
      </w:r>
      <w:r w:rsidR="00B61DB0" w:rsidRPr="00913113">
        <w:rPr>
          <w:rFonts w:ascii="Montserrat" w:hAnsi="Montserrat" w:cs="Arial"/>
          <w:bCs/>
        </w:rPr>
        <w:t xml:space="preserve">dar a conocer la historia del pueblo afro mexicano, desde su llegada al continente. Se recabó información necesaria para elaboración de guiones radiofónicos, con testimonios en audio de autoridades, habitantes de los Pueblos Negros y para complementar información se visitaron </w:t>
      </w:r>
      <w:proofErr w:type="spellStart"/>
      <w:r w:rsidR="00B61DB0" w:rsidRPr="00913113">
        <w:rPr>
          <w:rFonts w:ascii="Montserrat" w:hAnsi="Montserrat" w:cs="Arial"/>
          <w:bCs/>
        </w:rPr>
        <w:t>también</w:t>
      </w:r>
      <w:proofErr w:type="spellEnd"/>
      <w:r w:rsidR="00B61DB0" w:rsidRPr="00913113">
        <w:rPr>
          <w:rFonts w:ascii="Montserrat" w:hAnsi="Montserrat" w:cs="Arial"/>
          <w:bCs/>
        </w:rPr>
        <w:t xml:space="preserve">, poblaciones negras en el vecino Estado de Guerrero, como lo fue: Cuajinicuilapa y San </w:t>
      </w:r>
      <w:proofErr w:type="spellStart"/>
      <w:r w:rsidR="00B61DB0" w:rsidRPr="00913113">
        <w:rPr>
          <w:rFonts w:ascii="Montserrat" w:hAnsi="Montserrat" w:cs="Arial"/>
          <w:bCs/>
        </w:rPr>
        <w:t>Nicolás</w:t>
      </w:r>
      <w:proofErr w:type="spellEnd"/>
      <w:r w:rsidR="00B61DB0" w:rsidRPr="00913113">
        <w:rPr>
          <w:rFonts w:ascii="Montserrat" w:hAnsi="Montserrat" w:cs="Arial"/>
          <w:bCs/>
        </w:rPr>
        <w:t xml:space="preserve"> Tolentino.</w:t>
      </w:r>
    </w:p>
    <w:p w14:paraId="5E260036" w14:textId="77777777" w:rsidR="00B61DB0" w:rsidRPr="00913113" w:rsidRDefault="00B61DB0" w:rsidP="004240DC">
      <w:pPr>
        <w:pStyle w:val="BodyText"/>
        <w:ind w:right="-93"/>
        <w:jc w:val="both"/>
        <w:rPr>
          <w:rFonts w:ascii="Montserrat" w:eastAsiaTheme="minorHAnsi" w:hAnsi="Montserrat" w:cs="Arial"/>
          <w:bCs/>
          <w:sz w:val="22"/>
          <w:szCs w:val="22"/>
          <w:lang w:val="es-MX"/>
        </w:rPr>
      </w:pPr>
    </w:p>
    <w:p w14:paraId="72E30130" w14:textId="77777777" w:rsidR="00B61DB0" w:rsidRPr="00913113" w:rsidRDefault="00B61DB0" w:rsidP="004240DC">
      <w:pPr>
        <w:pStyle w:val="BodyText"/>
        <w:ind w:right="-93"/>
        <w:jc w:val="both"/>
        <w:rPr>
          <w:rFonts w:ascii="Montserrat" w:eastAsiaTheme="minorHAnsi" w:hAnsi="Montserrat" w:cs="Arial"/>
          <w:bCs/>
          <w:sz w:val="22"/>
          <w:szCs w:val="22"/>
          <w:lang w:val="es-MX"/>
        </w:rPr>
      </w:pPr>
      <w:r w:rsidRPr="00913113">
        <w:rPr>
          <w:rFonts w:ascii="Montserrat" w:eastAsiaTheme="minorHAnsi" w:hAnsi="Montserrat" w:cs="Arial"/>
          <w:bCs/>
          <w:sz w:val="22"/>
          <w:szCs w:val="22"/>
          <w:lang w:val="es-MX"/>
        </w:rPr>
        <w:t xml:space="preserve">Como parte de la reflexión de la persona beneficiaria, expresó </w:t>
      </w:r>
      <w:proofErr w:type="gramStart"/>
      <w:r w:rsidRPr="00913113">
        <w:rPr>
          <w:rFonts w:ascii="Montserrat" w:eastAsiaTheme="minorHAnsi" w:hAnsi="Montserrat" w:cs="Arial"/>
          <w:bCs/>
          <w:sz w:val="22"/>
          <w:szCs w:val="22"/>
          <w:lang w:val="es-MX"/>
        </w:rPr>
        <w:t>que</w:t>
      </w:r>
      <w:proofErr w:type="gramEnd"/>
      <w:r w:rsidRPr="00913113">
        <w:rPr>
          <w:rFonts w:ascii="Montserrat" w:eastAsiaTheme="minorHAnsi" w:hAnsi="Montserrat" w:cs="Arial"/>
          <w:bCs/>
          <w:sz w:val="22"/>
          <w:szCs w:val="22"/>
          <w:lang w:val="es-MX"/>
        </w:rPr>
        <w:t xml:space="preserve"> durante el desarrollo y proceso de ejecución del proyecto, las comunidades del pueblo negro fueron agentes activos para el contenido de la serie radiofónica “</w:t>
      </w:r>
      <w:proofErr w:type="spellStart"/>
      <w:r w:rsidRPr="00913113">
        <w:rPr>
          <w:rFonts w:ascii="Montserrat" w:eastAsiaTheme="minorHAnsi" w:hAnsi="Montserrat" w:cs="Arial"/>
          <w:bCs/>
          <w:sz w:val="22"/>
          <w:szCs w:val="22"/>
          <w:lang w:val="es-MX"/>
        </w:rPr>
        <w:t>Raíces</w:t>
      </w:r>
      <w:proofErr w:type="spellEnd"/>
      <w:r w:rsidRPr="00913113">
        <w:rPr>
          <w:rFonts w:ascii="Montserrat" w:eastAsiaTheme="minorHAnsi" w:hAnsi="Montserrat" w:cs="Arial"/>
          <w:bCs/>
          <w:sz w:val="22"/>
          <w:szCs w:val="22"/>
          <w:lang w:val="es-MX"/>
        </w:rPr>
        <w:t xml:space="preserve"> negras, el color de mi pueblo” ya que participaron con entrevistas, testimonios e inquietudes. En todo momento la comunidad encaminó no sólo el contenido sino los alcances a </w:t>
      </w:r>
      <w:proofErr w:type="spellStart"/>
      <w:r w:rsidRPr="00913113">
        <w:rPr>
          <w:rFonts w:ascii="Montserrat" w:eastAsiaTheme="minorHAnsi" w:hAnsi="Montserrat" w:cs="Arial"/>
          <w:bCs/>
          <w:sz w:val="22"/>
          <w:szCs w:val="22"/>
          <w:lang w:val="es-MX"/>
        </w:rPr>
        <w:t>través</w:t>
      </w:r>
      <w:proofErr w:type="spellEnd"/>
      <w:r w:rsidRPr="00913113">
        <w:rPr>
          <w:rFonts w:ascii="Montserrat" w:eastAsiaTheme="minorHAnsi" w:hAnsi="Montserrat" w:cs="Arial"/>
          <w:bCs/>
          <w:sz w:val="22"/>
          <w:szCs w:val="22"/>
          <w:lang w:val="es-MX"/>
        </w:rPr>
        <w:t xml:space="preserve"> de sus testimonios que fortalecen en gran medida las expresiones culturales del pueblo </w:t>
      </w:r>
      <w:proofErr w:type="spellStart"/>
      <w:r w:rsidRPr="00913113">
        <w:rPr>
          <w:rFonts w:ascii="Montserrat" w:eastAsiaTheme="minorHAnsi" w:hAnsi="Montserrat" w:cs="Arial"/>
          <w:bCs/>
          <w:sz w:val="22"/>
          <w:szCs w:val="22"/>
          <w:lang w:val="es-MX"/>
        </w:rPr>
        <w:t>negroafromexicano</w:t>
      </w:r>
      <w:proofErr w:type="spellEnd"/>
      <w:r w:rsidRPr="00913113">
        <w:rPr>
          <w:rFonts w:ascii="Montserrat" w:eastAsiaTheme="minorHAnsi" w:hAnsi="Montserrat" w:cs="Arial"/>
          <w:bCs/>
          <w:sz w:val="22"/>
          <w:szCs w:val="22"/>
          <w:lang w:val="es-MX"/>
        </w:rPr>
        <w:t>.</w:t>
      </w:r>
    </w:p>
    <w:p w14:paraId="09B18C05" w14:textId="77777777" w:rsidR="00981E34" w:rsidRPr="004240DC" w:rsidRDefault="00981E34" w:rsidP="004240DC">
      <w:pPr>
        <w:pStyle w:val="BodyText"/>
        <w:ind w:right="-93"/>
        <w:jc w:val="both"/>
        <w:rPr>
          <w:rFonts w:ascii="Montserrat" w:hAnsi="Montserrat"/>
          <w:sz w:val="22"/>
          <w:szCs w:val="22"/>
        </w:rPr>
      </w:pPr>
    </w:p>
    <w:p w14:paraId="7B555FC6" w14:textId="77777777" w:rsidR="00B61DB0" w:rsidRPr="00913113" w:rsidRDefault="00981E34" w:rsidP="004240DC">
      <w:pPr>
        <w:pStyle w:val="BodyText"/>
        <w:ind w:right="-93"/>
        <w:jc w:val="both"/>
        <w:rPr>
          <w:rFonts w:ascii="Montserrat" w:eastAsiaTheme="minorHAnsi" w:hAnsi="Montserrat" w:cs="Arial"/>
          <w:bCs/>
          <w:sz w:val="22"/>
          <w:szCs w:val="22"/>
          <w:lang w:val="es-MX"/>
        </w:rPr>
      </w:pPr>
      <w:r w:rsidRPr="00913113">
        <w:rPr>
          <w:rFonts w:ascii="Montserrat" w:eastAsiaTheme="minorHAnsi" w:hAnsi="Montserrat" w:cs="Arial"/>
          <w:bCs/>
          <w:sz w:val="22"/>
          <w:szCs w:val="22"/>
          <w:lang w:val="es-MX"/>
        </w:rPr>
        <w:t>En esa misma línea, con el proyecto “</w:t>
      </w:r>
      <w:r w:rsidR="00B61DB0" w:rsidRPr="00913113">
        <w:rPr>
          <w:rFonts w:ascii="Montserrat" w:eastAsiaTheme="minorHAnsi" w:hAnsi="Montserrat" w:cs="Arial"/>
          <w:bCs/>
          <w:sz w:val="22"/>
          <w:szCs w:val="22"/>
          <w:lang w:val="es-MX"/>
        </w:rPr>
        <w:t>Pintando nuestra huella</w:t>
      </w:r>
      <w:r w:rsidRPr="00913113">
        <w:rPr>
          <w:rFonts w:ascii="Montserrat" w:eastAsiaTheme="minorHAnsi" w:hAnsi="Montserrat" w:cs="Arial"/>
          <w:bCs/>
          <w:sz w:val="22"/>
          <w:szCs w:val="22"/>
          <w:lang w:val="es-MX"/>
        </w:rPr>
        <w:t>: R</w:t>
      </w:r>
      <w:r w:rsidR="00B61DB0" w:rsidRPr="00913113">
        <w:rPr>
          <w:rFonts w:ascii="Montserrat" w:eastAsiaTheme="minorHAnsi" w:hAnsi="Montserrat" w:cs="Arial"/>
          <w:bCs/>
          <w:sz w:val="22"/>
          <w:szCs w:val="22"/>
          <w:lang w:val="es-MX"/>
        </w:rPr>
        <w:t xml:space="preserve">eflexión y Fortalecimiento de la vida </w:t>
      </w:r>
      <w:proofErr w:type="gramStart"/>
      <w:r w:rsidR="00B61DB0" w:rsidRPr="00913113">
        <w:rPr>
          <w:rFonts w:ascii="Montserrat" w:eastAsiaTheme="minorHAnsi" w:hAnsi="Montserrat" w:cs="Arial"/>
          <w:bCs/>
          <w:sz w:val="22"/>
          <w:szCs w:val="22"/>
          <w:lang w:val="es-MX"/>
        </w:rPr>
        <w:t>comunitaria</w:t>
      </w:r>
      <w:r w:rsidRPr="00913113">
        <w:rPr>
          <w:rFonts w:ascii="Montserrat" w:eastAsiaTheme="minorHAnsi" w:hAnsi="Montserrat" w:cs="Arial"/>
          <w:bCs/>
          <w:sz w:val="22"/>
          <w:szCs w:val="22"/>
          <w:lang w:val="es-MX"/>
        </w:rPr>
        <w:t xml:space="preserve"> </w:t>
      </w:r>
      <w:r w:rsidR="00B61DB0" w:rsidRPr="00913113">
        <w:rPr>
          <w:rFonts w:ascii="Montserrat" w:eastAsiaTheme="minorHAnsi" w:hAnsi="Montserrat" w:cs="Arial"/>
          <w:bCs/>
          <w:sz w:val="22"/>
          <w:szCs w:val="22"/>
          <w:lang w:val="es-MX"/>
        </w:rPr>
        <w:t xml:space="preserve"> del</w:t>
      </w:r>
      <w:proofErr w:type="gramEnd"/>
      <w:r w:rsidR="00B61DB0" w:rsidRPr="00913113">
        <w:rPr>
          <w:rFonts w:ascii="Montserrat" w:eastAsiaTheme="minorHAnsi" w:hAnsi="Montserrat" w:cs="Arial"/>
          <w:bCs/>
          <w:sz w:val="22"/>
          <w:szCs w:val="22"/>
          <w:lang w:val="es-MX"/>
        </w:rPr>
        <w:t xml:space="preserve"> Pueblo Negro </w:t>
      </w:r>
      <w:proofErr w:type="spellStart"/>
      <w:r w:rsidR="00B61DB0" w:rsidRPr="00913113">
        <w:rPr>
          <w:rFonts w:ascii="Montserrat" w:eastAsiaTheme="minorHAnsi" w:hAnsi="Montserrat" w:cs="Arial"/>
          <w:bCs/>
          <w:sz w:val="22"/>
          <w:szCs w:val="22"/>
          <w:lang w:val="es-MX"/>
        </w:rPr>
        <w:t>Afromexicano</w:t>
      </w:r>
      <w:proofErr w:type="spellEnd"/>
      <w:r w:rsidRPr="00913113">
        <w:rPr>
          <w:rFonts w:ascii="Montserrat" w:eastAsiaTheme="minorHAnsi" w:hAnsi="Montserrat" w:cs="Arial"/>
          <w:bCs/>
          <w:sz w:val="22"/>
          <w:szCs w:val="22"/>
          <w:lang w:val="es-MX"/>
        </w:rPr>
        <w:t xml:space="preserve">”, </w:t>
      </w:r>
      <w:r w:rsidR="00B61DB0" w:rsidRPr="00913113">
        <w:rPr>
          <w:rFonts w:ascii="Montserrat" w:eastAsiaTheme="minorHAnsi" w:hAnsi="Montserrat" w:cs="Arial"/>
          <w:bCs/>
          <w:sz w:val="22"/>
          <w:szCs w:val="22"/>
          <w:lang w:val="es-MX"/>
        </w:rPr>
        <w:t xml:space="preserve">se realizaron 21 talleres de reflexión sobre la vida comunitaria del pueblo Negro </w:t>
      </w:r>
      <w:proofErr w:type="spellStart"/>
      <w:r w:rsidR="00B61DB0" w:rsidRPr="00913113">
        <w:rPr>
          <w:rFonts w:ascii="Montserrat" w:eastAsiaTheme="minorHAnsi" w:hAnsi="Montserrat" w:cs="Arial"/>
          <w:bCs/>
          <w:sz w:val="22"/>
          <w:szCs w:val="22"/>
          <w:lang w:val="es-MX"/>
        </w:rPr>
        <w:t>Afromexicano</w:t>
      </w:r>
      <w:proofErr w:type="spellEnd"/>
      <w:r w:rsidR="00B61DB0" w:rsidRPr="00913113">
        <w:rPr>
          <w:rFonts w:ascii="Montserrat" w:eastAsiaTheme="minorHAnsi" w:hAnsi="Montserrat" w:cs="Arial"/>
          <w:bCs/>
          <w:sz w:val="22"/>
          <w:szCs w:val="22"/>
          <w:lang w:val="es-MX"/>
        </w:rPr>
        <w:t>, así mismo la creación de 8 murales en espacios públicos de las comunidades de Collantes, Mancuernas, Buenavista, Pie de la cuesta, y Alto de las mesas,</w:t>
      </w:r>
      <w:r w:rsidR="00A1150E" w:rsidRPr="00913113">
        <w:rPr>
          <w:rFonts w:ascii="Montserrat" w:eastAsiaTheme="minorHAnsi" w:hAnsi="Montserrat" w:cs="Arial"/>
          <w:bCs/>
          <w:sz w:val="22"/>
          <w:szCs w:val="22"/>
          <w:lang w:val="es-MX"/>
        </w:rPr>
        <w:t xml:space="preserve"> </w:t>
      </w:r>
      <w:r w:rsidR="00B61DB0" w:rsidRPr="00913113">
        <w:rPr>
          <w:rFonts w:ascii="Montserrat" w:eastAsiaTheme="minorHAnsi" w:hAnsi="Montserrat" w:cs="Arial"/>
          <w:bCs/>
          <w:sz w:val="22"/>
          <w:szCs w:val="22"/>
          <w:lang w:val="es-MX"/>
        </w:rPr>
        <w:t xml:space="preserve"> San Juan </w:t>
      </w:r>
      <w:proofErr w:type="spellStart"/>
      <w:r w:rsidR="00B61DB0" w:rsidRPr="00913113">
        <w:rPr>
          <w:rFonts w:ascii="Montserrat" w:eastAsiaTheme="minorHAnsi" w:hAnsi="Montserrat" w:cs="Arial"/>
          <w:bCs/>
          <w:sz w:val="22"/>
          <w:szCs w:val="22"/>
          <w:lang w:val="es-MX"/>
        </w:rPr>
        <w:t>Cacahuatepec</w:t>
      </w:r>
      <w:proofErr w:type="spellEnd"/>
      <w:r w:rsidR="00B61DB0" w:rsidRPr="00913113">
        <w:rPr>
          <w:rFonts w:ascii="Montserrat" w:eastAsiaTheme="minorHAnsi" w:hAnsi="Montserrat" w:cs="Arial"/>
          <w:bCs/>
          <w:sz w:val="22"/>
          <w:szCs w:val="22"/>
          <w:lang w:val="es-MX"/>
        </w:rPr>
        <w:t xml:space="preserve"> y Santa María </w:t>
      </w:r>
      <w:proofErr w:type="spellStart"/>
      <w:r w:rsidR="00B61DB0" w:rsidRPr="00913113">
        <w:rPr>
          <w:rFonts w:ascii="Montserrat" w:eastAsiaTheme="minorHAnsi" w:hAnsi="Montserrat" w:cs="Arial"/>
          <w:bCs/>
          <w:sz w:val="22"/>
          <w:szCs w:val="22"/>
          <w:lang w:val="es-MX"/>
        </w:rPr>
        <w:t>Chicometepec</w:t>
      </w:r>
      <w:proofErr w:type="spellEnd"/>
      <w:r w:rsidR="00B61DB0" w:rsidRPr="00913113">
        <w:rPr>
          <w:rFonts w:ascii="Montserrat" w:eastAsiaTheme="minorHAnsi" w:hAnsi="Montserrat" w:cs="Arial"/>
          <w:bCs/>
          <w:sz w:val="22"/>
          <w:szCs w:val="22"/>
          <w:lang w:val="es-MX"/>
        </w:rPr>
        <w:t>. En el proceso participaron 40 personas entre ellos jóvenes, niños y niñas en edades de 7 a 25 años.</w:t>
      </w:r>
      <w:r w:rsidRPr="00913113">
        <w:rPr>
          <w:rFonts w:ascii="Montserrat" w:eastAsiaTheme="minorHAnsi" w:hAnsi="Montserrat" w:cs="Arial"/>
          <w:bCs/>
          <w:sz w:val="22"/>
          <w:szCs w:val="22"/>
          <w:lang w:val="es-MX"/>
        </w:rPr>
        <w:t xml:space="preserve"> Para las comunidades, el proyecto fue importante porque a través de los murales se habitaron espacios que le dieron luz y vida, realizado con traba</w:t>
      </w:r>
      <w:r w:rsidR="00913113" w:rsidRPr="00913113">
        <w:rPr>
          <w:rFonts w:ascii="Montserrat" w:eastAsiaTheme="minorHAnsi" w:hAnsi="Montserrat" w:cs="Arial"/>
          <w:bCs/>
          <w:sz w:val="22"/>
          <w:szCs w:val="22"/>
          <w:lang w:val="es-MX"/>
        </w:rPr>
        <w:t xml:space="preserve">jo comunitario. Uno de los </w:t>
      </w:r>
      <w:r w:rsidRPr="00913113">
        <w:rPr>
          <w:rFonts w:ascii="Montserrat" w:eastAsiaTheme="minorHAnsi" w:hAnsi="Montserrat" w:cs="Arial"/>
          <w:bCs/>
          <w:sz w:val="22"/>
          <w:szCs w:val="22"/>
          <w:lang w:val="es-MX"/>
        </w:rPr>
        <w:t xml:space="preserve">comentarios que hace alusión a este proceso fue “¡Ay, </w:t>
      </w:r>
      <w:proofErr w:type="gramStart"/>
      <w:r w:rsidR="004240DC" w:rsidRPr="00913113">
        <w:rPr>
          <w:rFonts w:ascii="Montserrat" w:eastAsiaTheme="minorHAnsi" w:hAnsi="Montserrat" w:cs="Arial"/>
          <w:bCs/>
          <w:sz w:val="22"/>
          <w:szCs w:val="22"/>
          <w:lang w:val="es-MX"/>
        </w:rPr>
        <w:t>qué</w:t>
      </w:r>
      <w:r w:rsidRPr="00913113">
        <w:rPr>
          <w:rFonts w:ascii="Montserrat" w:eastAsiaTheme="minorHAnsi" w:hAnsi="Montserrat" w:cs="Arial"/>
          <w:bCs/>
          <w:sz w:val="22"/>
          <w:szCs w:val="22"/>
          <w:lang w:val="es-MX"/>
        </w:rPr>
        <w:t xml:space="preserve"> bonito que se esté pintando aquí, le da más vida a mi pueblo!</w:t>
      </w:r>
      <w:proofErr w:type="gramEnd"/>
      <w:r w:rsidRPr="00913113">
        <w:rPr>
          <w:rFonts w:ascii="Montserrat" w:eastAsiaTheme="minorHAnsi" w:hAnsi="Montserrat" w:cs="Arial"/>
          <w:bCs/>
          <w:sz w:val="22"/>
          <w:szCs w:val="22"/>
          <w:lang w:val="es-MX"/>
        </w:rPr>
        <w:t>” (Alto de las mesas, 2022).</w:t>
      </w:r>
    </w:p>
    <w:p w14:paraId="15482578" w14:textId="77777777" w:rsidR="00B61DB0" w:rsidRPr="004240DC" w:rsidRDefault="00B61DB0" w:rsidP="004240DC">
      <w:pPr>
        <w:pStyle w:val="BodyText"/>
        <w:jc w:val="both"/>
        <w:rPr>
          <w:rFonts w:ascii="Montserrat" w:hAnsi="Montserrat"/>
          <w:sz w:val="22"/>
          <w:szCs w:val="22"/>
        </w:rPr>
      </w:pPr>
    </w:p>
    <w:p w14:paraId="0BD22DDC" w14:textId="77777777" w:rsidR="00772B20" w:rsidRPr="004240DC" w:rsidRDefault="004240DC" w:rsidP="004240DC">
      <w:pPr>
        <w:spacing w:after="0" w:line="240" w:lineRule="auto"/>
        <w:jc w:val="both"/>
        <w:rPr>
          <w:rFonts w:ascii="Montserrat" w:hAnsi="Montserrat"/>
          <w:b/>
        </w:rPr>
      </w:pPr>
      <w:r w:rsidRPr="004240DC">
        <w:rPr>
          <w:rFonts w:ascii="Montserrat" w:hAnsi="Montserrat" w:cs="Arial"/>
          <w:bCs/>
        </w:rPr>
        <w:t>Por su parte, la</w:t>
      </w:r>
      <w:r w:rsidR="00B61DB0" w:rsidRPr="004240DC">
        <w:rPr>
          <w:rFonts w:ascii="Montserrat" w:hAnsi="Montserrat" w:cs="Arial"/>
          <w:bCs/>
        </w:rPr>
        <w:t xml:space="preserve"> SCJN ha buscado garantizar la participación de las personas afrodescendientes a través del ejercicio de su derecho a la consulta. Por ejemplo, </w:t>
      </w:r>
      <w:r w:rsidR="00B61DB0" w:rsidRPr="004240DC">
        <w:rPr>
          <w:rFonts w:ascii="Montserrat" w:eastAsia="Montserrat Medium" w:hAnsi="Montserrat" w:cs="Arial"/>
          <w:lang w:eastAsia="es-ES_tradnl"/>
        </w:rPr>
        <w:t>en la</w:t>
      </w:r>
      <w:r w:rsidR="00B61DB0" w:rsidRPr="004240DC">
        <w:rPr>
          <w:rFonts w:ascii="Montserrat" w:eastAsia="Montserrat Medium" w:hAnsi="Montserrat" w:cs="Arial"/>
          <w:b/>
          <w:lang w:eastAsia="es-ES_tradnl"/>
        </w:rPr>
        <w:t xml:space="preserve"> Acción de inconstitucionalidad 285/2020</w:t>
      </w:r>
      <w:r w:rsidR="00B61DB0" w:rsidRPr="004240DC">
        <w:rPr>
          <w:rFonts w:ascii="Montserrat" w:eastAsia="Montserrat Medium" w:hAnsi="Montserrat" w:cs="Arial"/>
          <w:lang w:eastAsia="es-ES_tradnl"/>
        </w:rPr>
        <w:t>,</w:t>
      </w:r>
      <w:r w:rsidR="00B61DB0" w:rsidRPr="004240DC">
        <w:rPr>
          <w:rStyle w:val="FootnoteReference"/>
          <w:rFonts w:ascii="Montserrat" w:eastAsia="Montserrat Medium" w:hAnsi="Montserrat" w:cs="Arial"/>
          <w:lang w:eastAsia="es-ES_tradnl"/>
        </w:rPr>
        <w:footnoteReference w:id="5"/>
      </w:r>
      <w:r w:rsidR="00B61DB0" w:rsidRPr="004240DC">
        <w:rPr>
          <w:rFonts w:ascii="Montserrat" w:eastAsia="Montserrat Medium" w:hAnsi="Montserrat" w:cs="Arial"/>
          <w:lang w:eastAsia="es-ES_tradnl"/>
        </w:rPr>
        <w:t xml:space="preserve"> </w:t>
      </w:r>
      <w:r w:rsidR="00B61DB0" w:rsidRPr="00913113">
        <w:rPr>
          <w:rFonts w:ascii="Montserrat" w:hAnsi="Montserrat" w:cs="Arial"/>
          <w:bCs/>
        </w:rPr>
        <w:t xml:space="preserve">reiteró el alcance y contenido del derecho a la consulta de los pueblos y comunidades indígenas y </w:t>
      </w:r>
      <w:proofErr w:type="spellStart"/>
      <w:r w:rsidR="00B61DB0" w:rsidRPr="00913113">
        <w:rPr>
          <w:rFonts w:ascii="Montserrat" w:hAnsi="Montserrat" w:cs="Arial"/>
          <w:bCs/>
        </w:rPr>
        <w:t>afromexicanas</w:t>
      </w:r>
      <w:proofErr w:type="spellEnd"/>
      <w:r w:rsidR="00B61DB0" w:rsidRPr="00913113">
        <w:rPr>
          <w:rFonts w:ascii="Montserrat" w:hAnsi="Montserrat" w:cs="Arial"/>
          <w:bCs/>
        </w:rPr>
        <w:t xml:space="preserve">, y señaló que: a) debe preverse una fase adicional en el proceso legislativo cuando sea posible afectar sus derechos, con la finalidad de llevarla a cabo; </w:t>
      </w:r>
      <w:bookmarkStart w:id="0" w:name="_Hlk130399681"/>
      <w:r w:rsidR="00B61DB0" w:rsidRPr="00913113">
        <w:rPr>
          <w:rFonts w:ascii="Montserrat" w:hAnsi="Montserrat" w:cs="Arial"/>
          <w:bCs/>
        </w:rPr>
        <w:t>b)</w:t>
      </w:r>
      <w:bookmarkEnd w:id="0"/>
      <w:r w:rsidR="00B61DB0" w:rsidRPr="00913113">
        <w:rPr>
          <w:rFonts w:ascii="Montserrat" w:hAnsi="Montserrat" w:cs="Arial"/>
          <w:bCs/>
        </w:rPr>
        <w:t xml:space="preserve"> debe cumplir con los requisitos de ser previa, culturalmente adecuada, informada y de buena fe, y c) debe contar con etapas pre consultiva, informativa, de deliberación interna, de diálogo y de decisión.</w:t>
      </w:r>
    </w:p>
    <w:p w14:paraId="19360C6B" w14:textId="77777777" w:rsidR="000C464F" w:rsidRPr="00E96EBF" w:rsidRDefault="000C464F" w:rsidP="00E96EBF">
      <w:pPr>
        <w:pStyle w:val="Default"/>
        <w:jc w:val="both"/>
        <w:rPr>
          <w:rFonts w:ascii="Montserrat" w:hAnsi="Montserrat"/>
          <w:b/>
          <w:sz w:val="22"/>
          <w:szCs w:val="22"/>
        </w:rPr>
      </w:pPr>
    </w:p>
    <w:p w14:paraId="498720E3" w14:textId="77777777" w:rsidR="000C464F" w:rsidRPr="00E96EBF" w:rsidRDefault="000C464F" w:rsidP="00E96EBF">
      <w:pPr>
        <w:pStyle w:val="Default"/>
        <w:numPr>
          <w:ilvl w:val="0"/>
          <w:numId w:val="3"/>
        </w:numPr>
        <w:jc w:val="both"/>
        <w:rPr>
          <w:rFonts w:ascii="Montserrat" w:hAnsi="Montserrat"/>
          <w:b/>
          <w:sz w:val="22"/>
          <w:szCs w:val="22"/>
        </w:rPr>
      </w:pPr>
      <w:r w:rsidRPr="00E96EBF">
        <w:rPr>
          <w:rFonts w:ascii="Montserrat" w:hAnsi="Montserrat"/>
          <w:b/>
          <w:sz w:val="22"/>
          <w:szCs w:val="22"/>
        </w:rPr>
        <w:t xml:space="preserve">La promoción y la protección de los derechos humanos y las libertades fundamentales de los africanos y los afrodescendientes frente al uso excesivo de la fuerza y otras violaciones de los derechos humanos por agentes del orden (párrafo 24). </w:t>
      </w:r>
    </w:p>
    <w:p w14:paraId="60059142" w14:textId="77777777" w:rsidR="000C464F" w:rsidRPr="00E96EBF" w:rsidRDefault="000C464F" w:rsidP="00E96EBF">
      <w:pPr>
        <w:pStyle w:val="Default"/>
        <w:jc w:val="both"/>
        <w:rPr>
          <w:rFonts w:ascii="Montserrat" w:hAnsi="Montserrat"/>
          <w:b/>
          <w:sz w:val="22"/>
          <w:szCs w:val="22"/>
        </w:rPr>
      </w:pPr>
    </w:p>
    <w:p w14:paraId="50A2874A" w14:textId="77777777" w:rsidR="00B61DB0" w:rsidRDefault="00B61DB0" w:rsidP="00E96EBF">
      <w:pPr>
        <w:spacing w:after="0" w:line="240" w:lineRule="auto"/>
        <w:jc w:val="both"/>
        <w:rPr>
          <w:rFonts w:ascii="Montserrat" w:eastAsia="Cambria" w:hAnsi="Montserrat" w:cs="Arial"/>
          <w:color w:val="000000" w:themeColor="text1"/>
        </w:rPr>
      </w:pPr>
      <w:r w:rsidRPr="00E96EBF">
        <w:rPr>
          <w:rFonts w:ascii="Montserrat" w:hAnsi="Montserrat" w:cs="Arial"/>
          <w:bCs/>
        </w:rPr>
        <w:lastRenderedPageBreak/>
        <w:t xml:space="preserve">En </w:t>
      </w:r>
      <w:r w:rsidRPr="00E96EBF">
        <w:rPr>
          <w:rFonts w:ascii="Montserrat" w:eastAsia="Cambria" w:hAnsi="Montserrat" w:cs="Arial"/>
          <w:color w:val="000000" w:themeColor="text1"/>
        </w:rPr>
        <w:t xml:space="preserve">el </w:t>
      </w:r>
      <w:r w:rsidRPr="00E96EBF">
        <w:rPr>
          <w:rFonts w:ascii="Montserrat" w:eastAsia="Cambria" w:hAnsi="Montserrat" w:cs="Arial"/>
          <w:b/>
          <w:bCs/>
          <w:color w:val="000000" w:themeColor="text1"/>
        </w:rPr>
        <w:t>Amparo directo en revisión 3153/2014</w:t>
      </w:r>
      <w:r w:rsidRPr="00E96EBF">
        <w:rPr>
          <w:rFonts w:ascii="Montserrat" w:eastAsia="Cambria" w:hAnsi="Montserrat" w:cs="Arial"/>
          <w:color w:val="000000" w:themeColor="text1"/>
        </w:rPr>
        <w:t>,</w:t>
      </w:r>
      <w:r w:rsidRPr="00E96EBF">
        <w:rPr>
          <w:rFonts w:ascii="Montserrat" w:eastAsia="Cambria" w:hAnsi="Montserrat" w:cs="Arial"/>
          <w:color w:val="000000" w:themeColor="text1"/>
          <w:vertAlign w:val="superscript"/>
        </w:rPr>
        <w:footnoteReference w:id="6"/>
      </w:r>
      <w:r w:rsidRPr="00E96EBF">
        <w:rPr>
          <w:rFonts w:ascii="Montserrat" w:eastAsia="Cambria" w:hAnsi="Montserrat" w:cs="Arial"/>
          <w:color w:val="000000" w:themeColor="text1"/>
        </w:rPr>
        <w:t xml:space="preserve"> </w:t>
      </w:r>
      <w:r w:rsidR="004240DC">
        <w:rPr>
          <w:rFonts w:ascii="Montserrat" w:eastAsia="Cambria" w:hAnsi="Montserrat" w:cs="Arial"/>
          <w:color w:val="000000" w:themeColor="text1"/>
        </w:rPr>
        <w:t xml:space="preserve">se </w:t>
      </w:r>
      <w:r w:rsidRPr="00E96EBF">
        <w:rPr>
          <w:rFonts w:ascii="Montserrat" w:eastAsia="Cambria" w:hAnsi="Montserrat" w:cs="Arial"/>
          <w:color w:val="000000" w:themeColor="text1"/>
        </w:rPr>
        <w:t xml:space="preserve">determinó que para que las detenciones no sean arbitrarias: a) el empleo de la fuerza debe ser estrictamente necesario; b) las personas funcionarias facultadas para llevar a cabo los arrestos deben estar debidamente identificadas; c) deben exponerse las razones de la detención; d) debe establecerse a los agentes bajo los cuales queda la responsabilidad de la persona detenida, lo que implica una clara cadena de custodia; d) debe verificarse la identidad de la persona detenida; y e) debe constar en un documento la información completa e inmediata de la puesta a disposición de la persona detenida ante la autoridad que califique su detención. </w:t>
      </w:r>
    </w:p>
    <w:p w14:paraId="062CF475" w14:textId="77777777" w:rsidR="00EF1BB1" w:rsidRPr="00E96EBF" w:rsidRDefault="00EF1BB1" w:rsidP="00E96EBF">
      <w:pPr>
        <w:spacing w:after="0" w:line="240" w:lineRule="auto"/>
        <w:jc w:val="both"/>
        <w:rPr>
          <w:rFonts w:ascii="Montserrat" w:eastAsia="Cambria" w:hAnsi="Montserrat" w:cs="Arial"/>
          <w:color w:val="000000" w:themeColor="text1"/>
        </w:rPr>
      </w:pPr>
    </w:p>
    <w:p w14:paraId="05AAE66D" w14:textId="77777777" w:rsidR="00B61DB0" w:rsidRPr="00E96EBF" w:rsidRDefault="00B61DB0" w:rsidP="00E96EBF">
      <w:pPr>
        <w:spacing w:after="0" w:line="240" w:lineRule="auto"/>
        <w:jc w:val="both"/>
        <w:rPr>
          <w:rFonts w:ascii="Montserrat" w:hAnsi="Montserrat" w:cs="Arial"/>
          <w:bCs/>
        </w:rPr>
      </w:pPr>
      <w:r w:rsidRPr="00E96EBF">
        <w:rPr>
          <w:rFonts w:ascii="Montserrat" w:eastAsia="Cambria" w:hAnsi="Montserrat" w:cs="Arial"/>
          <w:color w:val="000000" w:themeColor="text1"/>
        </w:rPr>
        <w:t xml:space="preserve">Además, en la </w:t>
      </w:r>
      <w:r w:rsidRPr="00E96EBF">
        <w:rPr>
          <w:rFonts w:ascii="Montserrat" w:eastAsia="Cambria" w:hAnsi="Montserrat" w:cs="Arial"/>
          <w:b/>
          <w:bCs/>
          <w:color w:val="000000" w:themeColor="text1"/>
        </w:rPr>
        <w:t>Acción de inconstitucionalidad 25/2016 y sus acumuladas</w:t>
      </w:r>
      <w:r w:rsidRPr="00E96EBF">
        <w:rPr>
          <w:rFonts w:ascii="Montserrat" w:eastAsia="Cambria" w:hAnsi="Montserrat" w:cs="Arial"/>
          <w:color w:val="000000" w:themeColor="text1"/>
        </w:rPr>
        <w:t>,</w:t>
      </w:r>
      <w:r w:rsidRPr="00E96EBF">
        <w:rPr>
          <w:rFonts w:ascii="Montserrat" w:eastAsia="Cambria" w:hAnsi="Montserrat" w:cs="Arial"/>
          <w:color w:val="000000" w:themeColor="text1"/>
          <w:vertAlign w:val="superscript"/>
        </w:rPr>
        <w:footnoteReference w:id="7"/>
      </w:r>
      <w:r w:rsidRPr="00E96EBF">
        <w:rPr>
          <w:rFonts w:ascii="Montserrat" w:eastAsia="Cambria" w:hAnsi="Montserrat" w:cs="Arial"/>
          <w:color w:val="000000" w:themeColor="text1"/>
        </w:rPr>
        <w:t xml:space="preserve"> señaló que las facultades de los cuerpos de seguridad del Estado están limitadas por el respeto de los derechos humanos, y que el uso de la fuerza se rige por los principios de legalidad, absoluta necesidad, proporcionalidad y rendición de cuentas. </w:t>
      </w:r>
    </w:p>
    <w:p w14:paraId="0856A6BD" w14:textId="77777777" w:rsidR="000C464F" w:rsidRPr="00E96EBF" w:rsidRDefault="000C464F" w:rsidP="00E96EBF">
      <w:pPr>
        <w:pStyle w:val="Default"/>
        <w:jc w:val="both"/>
        <w:rPr>
          <w:rFonts w:ascii="Montserrat" w:hAnsi="Montserrat"/>
          <w:b/>
          <w:sz w:val="22"/>
          <w:szCs w:val="22"/>
        </w:rPr>
      </w:pPr>
    </w:p>
    <w:p w14:paraId="7F474A8B" w14:textId="77777777" w:rsidR="000C464F" w:rsidRPr="00E96EBF" w:rsidRDefault="000C464F" w:rsidP="00E96EBF">
      <w:pPr>
        <w:pStyle w:val="Default"/>
        <w:numPr>
          <w:ilvl w:val="0"/>
          <w:numId w:val="3"/>
        </w:numPr>
        <w:jc w:val="both"/>
        <w:rPr>
          <w:rFonts w:ascii="Montserrat" w:hAnsi="Montserrat"/>
          <w:b/>
          <w:sz w:val="22"/>
          <w:szCs w:val="22"/>
        </w:rPr>
      </w:pPr>
      <w:r w:rsidRPr="00E96EBF">
        <w:rPr>
          <w:rFonts w:ascii="Montserrat" w:hAnsi="Montserrat"/>
          <w:b/>
          <w:sz w:val="22"/>
          <w:szCs w:val="22"/>
        </w:rPr>
        <w:t xml:space="preserve">La discriminación racial y la desigualdad que experimentan los niños y los jóvenes afrodescendientes en todos los ámbitos de la vida, como la administración de justicia, la aplicación de la ley, la educación, la salud, la vida familiar y el desarrollo (párrafo 20). </w:t>
      </w:r>
    </w:p>
    <w:p w14:paraId="6D03A4F0" w14:textId="77777777" w:rsidR="000C464F" w:rsidRPr="00E96EBF" w:rsidRDefault="000C464F" w:rsidP="00E96EBF">
      <w:pPr>
        <w:pStyle w:val="ListParagraph"/>
        <w:spacing w:after="0" w:line="240" w:lineRule="auto"/>
        <w:jc w:val="both"/>
        <w:rPr>
          <w:rFonts w:ascii="Montserrat" w:hAnsi="Montserrat"/>
          <w:b/>
        </w:rPr>
      </w:pPr>
    </w:p>
    <w:p w14:paraId="3FDB8180" w14:textId="77777777" w:rsidR="00772B20" w:rsidRPr="00E96EBF" w:rsidRDefault="00B61DB0" w:rsidP="004240DC">
      <w:pPr>
        <w:pStyle w:val="ListParagraph"/>
        <w:spacing w:after="0" w:line="240" w:lineRule="auto"/>
        <w:ind w:left="0"/>
        <w:jc w:val="both"/>
        <w:rPr>
          <w:rFonts w:ascii="Montserrat" w:hAnsi="Montserrat"/>
          <w:b/>
        </w:rPr>
      </w:pPr>
      <w:r w:rsidRPr="00E96EBF">
        <w:rPr>
          <w:rFonts w:ascii="Montserrat" w:hAnsi="Montserrat" w:cs="Arial"/>
          <w:bCs/>
        </w:rPr>
        <w:t xml:space="preserve">En relación con el derecho a la educación, en el </w:t>
      </w:r>
      <w:r w:rsidRPr="00E96EBF">
        <w:rPr>
          <w:rFonts w:ascii="Montserrat" w:hAnsi="Montserrat" w:cs="Arial"/>
          <w:b/>
        </w:rPr>
        <w:t>Amparo en revisión 272/2019</w:t>
      </w:r>
      <w:r w:rsidRPr="00E96EBF">
        <w:rPr>
          <w:rFonts w:ascii="Montserrat" w:hAnsi="Montserrat" w:cs="Arial"/>
          <w:bCs/>
        </w:rPr>
        <w:t>,</w:t>
      </w:r>
      <w:r w:rsidRPr="00E96EBF">
        <w:rPr>
          <w:rStyle w:val="FootnoteReference"/>
          <w:rFonts w:ascii="Montserrat" w:hAnsi="Montserrat" w:cs="Arial"/>
          <w:bCs/>
        </w:rPr>
        <w:footnoteReference w:id="8"/>
      </w:r>
      <w:r w:rsidRPr="00E96EBF">
        <w:rPr>
          <w:rFonts w:ascii="Montserrat" w:hAnsi="Montserrat" w:cs="Arial"/>
          <w:bCs/>
        </w:rPr>
        <w:t xml:space="preserve"> la SCJN conoció de un asunto donde una niña con discapacidad, perteneciente a una comunidad indígena alegaba que se había vulnerado su derecho a la educación inclusiva. En la sentencia, se señaló que un sistema educativo incluyente abarca a todos los grupos que se encuentren en una situación de desventaja histórica y estructural. Además, indicó que, si una persona vive con más de un factor de exclusión, se posibilita una “acumulación de desventajas”, cuestión que puede acentuar la discriminación en su contra</w:t>
      </w:r>
    </w:p>
    <w:p w14:paraId="6303DE25" w14:textId="77777777" w:rsidR="000C464F" w:rsidRPr="00E96EBF" w:rsidRDefault="000C464F" w:rsidP="00E96EBF">
      <w:pPr>
        <w:pStyle w:val="Default"/>
        <w:jc w:val="both"/>
        <w:rPr>
          <w:rFonts w:ascii="Montserrat" w:hAnsi="Montserrat"/>
          <w:b/>
          <w:sz w:val="22"/>
          <w:szCs w:val="22"/>
        </w:rPr>
      </w:pPr>
    </w:p>
    <w:p w14:paraId="266E18B2" w14:textId="77777777" w:rsidR="00B61DB0" w:rsidRPr="00E96EBF" w:rsidRDefault="000C464F" w:rsidP="00E96EBF">
      <w:pPr>
        <w:pStyle w:val="Default"/>
        <w:numPr>
          <w:ilvl w:val="0"/>
          <w:numId w:val="3"/>
        </w:numPr>
        <w:jc w:val="both"/>
        <w:rPr>
          <w:rFonts w:ascii="Montserrat" w:hAnsi="Montserrat"/>
          <w:b/>
          <w:sz w:val="22"/>
          <w:szCs w:val="22"/>
        </w:rPr>
      </w:pPr>
      <w:r w:rsidRPr="00E96EBF">
        <w:rPr>
          <w:rFonts w:ascii="Montserrat" w:hAnsi="Montserrat"/>
          <w:b/>
          <w:sz w:val="22"/>
          <w:szCs w:val="22"/>
        </w:rPr>
        <w:t xml:space="preserve">El racismo, la discriminación racial, la xenofobia y las formas conexas de intolerancia que a menudo son blanco los migrantes y los refugiados (párrafos 9 y 10 del preámbulo). </w:t>
      </w:r>
    </w:p>
    <w:p w14:paraId="68B623AD" w14:textId="77777777" w:rsidR="00B61DB0" w:rsidRPr="00E96EBF" w:rsidRDefault="00B61DB0" w:rsidP="00E96EBF">
      <w:pPr>
        <w:pStyle w:val="Default"/>
        <w:jc w:val="both"/>
        <w:rPr>
          <w:rFonts w:ascii="Montserrat" w:hAnsi="Montserrat"/>
          <w:b/>
          <w:sz w:val="22"/>
          <w:szCs w:val="22"/>
        </w:rPr>
      </w:pPr>
    </w:p>
    <w:p w14:paraId="2E839AD6" w14:textId="77777777" w:rsidR="00A1150E" w:rsidRDefault="00B61DB0" w:rsidP="00A1150E">
      <w:pPr>
        <w:spacing w:after="0" w:line="240" w:lineRule="auto"/>
        <w:jc w:val="both"/>
        <w:textAlignment w:val="baseline"/>
        <w:rPr>
          <w:rFonts w:ascii="Montserrat" w:eastAsia="MS Mincho" w:hAnsi="Montserrat" w:cs="Arial"/>
        </w:rPr>
      </w:pPr>
      <w:r w:rsidRPr="00E96EBF">
        <w:rPr>
          <w:rFonts w:ascii="Montserrat" w:eastAsia="MS Mincho" w:hAnsi="Montserrat" w:cs="Arial"/>
        </w:rPr>
        <w:t xml:space="preserve">En el </w:t>
      </w:r>
      <w:r w:rsidRPr="00E96EBF">
        <w:rPr>
          <w:rFonts w:ascii="Montserrat" w:eastAsia="MS Mincho" w:hAnsi="Montserrat" w:cs="Arial"/>
          <w:b/>
        </w:rPr>
        <w:t>Amparo en revisión 275/2019</w:t>
      </w:r>
      <w:r w:rsidRPr="00E96EBF">
        <w:rPr>
          <w:rFonts w:ascii="Montserrat" w:eastAsia="MS Mincho" w:hAnsi="Montserrat" w:cs="Arial"/>
          <w:bCs/>
        </w:rPr>
        <w:t>,</w:t>
      </w:r>
      <w:r w:rsidRPr="00E96EBF">
        <w:rPr>
          <w:rFonts w:ascii="Montserrat" w:eastAsia="MS Mincho" w:hAnsi="Montserrat" w:cs="Arial"/>
          <w:vertAlign w:val="superscript"/>
        </w:rPr>
        <w:footnoteReference w:id="9"/>
      </w:r>
      <w:r w:rsidRPr="00E96EBF">
        <w:rPr>
          <w:rFonts w:ascii="Montserrat" w:eastAsia="MS Mincho" w:hAnsi="Montserrat" w:cs="Arial"/>
          <w:bCs/>
        </w:rPr>
        <w:t xml:space="preserve"> </w:t>
      </w:r>
      <w:r w:rsidRPr="00E96EBF">
        <w:rPr>
          <w:rFonts w:ascii="Montserrat" w:eastAsia="MS Mincho" w:hAnsi="Montserrat" w:cs="Arial"/>
        </w:rPr>
        <w:t xml:space="preserve">la SCJN determinó que la revisión migratoria, tal y como estaba regulada en ese momento, resultaba violatoria del derecho a la igualdad y no discriminación porque generaba impactos desproporcionados en las comunidades indígenas y </w:t>
      </w:r>
      <w:proofErr w:type="spellStart"/>
      <w:r w:rsidRPr="00E96EBF">
        <w:rPr>
          <w:rFonts w:ascii="Montserrat" w:eastAsia="MS Mincho" w:hAnsi="Montserrat" w:cs="Arial"/>
        </w:rPr>
        <w:t>afromexicanas</w:t>
      </w:r>
      <w:proofErr w:type="spellEnd"/>
      <w:r w:rsidRPr="00E96EBF">
        <w:rPr>
          <w:rFonts w:ascii="Montserrat" w:eastAsia="MS Mincho" w:hAnsi="Montserrat" w:cs="Arial"/>
        </w:rPr>
        <w:t>. Además, señaló que ante la falta de parámetros objetivos que permitan a las autoridades llevar a cabo las revisiones sin atender a perfiles raciales, se posibilita que las realicen de manera aleatoria con base en aspectos como el origen étnico, color de piel e idioma, lo que podría generar una discriminación indirecta en contra de algunos sectores de la población.</w:t>
      </w:r>
    </w:p>
    <w:p w14:paraId="09D7C84E" w14:textId="77777777" w:rsidR="00A1150E" w:rsidRDefault="00A1150E" w:rsidP="00A1150E">
      <w:pPr>
        <w:spacing w:after="0" w:line="240" w:lineRule="auto"/>
        <w:jc w:val="both"/>
        <w:textAlignment w:val="baseline"/>
        <w:rPr>
          <w:rFonts w:ascii="Montserrat" w:eastAsia="MS Mincho" w:hAnsi="Montserrat" w:cs="Arial"/>
        </w:rPr>
      </w:pPr>
    </w:p>
    <w:p w14:paraId="362C1388" w14:textId="77777777" w:rsidR="00B61DB0" w:rsidRPr="00A1150E" w:rsidRDefault="00A1150E" w:rsidP="00A1150E">
      <w:pPr>
        <w:spacing w:after="0" w:line="240" w:lineRule="auto"/>
        <w:jc w:val="both"/>
        <w:textAlignment w:val="baseline"/>
        <w:rPr>
          <w:rFonts w:ascii="Montserrat" w:hAnsi="Montserrat" w:cs="Arial"/>
        </w:rPr>
      </w:pPr>
      <w:r>
        <w:rPr>
          <w:rFonts w:ascii="Montserrat" w:eastAsia="MS Mincho" w:hAnsi="Montserrat" w:cs="Arial"/>
        </w:rPr>
        <w:t>Por otro lado, la SCJN ha implementado algunas medidas</w:t>
      </w:r>
      <w:r w:rsidR="00B61DB0" w:rsidRPr="00E96EBF">
        <w:rPr>
          <w:rFonts w:ascii="Montserrat" w:hAnsi="Montserrat" w:cs="Arial"/>
          <w:bCs/>
        </w:rPr>
        <w:t xml:space="preserve"> con el objetivo de eliminar el racismo, la discriminación racial, la xenofobia y las formas conexas de intolerancia en contra de las personas migrantes y en situación de movilidad, los pueblos indígenas y las comunidades afrodescendientes.</w:t>
      </w:r>
      <w:r>
        <w:rPr>
          <w:rFonts w:ascii="Montserrat" w:hAnsi="Montserrat" w:cs="Arial"/>
          <w:bCs/>
        </w:rPr>
        <w:t xml:space="preserve"> Ejemplo de ello es publicación</w:t>
      </w:r>
      <w:r w:rsidR="00B61DB0" w:rsidRPr="00A1150E">
        <w:rPr>
          <w:rFonts w:ascii="Montserrat" w:hAnsi="Montserrat" w:cs="Arial"/>
          <w:lang w:eastAsia="es-ES_tradnl"/>
        </w:rPr>
        <w:t xml:space="preserve"> </w:t>
      </w:r>
      <w:r>
        <w:rPr>
          <w:rFonts w:ascii="Montserrat" w:hAnsi="Montserrat" w:cs="Arial"/>
          <w:lang w:eastAsia="es-ES_tradnl"/>
        </w:rPr>
        <w:t>d</w:t>
      </w:r>
      <w:r w:rsidR="00B61DB0" w:rsidRPr="00A1150E">
        <w:rPr>
          <w:rFonts w:ascii="Montserrat" w:hAnsi="Montserrat" w:cs="Arial"/>
          <w:lang w:eastAsia="es-ES_tradnl"/>
        </w:rPr>
        <w:t>el Manual sobre los efectos de los estereotipos en la impartición de justicia</w:t>
      </w:r>
      <w:r w:rsidR="00B61DB0" w:rsidRPr="00A1150E">
        <w:rPr>
          <w:rStyle w:val="FootnoteReference"/>
          <w:rFonts w:ascii="Montserrat" w:hAnsi="Montserrat" w:cs="Arial"/>
          <w:lang w:eastAsia="es-ES_tradnl"/>
        </w:rPr>
        <w:footnoteReference w:id="10"/>
      </w:r>
      <w:r>
        <w:rPr>
          <w:rFonts w:ascii="Montserrat" w:hAnsi="Montserrat" w:cs="Arial"/>
          <w:lang w:eastAsia="es-ES_tradnl"/>
        </w:rPr>
        <w:t xml:space="preserve">; el </w:t>
      </w:r>
      <w:r w:rsidR="00B61DB0" w:rsidRPr="00A1150E">
        <w:rPr>
          <w:rFonts w:ascii="Montserrat" w:eastAsia="Montserrat Medium" w:hAnsi="Montserrat" w:cs="Arial"/>
          <w:bCs/>
          <w:iCs/>
          <w:lang w:eastAsia="es-ES_tradnl"/>
        </w:rPr>
        <w:t>Manual sobre Desplazamiento Interno</w:t>
      </w:r>
      <w:r w:rsidR="00B61DB0" w:rsidRPr="00A1150E">
        <w:rPr>
          <w:rStyle w:val="FootnoteReference"/>
          <w:rFonts w:ascii="Montserrat" w:eastAsia="Montserrat Medium" w:hAnsi="Montserrat" w:cs="Arial"/>
          <w:lang w:eastAsia="es-ES_tradnl"/>
        </w:rPr>
        <w:footnoteReference w:id="11"/>
      </w:r>
      <w:r>
        <w:rPr>
          <w:rFonts w:ascii="Montserrat" w:eastAsia="Montserrat Medium" w:hAnsi="Montserrat" w:cs="Arial"/>
          <w:bCs/>
          <w:iCs/>
          <w:lang w:eastAsia="es-ES_tradnl"/>
        </w:rPr>
        <w:t xml:space="preserve">; </w:t>
      </w:r>
      <w:r w:rsidR="00B61DB0" w:rsidRPr="00A1150E">
        <w:rPr>
          <w:rFonts w:ascii="Montserrat" w:hAnsi="Montserrat" w:cs="Arial"/>
        </w:rPr>
        <w:t xml:space="preserve">la versión actualizada del </w:t>
      </w:r>
      <w:r w:rsidR="00B61DB0" w:rsidRPr="00A1150E">
        <w:rPr>
          <w:rFonts w:ascii="Montserrat" w:hAnsi="Montserrat" w:cs="Arial"/>
          <w:bCs/>
        </w:rPr>
        <w:t xml:space="preserve">Protocolo para juzgar </w:t>
      </w:r>
      <w:r w:rsidR="00B61DB0" w:rsidRPr="00A1150E">
        <w:rPr>
          <w:rFonts w:ascii="Montserrat" w:hAnsi="Montserrat" w:cs="Arial"/>
          <w:bCs/>
        </w:rPr>
        <w:lastRenderedPageBreak/>
        <w:t>con perspectiva intercultural: personas, pueblos y comunidades indígenas</w:t>
      </w:r>
      <w:r w:rsidR="00B61DB0" w:rsidRPr="00A1150E">
        <w:rPr>
          <w:rStyle w:val="FootnoteReference"/>
          <w:rFonts w:ascii="Montserrat" w:hAnsi="Montserrat" w:cs="Arial"/>
        </w:rPr>
        <w:footnoteReference w:id="12"/>
      </w:r>
      <w:r>
        <w:rPr>
          <w:rFonts w:ascii="Montserrat" w:hAnsi="Montserrat" w:cs="Arial"/>
          <w:bCs/>
        </w:rPr>
        <w:t xml:space="preserve">; y el </w:t>
      </w:r>
      <w:r w:rsidR="00B61DB0" w:rsidRPr="00A1150E">
        <w:rPr>
          <w:rFonts w:ascii="Montserrat" w:eastAsia="Montserrat Medium" w:hAnsi="Montserrat" w:cs="Arial"/>
          <w:bCs/>
          <w:iCs/>
          <w:lang w:eastAsia="es-ES_tradnl"/>
        </w:rPr>
        <w:t xml:space="preserve">Protocolo para juzgar con perspectiva intercultural: personas, pueblos y comunidades afrodescendientes y </w:t>
      </w:r>
      <w:proofErr w:type="spellStart"/>
      <w:r w:rsidR="00B61DB0" w:rsidRPr="00A1150E">
        <w:rPr>
          <w:rFonts w:ascii="Montserrat" w:eastAsia="Montserrat Medium" w:hAnsi="Montserrat" w:cs="Arial"/>
          <w:bCs/>
          <w:iCs/>
          <w:lang w:eastAsia="es-ES_tradnl"/>
        </w:rPr>
        <w:t>afromexicanas</w:t>
      </w:r>
      <w:proofErr w:type="spellEnd"/>
      <w:r w:rsidR="00B61DB0" w:rsidRPr="00A1150E">
        <w:rPr>
          <w:rFonts w:ascii="Montserrat" w:eastAsia="Montserrat Medium" w:hAnsi="Montserrat" w:cs="Arial"/>
          <w:bCs/>
          <w:iCs/>
          <w:lang w:eastAsia="es-ES_tradnl"/>
        </w:rPr>
        <w:t>.</w:t>
      </w:r>
      <w:r w:rsidR="00B61DB0" w:rsidRPr="00A1150E">
        <w:rPr>
          <w:rStyle w:val="FootnoteReference"/>
          <w:rFonts w:ascii="Montserrat" w:eastAsia="Montserrat Medium" w:hAnsi="Montserrat" w:cs="Arial"/>
          <w:iCs/>
          <w:lang w:eastAsia="es-ES_tradnl"/>
        </w:rPr>
        <w:footnoteReference w:id="13"/>
      </w:r>
    </w:p>
    <w:p w14:paraId="53F60EEA" w14:textId="77777777" w:rsidR="00B61DB0" w:rsidRPr="00772B20" w:rsidRDefault="00B61DB0" w:rsidP="00B61DB0">
      <w:pPr>
        <w:pStyle w:val="Default"/>
        <w:jc w:val="both"/>
        <w:rPr>
          <w:rFonts w:ascii="Montserrat" w:hAnsi="Montserrat"/>
          <w:b/>
          <w:sz w:val="22"/>
          <w:szCs w:val="23"/>
        </w:rPr>
      </w:pPr>
    </w:p>
    <w:sectPr w:rsidR="00B61DB0" w:rsidRPr="00772B20" w:rsidSect="000E5E04">
      <w:headerReference w:type="default" r:id="rId10"/>
      <w:footerReference w:type="default" r:id="rId11"/>
      <w:pgSz w:w="12240" w:h="15840" w:code="1"/>
      <w:pgMar w:top="720" w:right="720" w:bottom="567" w:left="720" w:header="720"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27F78" w14:textId="77777777" w:rsidR="00030F71" w:rsidRDefault="00030F71" w:rsidP="000C464F">
      <w:pPr>
        <w:spacing w:after="0" w:line="240" w:lineRule="auto"/>
      </w:pPr>
      <w:r>
        <w:separator/>
      </w:r>
    </w:p>
  </w:endnote>
  <w:endnote w:type="continuationSeparator" w:id="0">
    <w:p w14:paraId="4266276A" w14:textId="77777777" w:rsidR="00030F71" w:rsidRDefault="00030F71" w:rsidP="000C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0F9A" w14:textId="77777777" w:rsidR="000C464F" w:rsidRPr="000C464F" w:rsidRDefault="000C464F" w:rsidP="000C464F">
    <w:pPr>
      <w:pStyle w:val="Footer"/>
      <w:jc w:val="right"/>
      <w:rPr>
        <w:rFonts w:ascii="Montserrat" w:hAnsi="Montserrat"/>
        <w:b/>
        <w:sz w:val="16"/>
      </w:rPr>
    </w:pPr>
    <w:r w:rsidRPr="000C464F">
      <w:rPr>
        <w:rFonts w:ascii="Montserrat" w:hAnsi="Montserrat"/>
        <w:b/>
        <w:sz w:val="16"/>
        <w:lang w:val="es-ES"/>
      </w:rPr>
      <w:t xml:space="preserve">Página </w:t>
    </w:r>
    <w:r w:rsidRPr="000C464F">
      <w:rPr>
        <w:rFonts w:ascii="Montserrat" w:hAnsi="Montserrat"/>
        <w:b/>
        <w:sz w:val="16"/>
      </w:rPr>
      <w:fldChar w:fldCharType="begin"/>
    </w:r>
    <w:r w:rsidRPr="000C464F">
      <w:rPr>
        <w:rFonts w:ascii="Montserrat" w:hAnsi="Montserrat"/>
        <w:b/>
        <w:sz w:val="16"/>
      </w:rPr>
      <w:instrText>PAGE  \* Arabic  \* MERGEFORMAT</w:instrText>
    </w:r>
    <w:r w:rsidRPr="000C464F">
      <w:rPr>
        <w:rFonts w:ascii="Montserrat" w:hAnsi="Montserrat"/>
        <w:b/>
        <w:sz w:val="16"/>
      </w:rPr>
      <w:fldChar w:fldCharType="separate"/>
    </w:r>
    <w:r w:rsidR="00913113" w:rsidRPr="00913113">
      <w:rPr>
        <w:rFonts w:ascii="Montserrat" w:hAnsi="Montserrat"/>
        <w:b/>
        <w:noProof/>
        <w:sz w:val="16"/>
        <w:lang w:val="es-ES"/>
      </w:rPr>
      <w:t>2</w:t>
    </w:r>
    <w:r w:rsidRPr="000C464F">
      <w:rPr>
        <w:rFonts w:ascii="Montserrat" w:hAnsi="Montserrat"/>
        <w:b/>
        <w:sz w:val="16"/>
      </w:rPr>
      <w:fldChar w:fldCharType="end"/>
    </w:r>
    <w:r w:rsidRPr="000C464F">
      <w:rPr>
        <w:rFonts w:ascii="Montserrat" w:hAnsi="Montserrat"/>
        <w:b/>
        <w:sz w:val="16"/>
        <w:lang w:val="es-ES"/>
      </w:rPr>
      <w:t xml:space="preserve"> de </w:t>
    </w:r>
    <w:r w:rsidRPr="000C464F">
      <w:rPr>
        <w:rFonts w:ascii="Montserrat" w:hAnsi="Montserrat"/>
        <w:b/>
        <w:sz w:val="16"/>
      </w:rPr>
      <w:fldChar w:fldCharType="begin"/>
    </w:r>
    <w:r w:rsidRPr="000C464F">
      <w:rPr>
        <w:rFonts w:ascii="Montserrat" w:hAnsi="Montserrat"/>
        <w:b/>
        <w:sz w:val="16"/>
      </w:rPr>
      <w:instrText>NUMPAGES  \* Arabic  \* MERGEFORMAT</w:instrText>
    </w:r>
    <w:r w:rsidRPr="000C464F">
      <w:rPr>
        <w:rFonts w:ascii="Montserrat" w:hAnsi="Montserrat"/>
        <w:b/>
        <w:sz w:val="16"/>
      </w:rPr>
      <w:fldChar w:fldCharType="separate"/>
    </w:r>
    <w:r w:rsidR="00913113" w:rsidRPr="00913113">
      <w:rPr>
        <w:rFonts w:ascii="Montserrat" w:hAnsi="Montserrat"/>
        <w:b/>
        <w:noProof/>
        <w:sz w:val="16"/>
        <w:lang w:val="es-ES"/>
      </w:rPr>
      <w:t>4</w:t>
    </w:r>
    <w:r w:rsidRPr="000C464F">
      <w:rPr>
        <w:rFonts w:ascii="Montserrat" w:hAnsi="Montserrat"/>
        <w:b/>
        <w:sz w:val="16"/>
      </w:rPr>
      <w:fldChar w:fldCharType="end"/>
    </w:r>
  </w:p>
  <w:p w14:paraId="38C15A57" w14:textId="77777777" w:rsidR="000C464F" w:rsidRDefault="000C4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FDED" w14:textId="77777777" w:rsidR="00030F71" w:rsidRDefault="00030F71" w:rsidP="000C464F">
      <w:pPr>
        <w:spacing w:after="0" w:line="240" w:lineRule="auto"/>
      </w:pPr>
      <w:r>
        <w:separator/>
      </w:r>
    </w:p>
  </w:footnote>
  <w:footnote w:type="continuationSeparator" w:id="0">
    <w:p w14:paraId="1FC14A85" w14:textId="77777777" w:rsidR="00030F71" w:rsidRDefault="00030F71" w:rsidP="000C464F">
      <w:pPr>
        <w:spacing w:after="0" w:line="240" w:lineRule="auto"/>
      </w:pPr>
      <w:r>
        <w:continuationSeparator/>
      </w:r>
    </w:p>
  </w:footnote>
  <w:footnote w:id="1">
    <w:p w14:paraId="59001B06" w14:textId="77777777" w:rsidR="00B61DB0" w:rsidRPr="004240DC" w:rsidRDefault="00B61DB0" w:rsidP="004240DC">
      <w:pPr>
        <w:pStyle w:val="FootnoteText"/>
        <w:jc w:val="both"/>
        <w:rPr>
          <w:rFonts w:ascii="Montserrat" w:hAnsi="Montserrat"/>
          <w:sz w:val="18"/>
          <w:szCs w:val="18"/>
          <w:lang w:val="es-MX"/>
        </w:rPr>
      </w:pPr>
      <w:r w:rsidRPr="00E96EBF">
        <w:rPr>
          <w:rStyle w:val="FootnoteReference"/>
          <w:rFonts w:ascii="Montserrat" w:hAnsi="Montserrat" w:cs="Arial"/>
          <w:sz w:val="18"/>
        </w:rPr>
        <w:footnoteRef/>
      </w:r>
      <w:r w:rsidRPr="00E96EBF">
        <w:rPr>
          <w:rFonts w:ascii="Montserrat" w:hAnsi="Montserrat" w:cs="Arial"/>
          <w:sz w:val="18"/>
        </w:rPr>
        <w:t xml:space="preserve"> Amparo directo en revisi</w:t>
      </w:r>
      <w:r w:rsidRPr="004240DC">
        <w:rPr>
          <w:rFonts w:ascii="Montserrat" w:hAnsi="Montserrat" w:cs="Arial"/>
          <w:sz w:val="18"/>
          <w:szCs w:val="18"/>
        </w:rPr>
        <w:t xml:space="preserve">ón 2990/2022 del 26 de octubre de 2022, Primera Sala, </w:t>
      </w:r>
      <w:proofErr w:type="spellStart"/>
      <w:r w:rsidRPr="004240DC">
        <w:rPr>
          <w:rFonts w:ascii="Montserrat" w:hAnsi="Montserrat" w:cs="Arial"/>
          <w:sz w:val="18"/>
          <w:szCs w:val="18"/>
        </w:rPr>
        <w:t>párrs</w:t>
      </w:r>
      <w:proofErr w:type="spellEnd"/>
      <w:r w:rsidRPr="004240DC">
        <w:rPr>
          <w:rFonts w:ascii="Montserrat" w:hAnsi="Montserrat" w:cs="Arial"/>
          <w:sz w:val="18"/>
          <w:szCs w:val="18"/>
        </w:rPr>
        <w:t>. 13 y 16.</w:t>
      </w:r>
    </w:p>
  </w:footnote>
  <w:footnote w:id="2">
    <w:p w14:paraId="74198ECB" w14:textId="77777777" w:rsidR="00B61DB0" w:rsidRPr="004240DC" w:rsidRDefault="00B61DB0" w:rsidP="004240DC">
      <w:pPr>
        <w:pStyle w:val="FootnoteText"/>
        <w:jc w:val="both"/>
        <w:rPr>
          <w:rFonts w:ascii="Montserrat" w:hAnsi="Montserrat" w:cs="Arial"/>
          <w:sz w:val="18"/>
          <w:szCs w:val="18"/>
        </w:rPr>
      </w:pPr>
      <w:r w:rsidRPr="004240DC">
        <w:rPr>
          <w:rStyle w:val="FootnoteReference"/>
          <w:rFonts w:ascii="Montserrat" w:hAnsi="Montserrat" w:cs="Arial"/>
          <w:sz w:val="18"/>
          <w:szCs w:val="18"/>
        </w:rPr>
        <w:footnoteRef/>
      </w:r>
      <w:r w:rsidRPr="004240DC">
        <w:rPr>
          <w:rFonts w:ascii="Montserrat" w:hAnsi="Montserrat" w:cs="Arial"/>
          <w:sz w:val="18"/>
          <w:szCs w:val="18"/>
        </w:rPr>
        <w:t xml:space="preserve"> </w:t>
      </w:r>
      <w:r w:rsidRPr="004240DC">
        <w:rPr>
          <w:rFonts w:ascii="Montserrat" w:hAnsi="Montserrat" w:cs="Arial"/>
          <w:color w:val="000000" w:themeColor="text1"/>
          <w:sz w:val="18"/>
          <w:szCs w:val="18"/>
        </w:rPr>
        <w:t xml:space="preserve">Decreto por el que se adiciona un apartado C al artículo 2º. de la Constitución Política de los Estados Unidos Mexicanos. 2001. </w:t>
      </w:r>
      <w:hyperlink r:id="rId1" w:history="1">
        <w:r w:rsidRPr="004240DC">
          <w:rPr>
            <w:rStyle w:val="Hyperlink"/>
            <w:rFonts w:ascii="Montserrat" w:hAnsi="Montserrat" w:cs="Arial"/>
            <w:color w:val="000000" w:themeColor="text1"/>
            <w:sz w:val="18"/>
            <w:szCs w:val="18"/>
          </w:rPr>
          <w:t>https://www.diputados.gob.mx/LeyesBiblio/ref/dof/CPEUM_ref_151_14ago01_ima.pdf</w:t>
        </w:r>
      </w:hyperlink>
    </w:p>
  </w:footnote>
  <w:footnote w:id="3">
    <w:p w14:paraId="1387E4E1" w14:textId="77777777" w:rsidR="00B61DB0" w:rsidRPr="004240DC" w:rsidRDefault="00B61DB0" w:rsidP="004240DC">
      <w:pPr>
        <w:pStyle w:val="FootnoteText"/>
        <w:jc w:val="both"/>
        <w:rPr>
          <w:rFonts w:ascii="Montserrat" w:hAnsi="Montserrat" w:cs="Arial"/>
          <w:sz w:val="18"/>
          <w:szCs w:val="18"/>
          <w:lang w:val="es-MX"/>
        </w:rPr>
      </w:pPr>
      <w:r w:rsidRPr="004240DC">
        <w:rPr>
          <w:rStyle w:val="FootnoteReference"/>
          <w:rFonts w:ascii="Montserrat" w:hAnsi="Montserrat" w:cs="Arial"/>
          <w:sz w:val="18"/>
          <w:szCs w:val="18"/>
        </w:rPr>
        <w:footnoteRef/>
      </w:r>
      <w:r w:rsidRPr="004240DC">
        <w:rPr>
          <w:rFonts w:ascii="Montserrat" w:hAnsi="Montserrat" w:cs="Arial"/>
          <w:sz w:val="18"/>
          <w:szCs w:val="18"/>
        </w:rPr>
        <w:t xml:space="preserve"> Acción de Inconstitucionalidad 116/2019 Y Su Acumulada 117/2019, resueltas en sesión de doce de marzo de dos mil veinte. Pár.92</w:t>
      </w:r>
    </w:p>
  </w:footnote>
  <w:footnote w:id="4">
    <w:p w14:paraId="5F644B33" w14:textId="77777777" w:rsidR="00B61DB0" w:rsidRPr="004240DC" w:rsidRDefault="00B61DB0" w:rsidP="004240DC">
      <w:pPr>
        <w:pStyle w:val="FootnoteText"/>
        <w:jc w:val="both"/>
        <w:rPr>
          <w:rFonts w:ascii="Montserrat" w:hAnsi="Montserrat" w:cs="Arial"/>
          <w:sz w:val="18"/>
          <w:szCs w:val="18"/>
        </w:rPr>
      </w:pPr>
      <w:r w:rsidRPr="004240DC">
        <w:rPr>
          <w:rStyle w:val="FootnoteReference"/>
          <w:rFonts w:ascii="Montserrat" w:hAnsi="Montserrat" w:cs="Arial"/>
          <w:sz w:val="18"/>
          <w:szCs w:val="18"/>
        </w:rPr>
        <w:footnoteRef/>
      </w:r>
      <w:r w:rsidRPr="004240DC">
        <w:rPr>
          <w:rFonts w:ascii="Montserrat" w:hAnsi="Montserrat" w:cs="Arial"/>
          <w:sz w:val="18"/>
          <w:szCs w:val="18"/>
        </w:rPr>
        <w:t xml:space="preserve"> Amparo directo en revisión 4865/2018 del 30 de octubre de 2019, Primera Sala, </w:t>
      </w:r>
      <w:proofErr w:type="spellStart"/>
      <w:r w:rsidRPr="004240DC">
        <w:rPr>
          <w:rFonts w:ascii="Montserrat" w:hAnsi="Montserrat" w:cs="Arial"/>
          <w:sz w:val="18"/>
          <w:szCs w:val="18"/>
        </w:rPr>
        <w:t>párrs</w:t>
      </w:r>
      <w:proofErr w:type="spellEnd"/>
      <w:r w:rsidRPr="004240DC">
        <w:rPr>
          <w:rFonts w:ascii="Montserrat" w:hAnsi="Montserrat" w:cs="Arial"/>
          <w:sz w:val="18"/>
          <w:szCs w:val="18"/>
        </w:rPr>
        <w:t>. 34, 71, 87, 88, 93, 124, 129 y 130.</w:t>
      </w:r>
    </w:p>
  </w:footnote>
  <w:footnote w:id="5">
    <w:p w14:paraId="25A5DDF6" w14:textId="77777777" w:rsidR="00B61DB0" w:rsidRPr="004240DC" w:rsidRDefault="00B61DB0" w:rsidP="004240DC">
      <w:pPr>
        <w:pStyle w:val="FootnoteText"/>
        <w:jc w:val="both"/>
        <w:rPr>
          <w:rFonts w:ascii="Montserrat" w:hAnsi="Montserrat" w:cs="Arial"/>
          <w:sz w:val="18"/>
          <w:szCs w:val="18"/>
        </w:rPr>
      </w:pPr>
      <w:r w:rsidRPr="004240DC">
        <w:rPr>
          <w:rStyle w:val="FootnoteReference"/>
          <w:rFonts w:ascii="Montserrat" w:hAnsi="Montserrat" w:cs="Arial"/>
          <w:sz w:val="18"/>
          <w:szCs w:val="18"/>
        </w:rPr>
        <w:footnoteRef/>
      </w:r>
      <w:r w:rsidRPr="004240DC">
        <w:rPr>
          <w:rFonts w:ascii="Montserrat" w:hAnsi="Montserrat" w:cs="Arial"/>
          <w:sz w:val="18"/>
          <w:szCs w:val="18"/>
        </w:rPr>
        <w:t xml:space="preserve"> Acción de inconstitucionalidad 285/2020 del 13 de julio de 2021, Pleno, págs. 15-22.</w:t>
      </w:r>
    </w:p>
  </w:footnote>
  <w:footnote w:id="6">
    <w:p w14:paraId="6740F890" w14:textId="77777777" w:rsidR="00B61DB0" w:rsidRPr="004240DC" w:rsidRDefault="00B61DB0" w:rsidP="004240DC">
      <w:pPr>
        <w:pStyle w:val="FootnoteText"/>
        <w:jc w:val="both"/>
        <w:rPr>
          <w:rFonts w:ascii="Montserrat" w:hAnsi="Montserrat" w:cs="Arial"/>
          <w:sz w:val="18"/>
          <w:szCs w:val="18"/>
        </w:rPr>
      </w:pPr>
      <w:r w:rsidRPr="004240DC">
        <w:rPr>
          <w:rStyle w:val="FootnoteReference"/>
          <w:rFonts w:ascii="Montserrat" w:hAnsi="Montserrat" w:cs="Arial"/>
          <w:sz w:val="18"/>
          <w:szCs w:val="18"/>
        </w:rPr>
        <w:footnoteRef/>
      </w:r>
      <w:r w:rsidRPr="004240DC">
        <w:rPr>
          <w:rFonts w:ascii="Montserrat" w:hAnsi="Montserrat" w:cs="Arial"/>
          <w:sz w:val="18"/>
          <w:szCs w:val="18"/>
        </w:rPr>
        <w:t xml:space="preserve"> </w:t>
      </w:r>
      <w:r w:rsidRPr="004240DC">
        <w:rPr>
          <w:rFonts w:ascii="Montserrat" w:eastAsia="Cambria" w:hAnsi="Montserrat" w:cs="Arial"/>
          <w:color w:val="000000" w:themeColor="text1"/>
          <w:sz w:val="18"/>
          <w:szCs w:val="18"/>
        </w:rPr>
        <w:t>Amparo directo en revisión 3153/2014 d</w:t>
      </w:r>
      <w:r w:rsidRPr="004240DC">
        <w:rPr>
          <w:rFonts w:ascii="Montserrat" w:hAnsi="Montserrat" w:cs="Arial"/>
          <w:color w:val="000000" w:themeColor="text1"/>
          <w:sz w:val="18"/>
          <w:szCs w:val="18"/>
        </w:rPr>
        <w:t xml:space="preserve">el </w:t>
      </w:r>
      <w:r w:rsidRPr="004240DC">
        <w:rPr>
          <w:rFonts w:ascii="Montserrat" w:hAnsi="Montserrat" w:cs="Arial"/>
          <w:sz w:val="18"/>
          <w:szCs w:val="18"/>
        </w:rPr>
        <w:t>10 de junio de 2015, Primera Sala, págs. 24-27.</w:t>
      </w:r>
    </w:p>
  </w:footnote>
  <w:footnote w:id="7">
    <w:p w14:paraId="428C901E" w14:textId="77777777" w:rsidR="00B61DB0" w:rsidRPr="004240DC" w:rsidRDefault="00B61DB0" w:rsidP="004240DC">
      <w:pPr>
        <w:pStyle w:val="FootnoteText"/>
        <w:jc w:val="both"/>
        <w:rPr>
          <w:rFonts w:ascii="Montserrat" w:hAnsi="Montserrat" w:cs="Arial"/>
          <w:sz w:val="18"/>
          <w:szCs w:val="18"/>
        </w:rPr>
      </w:pPr>
      <w:r w:rsidRPr="004240DC">
        <w:rPr>
          <w:rStyle w:val="FootnoteReference"/>
          <w:rFonts w:ascii="Montserrat" w:hAnsi="Montserrat" w:cs="Arial"/>
          <w:sz w:val="18"/>
          <w:szCs w:val="18"/>
        </w:rPr>
        <w:footnoteRef/>
      </w:r>
      <w:r w:rsidRPr="004240DC">
        <w:rPr>
          <w:rFonts w:ascii="Montserrat" w:hAnsi="Montserrat" w:cs="Arial"/>
          <w:sz w:val="18"/>
          <w:szCs w:val="18"/>
        </w:rPr>
        <w:t xml:space="preserve"> Acción de inconstitucionalidad 25/2016 del 27 de marzo de 2017, Pleno, págs. 57, 59-70.</w:t>
      </w:r>
    </w:p>
  </w:footnote>
  <w:footnote w:id="8">
    <w:p w14:paraId="2581A6A4" w14:textId="77777777" w:rsidR="00B61DB0" w:rsidRPr="004240DC" w:rsidRDefault="00B61DB0" w:rsidP="004240DC">
      <w:pPr>
        <w:pStyle w:val="FootnoteText"/>
        <w:jc w:val="both"/>
        <w:rPr>
          <w:rFonts w:ascii="Montserrat" w:hAnsi="Montserrat" w:cs="Arial"/>
          <w:sz w:val="18"/>
          <w:szCs w:val="18"/>
        </w:rPr>
      </w:pPr>
      <w:r w:rsidRPr="004240DC">
        <w:rPr>
          <w:rStyle w:val="FootnoteReference"/>
          <w:rFonts w:ascii="Montserrat" w:hAnsi="Montserrat" w:cs="Arial"/>
          <w:sz w:val="18"/>
          <w:szCs w:val="18"/>
        </w:rPr>
        <w:footnoteRef/>
      </w:r>
      <w:r w:rsidRPr="004240DC">
        <w:rPr>
          <w:rFonts w:ascii="Montserrat" w:hAnsi="Montserrat" w:cs="Arial"/>
          <w:sz w:val="18"/>
          <w:szCs w:val="18"/>
        </w:rPr>
        <w:t xml:space="preserve"> Amparo en revisión 272/2019 del 23 de octubre de 2019, Segunda Sala, págs. 72-74.</w:t>
      </w:r>
    </w:p>
  </w:footnote>
  <w:footnote w:id="9">
    <w:p w14:paraId="79E2AFF3" w14:textId="77777777" w:rsidR="00B61DB0" w:rsidRPr="004240DC" w:rsidRDefault="00B61DB0" w:rsidP="004240DC">
      <w:pPr>
        <w:pStyle w:val="FootnoteText"/>
        <w:jc w:val="both"/>
        <w:rPr>
          <w:rFonts w:ascii="Montserrat" w:hAnsi="Montserrat" w:cs="Arial"/>
          <w:sz w:val="18"/>
          <w:szCs w:val="18"/>
        </w:rPr>
      </w:pPr>
      <w:r w:rsidRPr="004240DC">
        <w:rPr>
          <w:rStyle w:val="FootnoteReference"/>
          <w:rFonts w:ascii="Montserrat" w:hAnsi="Montserrat" w:cs="Arial"/>
          <w:sz w:val="18"/>
          <w:szCs w:val="18"/>
        </w:rPr>
        <w:footnoteRef/>
      </w:r>
      <w:r w:rsidRPr="004240DC">
        <w:rPr>
          <w:rFonts w:ascii="Montserrat" w:hAnsi="Montserrat" w:cs="Arial"/>
          <w:sz w:val="18"/>
          <w:szCs w:val="18"/>
        </w:rPr>
        <w:t xml:space="preserve"> Amparo en revisión 275/2019 del18 de mayo de 2022, Primera Sala, </w:t>
      </w:r>
      <w:proofErr w:type="spellStart"/>
      <w:r w:rsidRPr="004240DC">
        <w:rPr>
          <w:rFonts w:ascii="Montserrat" w:hAnsi="Montserrat" w:cs="Arial"/>
          <w:sz w:val="18"/>
          <w:szCs w:val="18"/>
        </w:rPr>
        <w:t>párrs</w:t>
      </w:r>
      <w:proofErr w:type="spellEnd"/>
      <w:r w:rsidRPr="004240DC">
        <w:rPr>
          <w:rFonts w:ascii="Montserrat" w:hAnsi="Montserrat" w:cs="Arial"/>
          <w:sz w:val="18"/>
          <w:szCs w:val="18"/>
        </w:rPr>
        <w:t>. 166 y 190-191</w:t>
      </w:r>
    </w:p>
  </w:footnote>
  <w:footnote w:id="10">
    <w:p w14:paraId="0884FD55" w14:textId="77777777" w:rsidR="00B61DB0" w:rsidRPr="004240DC" w:rsidRDefault="00B61DB0" w:rsidP="004240DC">
      <w:pPr>
        <w:pStyle w:val="FootnoteText"/>
        <w:jc w:val="both"/>
        <w:rPr>
          <w:rFonts w:ascii="Montserrat" w:hAnsi="Montserrat" w:cs="Arial"/>
          <w:sz w:val="18"/>
          <w:szCs w:val="18"/>
        </w:rPr>
      </w:pPr>
      <w:r w:rsidRPr="004240DC">
        <w:rPr>
          <w:rStyle w:val="FootnoteReference"/>
          <w:rFonts w:ascii="Montserrat" w:hAnsi="Montserrat" w:cs="Arial"/>
          <w:sz w:val="18"/>
          <w:szCs w:val="18"/>
        </w:rPr>
        <w:footnoteRef/>
      </w:r>
      <w:r w:rsidRPr="004240DC">
        <w:rPr>
          <w:rFonts w:ascii="Montserrat" w:hAnsi="Montserrat" w:cs="Arial"/>
          <w:sz w:val="18"/>
          <w:szCs w:val="18"/>
        </w:rPr>
        <w:t xml:space="preserve"> </w:t>
      </w:r>
      <w:hyperlink r:id="rId2" w:history="1">
        <w:r w:rsidRPr="004240DC">
          <w:rPr>
            <w:rStyle w:val="Hyperlink"/>
            <w:rFonts w:ascii="Montserrat" w:hAnsi="Montserrat" w:cs="Arial"/>
            <w:sz w:val="18"/>
            <w:szCs w:val="18"/>
          </w:rPr>
          <w:t>https://www.scjn.gob.mx/derechos-humanos/sites/default/files/Publicaciones/archivos/2022-03/Manual%20Estereotipos%20de%20imparticion%20de%20justicia_DIGITAL%20FINAL.pdf</w:t>
        </w:r>
      </w:hyperlink>
      <w:r w:rsidRPr="004240DC">
        <w:rPr>
          <w:rFonts w:ascii="Montserrat" w:hAnsi="Montserrat" w:cs="Arial"/>
          <w:sz w:val="18"/>
          <w:szCs w:val="18"/>
        </w:rPr>
        <w:t xml:space="preserve"> </w:t>
      </w:r>
    </w:p>
  </w:footnote>
  <w:footnote w:id="11">
    <w:p w14:paraId="70F769B0" w14:textId="77777777" w:rsidR="00B61DB0" w:rsidRPr="004240DC" w:rsidRDefault="00B61DB0" w:rsidP="004240DC">
      <w:pPr>
        <w:pStyle w:val="FootnoteText"/>
        <w:jc w:val="both"/>
        <w:rPr>
          <w:rFonts w:ascii="Montserrat" w:hAnsi="Montserrat" w:cs="Arial"/>
          <w:sz w:val="18"/>
          <w:szCs w:val="18"/>
        </w:rPr>
      </w:pPr>
      <w:r w:rsidRPr="004240DC">
        <w:rPr>
          <w:rStyle w:val="FootnoteReference"/>
          <w:rFonts w:ascii="Montserrat" w:hAnsi="Montserrat" w:cs="Arial"/>
          <w:sz w:val="18"/>
          <w:szCs w:val="18"/>
        </w:rPr>
        <w:footnoteRef/>
      </w:r>
      <w:r w:rsidRPr="004240DC">
        <w:rPr>
          <w:rFonts w:ascii="Montserrat" w:hAnsi="Montserrat" w:cs="Arial"/>
          <w:sz w:val="18"/>
          <w:szCs w:val="18"/>
        </w:rPr>
        <w:t xml:space="preserve"> </w:t>
      </w:r>
      <w:hyperlink r:id="rId3" w:history="1">
        <w:r w:rsidRPr="004240DC">
          <w:rPr>
            <w:rStyle w:val="Hyperlink"/>
            <w:rFonts w:ascii="Montserrat" w:hAnsi="Montserrat" w:cs="Arial"/>
            <w:sz w:val="18"/>
            <w:szCs w:val="18"/>
          </w:rPr>
          <w:t>https://www.scjn.gob.mx/derechos-humanos/sites/default/files/Publicaciones/archivos/2022-06/Manual%20sobre%20desplazamiento%20interno.pdf</w:t>
        </w:r>
      </w:hyperlink>
      <w:r w:rsidRPr="004240DC">
        <w:rPr>
          <w:rFonts w:ascii="Montserrat" w:hAnsi="Montserrat" w:cs="Arial"/>
          <w:sz w:val="18"/>
          <w:szCs w:val="18"/>
        </w:rPr>
        <w:t xml:space="preserve"> </w:t>
      </w:r>
    </w:p>
  </w:footnote>
  <w:footnote w:id="12">
    <w:p w14:paraId="5E9E6D89" w14:textId="77777777" w:rsidR="00B61DB0" w:rsidRPr="004240DC" w:rsidRDefault="00B61DB0" w:rsidP="004240DC">
      <w:pPr>
        <w:pStyle w:val="FootnoteText"/>
        <w:jc w:val="both"/>
        <w:rPr>
          <w:rFonts w:ascii="Montserrat" w:hAnsi="Montserrat" w:cs="Arial"/>
          <w:sz w:val="18"/>
          <w:szCs w:val="18"/>
        </w:rPr>
      </w:pPr>
      <w:r w:rsidRPr="004240DC">
        <w:rPr>
          <w:rStyle w:val="FootnoteReference"/>
          <w:rFonts w:ascii="Montserrat" w:hAnsi="Montserrat" w:cs="Arial"/>
          <w:sz w:val="18"/>
          <w:szCs w:val="18"/>
        </w:rPr>
        <w:footnoteRef/>
      </w:r>
      <w:r w:rsidRPr="004240DC">
        <w:rPr>
          <w:rFonts w:ascii="Montserrat" w:hAnsi="Montserrat" w:cs="Arial"/>
          <w:sz w:val="18"/>
          <w:szCs w:val="18"/>
        </w:rPr>
        <w:t xml:space="preserve"> </w:t>
      </w:r>
      <w:hyperlink r:id="rId4" w:history="1">
        <w:r w:rsidRPr="004240DC">
          <w:rPr>
            <w:rStyle w:val="Hyperlink"/>
            <w:rFonts w:ascii="Montserrat" w:hAnsi="Montserrat" w:cs="Arial"/>
            <w:sz w:val="18"/>
            <w:szCs w:val="18"/>
          </w:rPr>
          <w:t>https://www.scjn.gob.mx/derechos-humanos/sites/default/files/protocolos/archivos/2022-11/Protocolo%20para%20Juzgar%20con%20Perspectiva%20Intercultural_Ind%C3%ADgenas_Digital_6a%20entrega%20final.pdf</w:t>
        </w:r>
      </w:hyperlink>
      <w:r w:rsidRPr="004240DC">
        <w:rPr>
          <w:rFonts w:ascii="Montserrat" w:hAnsi="Montserrat" w:cs="Arial"/>
          <w:sz w:val="18"/>
          <w:szCs w:val="18"/>
        </w:rPr>
        <w:t xml:space="preserve"> </w:t>
      </w:r>
    </w:p>
  </w:footnote>
  <w:footnote w:id="13">
    <w:p w14:paraId="7EDD107C" w14:textId="77777777" w:rsidR="00B61DB0" w:rsidRDefault="00B61DB0" w:rsidP="004240DC">
      <w:pPr>
        <w:pStyle w:val="FootnoteText"/>
        <w:jc w:val="both"/>
      </w:pPr>
      <w:r w:rsidRPr="004240DC">
        <w:rPr>
          <w:rStyle w:val="FootnoteReference"/>
          <w:rFonts w:ascii="Montserrat" w:hAnsi="Montserrat" w:cs="Arial"/>
          <w:sz w:val="18"/>
          <w:szCs w:val="18"/>
        </w:rPr>
        <w:footnoteRef/>
      </w:r>
      <w:r w:rsidRPr="004240DC">
        <w:rPr>
          <w:rFonts w:ascii="Montserrat" w:hAnsi="Montserrat" w:cs="Arial"/>
          <w:sz w:val="18"/>
          <w:szCs w:val="18"/>
        </w:rPr>
        <w:t xml:space="preserve"> </w:t>
      </w:r>
      <w:hyperlink r:id="rId5" w:history="1">
        <w:r w:rsidRPr="004240DC">
          <w:rPr>
            <w:rStyle w:val="Hyperlink"/>
            <w:rFonts w:ascii="Montserrat" w:hAnsi="Montserrat" w:cs="Arial"/>
            <w:sz w:val="18"/>
            <w:szCs w:val="18"/>
          </w:rPr>
          <w:t>https://www.scjn.gob.mx/derechos-humanos/sites/default/files/protocolos/archivos/2022-11/VF%20DIGITAL%20Protocolo%20para%20Juzgar%20con%20Perspectiva%20Intercultural_Afros.pdf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62C8" w14:textId="77777777" w:rsidR="000C464F" w:rsidRPr="000C464F" w:rsidRDefault="000C464F">
    <w:pPr>
      <w:pStyle w:val="Header"/>
      <w:rPr>
        <w:rFonts w:ascii="Montserrat" w:hAnsi="Montserrat"/>
      </w:rPr>
    </w:pPr>
    <w:r w:rsidRPr="000C464F">
      <w:rPr>
        <w:rFonts w:ascii="Montserrat" w:hAnsi="Montserrat"/>
        <w:noProof/>
        <w:bdr w:val="none" w:sz="0" w:space="0" w:color="auto" w:frame="1"/>
        <w:lang w:eastAsia="es-MX"/>
      </w:rPr>
      <w:drawing>
        <wp:anchor distT="0" distB="0" distL="114300" distR="114300" simplePos="0" relativeHeight="251659264" behindDoc="0" locked="0" layoutInCell="1" allowOverlap="1" wp14:anchorId="1B99362A" wp14:editId="5FBFB7EE">
          <wp:simplePos x="0" y="0"/>
          <wp:positionH relativeFrom="margin">
            <wp:posOffset>0</wp:posOffset>
          </wp:positionH>
          <wp:positionV relativeFrom="margin">
            <wp:posOffset>-556895</wp:posOffset>
          </wp:positionV>
          <wp:extent cx="3229161" cy="486935"/>
          <wp:effectExtent l="0" t="0" r="0" b="0"/>
          <wp:wrapSquare wrapText="bothSides"/>
          <wp:docPr id="14" name="Imagen 14" descr="D:\Users\gguzmang\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gguzmang\Desktop\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4129" r="35414" b="22944"/>
                  <a:stretch/>
                </pic:blipFill>
                <pic:spPr bwMode="auto">
                  <a:xfrm>
                    <a:off x="0" y="0"/>
                    <a:ext cx="3229161" cy="48693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D293C"/>
    <w:multiLevelType w:val="hybridMultilevel"/>
    <w:tmpl w:val="2DB83048"/>
    <w:lvl w:ilvl="0" w:tplc="FFFFFFFF">
      <w:start w:val="1"/>
      <w:numFmt w:val="bullet"/>
      <w:lvlText w:val="•"/>
      <w:lvlJc w:val="left"/>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662F71"/>
    <w:multiLevelType w:val="hybridMultilevel"/>
    <w:tmpl w:val="091E04D8"/>
    <w:lvl w:ilvl="0" w:tplc="080A0001">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5B2764"/>
    <w:multiLevelType w:val="hybridMultilevel"/>
    <w:tmpl w:val="FDF098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3614A0B"/>
    <w:multiLevelType w:val="hybridMultilevel"/>
    <w:tmpl w:val="6208403C"/>
    <w:lvl w:ilvl="0" w:tplc="96C21A70">
      <w:start w:val="1"/>
      <w:numFmt w:val="bullet"/>
      <w:lvlText w:val="-"/>
      <w:lvlJc w:val="left"/>
      <w:pPr>
        <w:ind w:left="436" w:hanging="360"/>
      </w:pPr>
      <w:rPr>
        <w:rFonts w:ascii="Arial" w:eastAsia="Times New Roman" w:hAnsi="Arial" w:cs="Aria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4F"/>
    <w:rsid w:val="00030F71"/>
    <w:rsid w:val="000C464F"/>
    <w:rsid w:val="000E5E04"/>
    <w:rsid w:val="004240DC"/>
    <w:rsid w:val="00680C57"/>
    <w:rsid w:val="00772B20"/>
    <w:rsid w:val="00913113"/>
    <w:rsid w:val="00981E34"/>
    <w:rsid w:val="00A1150E"/>
    <w:rsid w:val="00A339A8"/>
    <w:rsid w:val="00B61DB0"/>
    <w:rsid w:val="00B758EA"/>
    <w:rsid w:val="00D44EA4"/>
    <w:rsid w:val="00D74570"/>
    <w:rsid w:val="00E96EBF"/>
    <w:rsid w:val="00EF1BB1"/>
    <w:rsid w:val="00FA4B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D3B9A"/>
  <w15:chartTrackingRefBased/>
  <w15:docId w15:val="{E146A1A9-D81F-43D8-AB98-5941229C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1DB0"/>
    <w:pPr>
      <w:widowControl w:val="0"/>
      <w:autoSpaceDE w:val="0"/>
      <w:autoSpaceDN w:val="0"/>
      <w:spacing w:before="92" w:after="0" w:line="240" w:lineRule="auto"/>
      <w:ind w:left="160"/>
      <w:outlineLvl w:val="0"/>
    </w:pPr>
    <w:rPr>
      <w:rFonts w:ascii="Verdana" w:eastAsia="Verdana" w:hAnsi="Verdana" w:cs="Verdana"/>
      <w:b/>
      <w:bCs/>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464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C464F"/>
    <w:pPr>
      <w:ind w:left="720"/>
      <w:contextualSpacing/>
    </w:pPr>
  </w:style>
  <w:style w:type="paragraph" w:styleId="Header">
    <w:name w:val="header"/>
    <w:basedOn w:val="Normal"/>
    <w:link w:val="HeaderChar"/>
    <w:uiPriority w:val="99"/>
    <w:unhideWhenUsed/>
    <w:rsid w:val="000C464F"/>
    <w:pPr>
      <w:tabs>
        <w:tab w:val="center" w:pos="4419"/>
        <w:tab w:val="right" w:pos="8838"/>
      </w:tabs>
      <w:spacing w:after="0" w:line="240" w:lineRule="auto"/>
    </w:pPr>
  </w:style>
  <w:style w:type="character" w:customStyle="1" w:styleId="HeaderChar">
    <w:name w:val="Header Char"/>
    <w:basedOn w:val="DefaultParagraphFont"/>
    <w:link w:val="Header"/>
    <w:uiPriority w:val="99"/>
    <w:rsid w:val="000C464F"/>
  </w:style>
  <w:style w:type="paragraph" w:styleId="Footer">
    <w:name w:val="footer"/>
    <w:basedOn w:val="Normal"/>
    <w:link w:val="FooterChar"/>
    <w:uiPriority w:val="99"/>
    <w:unhideWhenUsed/>
    <w:rsid w:val="000C464F"/>
    <w:pPr>
      <w:tabs>
        <w:tab w:val="center" w:pos="4419"/>
        <w:tab w:val="right" w:pos="8838"/>
      </w:tabs>
      <w:spacing w:after="0" w:line="240" w:lineRule="auto"/>
    </w:pPr>
  </w:style>
  <w:style w:type="character" w:customStyle="1" w:styleId="FooterChar">
    <w:name w:val="Footer Char"/>
    <w:basedOn w:val="DefaultParagraphFont"/>
    <w:link w:val="Footer"/>
    <w:uiPriority w:val="99"/>
    <w:rsid w:val="000C464F"/>
  </w:style>
  <w:style w:type="character" w:customStyle="1" w:styleId="Heading1Char">
    <w:name w:val="Heading 1 Char"/>
    <w:basedOn w:val="DefaultParagraphFont"/>
    <w:link w:val="Heading1"/>
    <w:uiPriority w:val="9"/>
    <w:rsid w:val="00B61DB0"/>
    <w:rPr>
      <w:rFonts w:ascii="Verdana" w:eastAsia="Verdana" w:hAnsi="Verdana" w:cs="Verdana"/>
      <w:b/>
      <w:bCs/>
      <w:lang w:val="es-ES"/>
    </w:rPr>
  </w:style>
  <w:style w:type="paragraph" w:styleId="BodyText">
    <w:name w:val="Body Text"/>
    <w:basedOn w:val="Normal"/>
    <w:link w:val="BodyTextChar"/>
    <w:uiPriority w:val="1"/>
    <w:qFormat/>
    <w:rsid w:val="00B61DB0"/>
    <w:pPr>
      <w:widowControl w:val="0"/>
      <w:autoSpaceDE w:val="0"/>
      <w:autoSpaceDN w:val="0"/>
      <w:spacing w:after="0" w:line="240" w:lineRule="auto"/>
    </w:pPr>
    <w:rPr>
      <w:rFonts w:ascii="Verdana" w:eastAsia="Verdana" w:hAnsi="Verdana" w:cs="Verdana"/>
      <w:sz w:val="20"/>
      <w:szCs w:val="20"/>
      <w:lang w:val="es-ES"/>
    </w:rPr>
  </w:style>
  <w:style w:type="character" w:customStyle="1" w:styleId="BodyTextChar">
    <w:name w:val="Body Text Char"/>
    <w:basedOn w:val="DefaultParagraphFont"/>
    <w:link w:val="BodyText"/>
    <w:uiPriority w:val="1"/>
    <w:rsid w:val="00B61DB0"/>
    <w:rPr>
      <w:rFonts w:ascii="Verdana" w:eastAsia="Verdana" w:hAnsi="Verdana" w:cs="Verdana"/>
      <w:sz w:val="20"/>
      <w:szCs w:val="20"/>
      <w:lang w:val="es-ES"/>
    </w:rPr>
  </w:style>
  <w:style w:type="paragraph" w:styleId="FootnoteText">
    <w:name w:val="footnote text"/>
    <w:aliases w:val="Footnote Text Char Char Char Char Char,Footnote Text Char Char Char Char,Footnote reference,FA Fu, Car,Car,Footnote Text Char Char Char,Footnote Text Cha,FA Fußnotentext,FA Fu?notentext,Footnote Text Char Char,FA Fuﬂnotentext,Ca,Car3,C,NP"/>
    <w:basedOn w:val="Normal"/>
    <w:link w:val="FootnoteTextChar"/>
    <w:uiPriority w:val="99"/>
    <w:unhideWhenUsed/>
    <w:qFormat/>
    <w:rsid w:val="00B61DB0"/>
    <w:pPr>
      <w:spacing w:after="0" w:line="240" w:lineRule="auto"/>
    </w:pPr>
    <w:rPr>
      <w:sz w:val="20"/>
      <w:szCs w:val="20"/>
      <w:lang w:val="es-ES_tradnl"/>
    </w:rPr>
  </w:style>
  <w:style w:type="character" w:customStyle="1" w:styleId="FootnoteTextChar">
    <w:name w:val="Footnote Text Char"/>
    <w:aliases w:val="Footnote Text Char Char Char Char Char Char,Footnote Text Char Char Char Char Char1,Footnote reference Char,FA Fu Char, Car Char,Car Char,Footnote Text Char Char Char Char1,Footnote Text Cha Char,FA Fußnotentext Char,Ca Char,Car3 Char"/>
    <w:basedOn w:val="DefaultParagraphFont"/>
    <w:link w:val="FootnoteText"/>
    <w:uiPriority w:val="99"/>
    <w:qFormat/>
    <w:rsid w:val="00B61DB0"/>
    <w:rPr>
      <w:sz w:val="20"/>
      <w:szCs w:val="20"/>
      <w:lang w:val="es-ES_tradnl"/>
    </w:rPr>
  </w:style>
  <w:style w:type="character" w:styleId="FootnoteReference">
    <w:name w:val="footnote reference"/>
    <w:aliases w:val="Ref. de nota al pie 2,Footnotes refss,Texto de nota al pie,Appel note de bas de page,Footnote number,referencia nota al pie,BVI fnr,f,4_G,16 Point,Superscript 6 Point,Texto nota al pie,julio,Footnote Reference Char3,ftref,Ref,ftre,R"/>
    <w:basedOn w:val="DefaultParagraphFont"/>
    <w:link w:val="BVIfnrCar1CarCarCarCar"/>
    <w:uiPriority w:val="99"/>
    <w:unhideWhenUsed/>
    <w:qFormat/>
    <w:rsid w:val="00B61DB0"/>
    <w:rPr>
      <w:vertAlign w:val="superscript"/>
    </w:rPr>
  </w:style>
  <w:style w:type="character" w:styleId="Hyperlink">
    <w:name w:val="Hyperlink"/>
    <w:basedOn w:val="DefaultParagraphFont"/>
    <w:uiPriority w:val="99"/>
    <w:unhideWhenUsed/>
    <w:rsid w:val="00B61DB0"/>
    <w:rPr>
      <w:color w:val="0563C1" w:themeColor="hyperlink"/>
      <w:u w:val="singl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B61DB0"/>
    <w:pPr>
      <w:spacing w:before="20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scjn.gob.mx/derechos-humanos/sites/default/files/Publicaciones/archivos/2022-06/Manual%20sobre%20desplazamiento%20interno.pdf" TargetMode="External"/><Relationship Id="rId2" Type="http://schemas.openxmlformats.org/officeDocument/2006/relationships/hyperlink" Target="https://www.scjn.gob.mx/derechos-humanos/sites/default/files/Publicaciones/archivos/2022-03/Manual%20Estereotipos%20de%20imparticion%20de%20justicia_DIGITAL%20FINAL.pdf" TargetMode="External"/><Relationship Id="rId1" Type="http://schemas.openxmlformats.org/officeDocument/2006/relationships/hyperlink" Target="https://www.diputados.gob.mx/LeyesBiblio/ref/dof/CPEUM_ref_151_14ago01_ima.pdf" TargetMode="External"/><Relationship Id="rId5" Type="http://schemas.openxmlformats.org/officeDocument/2006/relationships/hyperlink" Target="https://www.scjn.gob.mx/derechos-humanos/sites/default/files/protocolos/archivos/2022-11/VF%20DIGITAL%20Protocolo%20para%20Juzgar%20con%20Perspectiva%20Intercultural_Afros.pdf" TargetMode="External"/><Relationship Id="rId4" Type="http://schemas.openxmlformats.org/officeDocument/2006/relationships/hyperlink" Target="https://www.scjn.gob.mx/derechos-humanos/sites/default/files/protocolos/archivos/2022-11/Protocolo%20para%20Juzgar%20con%20Perspectiva%20Intercultural_Ind%C3%ADgenas_Digital_6a%20entrega%20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input-2</Doctype>
    <Contributor xmlns="d42e65b2-cf21-49c1-b27d-d23f90380c0e">Mexico</Contributor>
    <Postingdate xmlns="d42e65b2-cf21-49c1-b27d-d23f90380c0e" xsi:nil="true"/>
    <Postedonline xmlns="d42e65b2-cf21-49c1-b27d-d23f90380c0e">false</Postedonlin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8AAD9-B872-4719-B6BE-C8D4AE3169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5D3D17-F49B-4F8B-8BC3-9C5A1E45E1BA}"/>
</file>

<file path=customXml/itemProps3.xml><?xml version="1.0" encoding="utf-8"?>
<ds:datastoreItem xmlns:ds="http://schemas.openxmlformats.org/officeDocument/2006/customXml" ds:itemID="{28BE8064-1909-4A32-AFBE-E221A95329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1567</Words>
  <Characters>8937</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Alcazar Ylizaliturri, Jessica</dc:creator>
  <cp:keywords/>
  <dc:description/>
  <cp:lastModifiedBy>Kellie-Shandra Ognimba</cp:lastModifiedBy>
  <cp:revision>2</cp:revision>
  <dcterms:created xsi:type="dcterms:W3CDTF">2023-04-11T11:26:00Z</dcterms:created>
  <dcterms:modified xsi:type="dcterms:W3CDTF">2023-04-11T11:26:00Z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