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53" w:type="dxa"/>
        <w:tblInd w:w="-946" w:type="dxa"/>
        <w:tblCellMar>
          <w:left w:w="278" w:type="dxa"/>
          <w:bottom w:w="33" w:type="dxa"/>
          <w:right w:w="60" w:type="dxa"/>
        </w:tblCellMar>
        <w:tblLook w:val="04A0" w:firstRow="1" w:lastRow="0" w:firstColumn="1" w:lastColumn="0" w:noHBand="0" w:noVBand="1"/>
      </w:tblPr>
      <w:tblGrid>
        <w:gridCol w:w="11253"/>
      </w:tblGrid>
      <w:tr w:rsidR="00670358" w14:paraId="4B199414" w14:textId="77777777">
        <w:trPr>
          <w:trHeight w:val="14853"/>
        </w:trPr>
        <w:tc>
          <w:tcPr>
            <w:tcW w:w="11253" w:type="dxa"/>
            <w:tcBorders>
              <w:top w:val="single" w:sz="12" w:space="0" w:color="548DD4"/>
              <w:left w:val="single" w:sz="12" w:space="0" w:color="548DD4"/>
              <w:bottom w:val="single" w:sz="12" w:space="0" w:color="548DD4"/>
              <w:right w:val="single" w:sz="12" w:space="0" w:color="548DD4"/>
            </w:tcBorders>
            <w:vAlign w:val="bottom"/>
          </w:tcPr>
          <w:p w14:paraId="4F29DD84" w14:textId="6DBDF52A" w:rsidR="00670358" w:rsidRDefault="00A4552A">
            <w:pPr>
              <w:spacing w:after="251"/>
              <w:ind w:right="336"/>
              <w:jc w:val="center"/>
            </w:pPr>
            <w:r>
              <w:rPr>
                <w:rFonts w:ascii="Verdana" w:eastAsia="Verdana" w:hAnsi="Verdana" w:cs="Verdana"/>
                <w:b/>
                <w:color w:val="0072C6"/>
                <w:sz w:val="32"/>
              </w:rPr>
              <w:t xml:space="preserve"> </w:t>
            </w:r>
          </w:p>
          <w:p w14:paraId="1423EA32" w14:textId="77777777" w:rsidR="00670358" w:rsidRDefault="00A4552A">
            <w:pPr>
              <w:spacing w:after="202"/>
              <w:ind w:right="88"/>
              <w:jc w:val="center"/>
            </w:pPr>
            <w:proofErr w:type="spellStart"/>
            <w:r>
              <w:rPr>
                <w:rFonts w:ascii="SimSun" w:eastAsia="SimSun" w:hAnsi="SimSun" w:cs="SimSun"/>
                <w:color w:val="0072C6"/>
                <w:sz w:val="32"/>
              </w:rPr>
              <w:t>对于在人权问题上与联合国互动的恐吓和报复行为</w:t>
            </w:r>
            <w:proofErr w:type="spellEnd"/>
            <w:r>
              <w:rPr>
                <w:rFonts w:ascii="Verdana" w:eastAsia="Verdana" w:hAnsi="Verdana" w:cs="Verdana"/>
                <w:b/>
                <w:color w:val="0072C6"/>
                <w:sz w:val="32"/>
              </w:rPr>
              <w:t xml:space="preserve"> </w:t>
            </w:r>
          </w:p>
          <w:p w14:paraId="40DC4074" w14:textId="77777777" w:rsidR="00670358" w:rsidRDefault="00A4552A">
            <w:pPr>
              <w:spacing w:after="389"/>
            </w:pPr>
            <w:r>
              <w:rPr>
                <w:rFonts w:ascii="Verdana" w:eastAsia="Verdana" w:hAnsi="Verdana" w:cs="Verdana"/>
                <w:b/>
                <w:color w:val="0072C6"/>
                <w:sz w:val="16"/>
              </w:rPr>
              <w:t xml:space="preserve"> </w:t>
            </w:r>
          </w:p>
          <w:p w14:paraId="5CA17622" w14:textId="77777777" w:rsidR="00670358" w:rsidRDefault="00A4552A">
            <w:pPr>
              <w:spacing w:after="224"/>
            </w:pPr>
            <w:proofErr w:type="spellStart"/>
            <w:r>
              <w:rPr>
                <w:rFonts w:ascii="SimSun" w:eastAsia="SimSun" w:hAnsi="SimSun" w:cs="SimSun"/>
                <w:color w:val="0072C6"/>
                <w:sz w:val="28"/>
              </w:rPr>
              <w:t>关于恐吓和报复的报道越来越多</w:t>
            </w:r>
            <w:proofErr w:type="spellEnd"/>
            <w:r>
              <w:rPr>
                <w:rFonts w:ascii="Verdana" w:eastAsia="Verdana" w:hAnsi="Verdana" w:cs="Verdana"/>
                <w:color w:val="0072C6"/>
                <w:sz w:val="28"/>
              </w:rPr>
              <w:t xml:space="preserve"> </w:t>
            </w:r>
          </w:p>
          <w:p w14:paraId="393DE7F2" w14:textId="77777777" w:rsidR="00670358" w:rsidRDefault="00A4552A">
            <w:pPr>
              <w:spacing w:after="277" w:line="312" w:lineRule="auto"/>
            </w:pPr>
            <w:r>
              <w:rPr>
                <w:rFonts w:ascii="SimSun" w:eastAsia="SimSun" w:hAnsi="SimSun" w:cs="SimSun"/>
                <w:sz w:val="20"/>
              </w:rPr>
              <w:t xml:space="preserve"> </w:t>
            </w:r>
            <w:r>
              <w:rPr>
                <w:rFonts w:ascii="SimSun" w:eastAsia="SimSun" w:hAnsi="SimSun" w:cs="SimSun"/>
                <w:sz w:val="20"/>
              </w:rPr>
              <w:tab/>
              <w:t xml:space="preserve">在世界许多地区的民间社会组织空间缩小的情况下，联合国人权办事处关切对于在人权问题上直接与联合国互动者的恐吓和报复案件增加的情况。这种互动可以是分享信息、向联合国机构和机制投诉、参加联合国的活动或培训以及与联合国实体的其他参与形式。联合国秘书长关切报告不断增多的情况，于 </w:t>
            </w:r>
            <w:r>
              <w:rPr>
                <w:rFonts w:ascii="Arial" w:eastAsia="Arial" w:hAnsi="Arial" w:cs="Arial"/>
                <w:sz w:val="20"/>
              </w:rPr>
              <w:t xml:space="preserve">2016 </w:t>
            </w:r>
            <w:r>
              <w:rPr>
                <w:rFonts w:ascii="SimSun" w:eastAsia="SimSun" w:hAnsi="SimSun" w:cs="SimSun"/>
                <w:sz w:val="20"/>
              </w:rPr>
              <w:t xml:space="preserve">年 </w:t>
            </w:r>
            <w:r>
              <w:rPr>
                <w:rFonts w:ascii="Arial" w:eastAsia="Arial" w:hAnsi="Arial" w:cs="Arial"/>
                <w:sz w:val="20"/>
              </w:rPr>
              <w:t xml:space="preserve">10 </w:t>
            </w:r>
            <w:proofErr w:type="spellStart"/>
            <w:r>
              <w:rPr>
                <w:rFonts w:ascii="SimSun" w:eastAsia="SimSun" w:hAnsi="SimSun" w:cs="SimSun"/>
                <w:sz w:val="20"/>
              </w:rPr>
              <w:t>月指定主管人权事务助理秘书长安德鲁·吉尔莫尔担任为负责协调联合国全系统应对和防止恐吓和报复工作的高级官员</w:t>
            </w:r>
            <w:proofErr w:type="spellEnd"/>
            <w:r>
              <w:rPr>
                <w:rFonts w:ascii="SimSun" w:eastAsia="SimSun" w:hAnsi="SimSun" w:cs="SimSun"/>
                <w:sz w:val="20"/>
              </w:rPr>
              <w:t>。</w:t>
            </w:r>
            <w:r>
              <w:rPr>
                <w:rFonts w:ascii="Arial" w:eastAsia="Arial" w:hAnsi="Arial" w:cs="Arial"/>
                <w:sz w:val="20"/>
              </w:rPr>
              <w:t xml:space="preserve"> </w:t>
            </w:r>
          </w:p>
          <w:p w14:paraId="16F7F07B" w14:textId="77777777" w:rsidR="00670358" w:rsidRDefault="00A4552A">
            <w:pPr>
              <w:spacing w:after="224"/>
            </w:pPr>
            <w:proofErr w:type="spellStart"/>
            <w:r>
              <w:rPr>
                <w:rFonts w:ascii="SimSun" w:eastAsia="SimSun" w:hAnsi="SimSun" w:cs="SimSun"/>
                <w:color w:val="0072C6"/>
                <w:sz w:val="28"/>
              </w:rPr>
              <w:t>这一举措包括联合国的哪些部分呢</w:t>
            </w:r>
            <w:proofErr w:type="spellEnd"/>
            <w:r>
              <w:rPr>
                <w:rFonts w:ascii="SimSun" w:eastAsia="SimSun" w:hAnsi="SimSun" w:cs="SimSun"/>
                <w:color w:val="0072C6"/>
                <w:sz w:val="28"/>
              </w:rPr>
              <w:t>？</w:t>
            </w:r>
            <w:r>
              <w:rPr>
                <w:rFonts w:ascii="Verdana" w:eastAsia="Verdana" w:hAnsi="Verdana" w:cs="Verdana"/>
                <w:color w:val="0072C6"/>
                <w:sz w:val="28"/>
              </w:rPr>
              <w:t xml:space="preserve"> </w:t>
            </w:r>
          </w:p>
          <w:p w14:paraId="40D14FB0" w14:textId="77777777" w:rsidR="00670358" w:rsidRDefault="00A4552A">
            <w:pPr>
              <w:spacing w:after="273" w:line="317" w:lineRule="auto"/>
            </w:pPr>
            <w:r>
              <w:rPr>
                <w:rFonts w:ascii="SimSun" w:eastAsia="SimSun" w:hAnsi="SimSun" w:cs="SimSun"/>
                <w:sz w:val="20"/>
              </w:rPr>
              <w:t xml:space="preserve"> </w:t>
            </w:r>
            <w:r>
              <w:rPr>
                <w:rFonts w:ascii="SimSun" w:eastAsia="SimSun" w:hAnsi="SimSun" w:cs="SimSun"/>
                <w:sz w:val="20"/>
              </w:rPr>
              <w:tab/>
              <w:t>在世界任何地方与如下所有联合国机关、实体或机构互动协作：联合国总部、国家办事处和维和特派团、大会、人权理事会、安全理事会、经济及社会理事会、国际刑事法院、国际劳工组织、世界银行</w:t>
            </w:r>
            <w:r>
              <w:rPr>
                <w:rFonts w:ascii="Arial" w:eastAsia="Arial" w:hAnsi="Arial" w:cs="Arial"/>
                <w:sz w:val="20"/>
              </w:rPr>
              <w:t>/</w:t>
            </w:r>
            <w:r>
              <w:rPr>
                <w:rFonts w:ascii="SimSun" w:eastAsia="SimSun" w:hAnsi="SimSun" w:cs="SimSun"/>
                <w:sz w:val="20"/>
              </w:rPr>
              <w:t>国际货币基金组织、联合国关于贸易、发展和环境问题的会议等。</w:t>
            </w:r>
            <w:r>
              <w:rPr>
                <w:rFonts w:ascii="Arial" w:eastAsia="Arial" w:hAnsi="Arial" w:cs="Arial"/>
                <w:sz w:val="20"/>
              </w:rPr>
              <w:t xml:space="preserve"> </w:t>
            </w:r>
          </w:p>
          <w:p w14:paraId="38EAE4D6" w14:textId="77777777" w:rsidR="00670358" w:rsidRDefault="00A4552A">
            <w:pPr>
              <w:spacing w:after="233"/>
            </w:pPr>
            <w:proofErr w:type="spellStart"/>
            <w:r>
              <w:rPr>
                <w:rFonts w:ascii="SimSun" w:eastAsia="SimSun" w:hAnsi="SimSun" w:cs="SimSun"/>
                <w:color w:val="0072C6"/>
                <w:sz w:val="28"/>
              </w:rPr>
              <w:t>向何处发送信息</w:t>
            </w:r>
            <w:proofErr w:type="spellEnd"/>
            <w:r>
              <w:rPr>
                <w:rFonts w:ascii="Verdana" w:eastAsia="Verdana" w:hAnsi="Verdana" w:cs="Verdana"/>
                <w:color w:val="0072C6"/>
                <w:sz w:val="28"/>
              </w:rPr>
              <w:t xml:space="preserve"> </w:t>
            </w:r>
          </w:p>
          <w:p w14:paraId="2659ADAD" w14:textId="6B813709" w:rsidR="00670358" w:rsidRDefault="00A4552A">
            <w:pPr>
              <w:spacing w:after="272" w:line="320" w:lineRule="auto"/>
            </w:pPr>
            <w:r>
              <w:rPr>
                <w:rFonts w:ascii="Arial" w:eastAsia="Arial" w:hAnsi="Arial" w:cs="Arial"/>
                <w:sz w:val="20"/>
              </w:rPr>
              <w:t xml:space="preserve"> </w:t>
            </w:r>
            <w:r>
              <w:rPr>
                <w:rFonts w:ascii="Arial" w:eastAsia="Arial" w:hAnsi="Arial" w:cs="Arial"/>
                <w:sz w:val="20"/>
              </w:rPr>
              <w:tab/>
            </w:r>
            <w:r>
              <w:rPr>
                <w:rFonts w:ascii="SimSun" w:eastAsia="SimSun" w:hAnsi="SimSun" w:cs="SimSun"/>
                <w:sz w:val="20"/>
              </w:rPr>
              <w:t>根据所经历的恐吓和报复的性质，可利用各种不同的联合国实体和机制来找出就具体案件提供协助的方式。民间社会组织和受害人可将事件和风险报告给一个保密的电子邮件地址。联合国在纽约和日内瓦的人权办事处进行监测并确保对在</w:t>
            </w:r>
            <w:r>
              <w:rPr>
                <w:rFonts w:ascii="Arial" w:eastAsia="Arial" w:hAnsi="Arial" w:cs="Arial"/>
                <w:sz w:val="20"/>
              </w:rPr>
              <w:t xml:space="preserve"> </w:t>
            </w:r>
            <w:hyperlink r:id="rId5" w:history="1">
              <w:r w:rsidRPr="00B349A2">
                <w:rPr>
                  <w:rStyle w:val="Hyperlink"/>
                  <w:rFonts w:ascii="Arial" w:eastAsia="Arial" w:hAnsi="Arial" w:cs="Arial"/>
                  <w:sz w:val="20"/>
                </w:rPr>
                <w:t>ohchr-reprisals@un.org</w:t>
              </w:r>
            </w:hyperlink>
            <w:r>
              <w:rPr>
                <w:rFonts w:ascii="Arial" w:eastAsia="Arial" w:hAnsi="Arial" w:cs="Arial"/>
                <w:sz w:val="20"/>
              </w:rPr>
              <w:t xml:space="preserve"> </w:t>
            </w:r>
            <w:proofErr w:type="spellStart"/>
            <w:r>
              <w:rPr>
                <w:rFonts w:ascii="SimSun" w:eastAsia="SimSun" w:hAnsi="SimSun" w:cs="SimSun"/>
                <w:sz w:val="20"/>
              </w:rPr>
              <w:t>这一地址收到的信息采取充分的后续行动</w:t>
            </w:r>
            <w:proofErr w:type="spellEnd"/>
            <w:r>
              <w:rPr>
                <w:rFonts w:ascii="SimSun" w:eastAsia="SimSun" w:hAnsi="SimSun" w:cs="SimSun"/>
                <w:sz w:val="20"/>
              </w:rPr>
              <w:t>。</w:t>
            </w:r>
            <w:r>
              <w:rPr>
                <w:rFonts w:ascii="Arial" w:eastAsia="Arial" w:hAnsi="Arial" w:cs="Arial"/>
                <w:color w:val="222222"/>
                <w:sz w:val="20"/>
              </w:rPr>
              <w:t xml:space="preserve"> </w:t>
            </w:r>
          </w:p>
          <w:p w14:paraId="596887B5" w14:textId="77777777" w:rsidR="00670358" w:rsidRDefault="00A4552A">
            <w:pPr>
              <w:spacing w:after="233"/>
            </w:pPr>
            <w:proofErr w:type="spellStart"/>
            <w:r>
              <w:rPr>
                <w:rFonts w:ascii="SimSun" w:eastAsia="SimSun" w:hAnsi="SimSun" w:cs="SimSun"/>
                <w:color w:val="0072C6"/>
                <w:sz w:val="28"/>
              </w:rPr>
              <w:t>需要提供哪些信息</w:t>
            </w:r>
            <w:proofErr w:type="spellEnd"/>
            <w:r>
              <w:rPr>
                <w:rFonts w:ascii="Verdana" w:eastAsia="Verdana" w:hAnsi="Verdana" w:cs="Verdana"/>
                <w:color w:val="0072C6"/>
                <w:sz w:val="28"/>
              </w:rPr>
              <w:t xml:space="preserve"> </w:t>
            </w:r>
          </w:p>
          <w:p w14:paraId="1A2B1DFF" w14:textId="77777777" w:rsidR="00670358" w:rsidRDefault="00A4552A">
            <w:pPr>
              <w:numPr>
                <w:ilvl w:val="0"/>
                <w:numId w:val="1"/>
              </w:numPr>
              <w:spacing w:after="342"/>
              <w:ind w:hanging="427"/>
            </w:pPr>
            <w:proofErr w:type="spellStart"/>
            <w:r>
              <w:rPr>
                <w:rFonts w:ascii="SimSun" w:eastAsia="SimSun" w:hAnsi="SimSun" w:cs="SimSun"/>
                <w:sz w:val="20"/>
              </w:rPr>
              <w:t>说明案情如何与受害人同联合国的合作相关联</w:t>
            </w:r>
            <w:proofErr w:type="spellEnd"/>
            <w:r>
              <w:rPr>
                <w:rFonts w:ascii="SimSun" w:eastAsia="SimSun" w:hAnsi="SimSun" w:cs="SimSun"/>
                <w:sz w:val="20"/>
              </w:rPr>
              <w:t>。</w:t>
            </w:r>
            <w:r>
              <w:rPr>
                <w:rFonts w:ascii="Arial" w:eastAsia="Arial" w:hAnsi="Arial" w:cs="Arial"/>
                <w:sz w:val="20"/>
              </w:rPr>
              <w:t xml:space="preserve"> </w:t>
            </w:r>
          </w:p>
          <w:p w14:paraId="032A810E" w14:textId="77777777" w:rsidR="00670358" w:rsidRDefault="00A4552A">
            <w:pPr>
              <w:numPr>
                <w:ilvl w:val="0"/>
                <w:numId w:val="1"/>
              </w:numPr>
              <w:spacing w:after="343"/>
              <w:ind w:hanging="427"/>
            </w:pPr>
            <w:proofErr w:type="spellStart"/>
            <w:r>
              <w:rPr>
                <w:rFonts w:ascii="SimSun" w:eastAsia="SimSun" w:hAnsi="SimSun" w:cs="SimSun"/>
                <w:sz w:val="20"/>
              </w:rPr>
              <w:t>说明案情：有谁？何时？何地？何事？如何发生？被控施害者？有何证据或记录</w:t>
            </w:r>
            <w:proofErr w:type="spellEnd"/>
            <w:r>
              <w:rPr>
                <w:rFonts w:ascii="SimSun" w:eastAsia="SimSun" w:hAnsi="SimSun" w:cs="SimSun"/>
                <w:sz w:val="20"/>
              </w:rPr>
              <w:t>？</w:t>
            </w:r>
            <w:r>
              <w:rPr>
                <w:rFonts w:ascii="Arial" w:eastAsia="Arial" w:hAnsi="Arial" w:cs="Arial"/>
                <w:sz w:val="20"/>
              </w:rPr>
              <w:t xml:space="preserve"> </w:t>
            </w:r>
          </w:p>
          <w:p w14:paraId="10A59928" w14:textId="77777777" w:rsidR="00670358" w:rsidRDefault="00A4552A">
            <w:pPr>
              <w:numPr>
                <w:ilvl w:val="0"/>
                <w:numId w:val="1"/>
              </w:numPr>
              <w:spacing w:after="281" w:line="316" w:lineRule="auto"/>
              <w:ind w:hanging="427"/>
            </w:pPr>
            <w:r>
              <w:rPr>
                <w:rFonts w:ascii="SimSun" w:eastAsia="SimSun" w:hAnsi="SimSun" w:cs="SimSun"/>
                <w:sz w:val="20"/>
              </w:rPr>
              <w:t>受害人或其家庭成员</w:t>
            </w:r>
            <w:r>
              <w:rPr>
                <w:rFonts w:ascii="Arial" w:eastAsia="Arial" w:hAnsi="Arial" w:cs="Arial"/>
                <w:sz w:val="20"/>
              </w:rPr>
              <w:t>/</w:t>
            </w:r>
            <w:r>
              <w:rPr>
                <w:rFonts w:ascii="SimSun" w:eastAsia="SimSun" w:hAnsi="SimSun" w:cs="SimSun"/>
                <w:sz w:val="20"/>
              </w:rPr>
              <w:t>法律代表是否同意与联合国实体共享有关信息以便采取可能的行动（即在与会员国的会议中使用有关信息、信件和公开报告等）？</w:t>
            </w:r>
            <w:r>
              <w:rPr>
                <w:rFonts w:ascii="Arial" w:eastAsia="Arial" w:hAnsi="Arial" w:cs="Arial"/>
                <w:sz w:val="20"/>
              </w:rPr>
              <w:t xml:space="preserve"> </w:t>
            </w:r>
          </w:p>
          <w:p w14:paraId="3BF1474F" w14:textId="77777777" w:rsidR="00670358" w:rsidRDefault="00A4552A">
            <w:pPr>
              <w:numPr>
                <w:ilvl w:val="0"/>
                <w:numId w:val="1"/>
              </w:numPr>
              <w:spacing w:after="5" w:line="403" w:lineRule="auto"/>
              <w:ind w:hanging="427"/>
            </w:pPr>
            <w:proofErr w:type="spellStart"/>
            <w:r>
              <w:rPr>
                <w:rFonts w:ascii="SimSun" w:eastAsia="SimSun" w:hAnsi="SimSun" w:cs="SimSun"/>
                <w:sz w:val="20"/>
              </w:rPr>
              <w:t>是否向国家、地区或其他国际机构提出了申诉？</w:t>
            </w:r>
            <w:r>
              <w:rPr>
                <w:rFonts w:ascii="SimSun" w:eastAsia="SimSun" w:hAnsi="SimSun" w:cs="SimSun"/>
                <w:color w:val="0072C6"/>
                <w:sz w:val="28"/>
              </w:rPr>
              <w:t>如要了解更多信息，请登录</w:t>
            </w:r>
            <w:proofErr w:type="spellEnd"/>
            <w:r>
              <w:rPr>
                <w:rFonts w:ascii="Verdana" w:eastAsia="Verdana" w:hAnsi="Verdana" w:cs="Verdana"/>
                <w:color w:val="0072C6"/>
                <w:sz w:val="28"/>
              </w:rPr>
              <w:t xml:space="preserve"> </w:t>
            </w:r>
          </w:p>
          <w:p w14:paraId="32497FE3" w14:textId="77777777" w:rsidR="00670358" w:rsidRDefault="00A4552A">
            <w:pPr>
              <w:tabs>
                <w:tab w:val="center" w:pos="0"/>
                <w:tab w:val="center" w:pos="2726"/>
              </w:tabs>
              <w:spacing w:after="70"/>
            </w:pPr>
            <w:r>
              <w:tab/>
            </w:r>
            <w:r>
              <w:rPr>
                <w:rFonts w:ascii="SimSun" w:eastAsia="SimSun" w:hAnsi="SimSun" w:cs="SimSun"/>
                <w:sz w:val="20"/>
              </w:rPr>
              <w:t xml:space="preserve"> </w:t>
            </w:r>
            <w:r>
              <w:rPr>
                <w:rFonts w:ascii="SimSun" w:eastAsia="SimSun" w:hAnsi="SimSun" w:cs="SimSun"/>
                <w:sz w:val="20"/>
              </w:rPr>
              <w:tab/>
            </w:r>
            <w:proofErr w:type="spellStart"/>
            <w:r>
              <w:rPr>
                <w:rFonts w:ascii="SimSun" w:eastAsia="SimSun" w:hAnsi="SimSun" w:cs="SimSun"/>
                <w:sz w:val="20"/>
              </w:rPr>
              <w:t>联合国人权事务办事处关于恐吓和报复行为的网页</w:t>
            </w:r>
            <w:proofErr w:type="spellEnd"/>
            <w:r>
              <w:rPr>
                <w:rFonts w:ascii="SimSun" w:eastAsia="SimSun" w:hAnsi="SimSun" w:cs="SimSun"/>
                <w:sz w:val="20"/>
              </w:rPr>
              <w:t xml:space="preserve">： </w:t>
            </w:r>
          </w:p>
          <w:p w14:paraId="48BBE74E" w14:textId="77777777" w:rsidR="00670358" w:rsidRDefault="00A4552A">
            <w:pPr>
              <w:tabs>
                <w:tab w:val="center" w:pos="0"/>
                <w:tab w:val="center" w:pos="3950"/>
              </w:tabs>
              <w:spacing w:after="345"/>
            </w:pPr>
            <w:r>
              <w:tab/>
            </w:r>
            <w:r>
              <w:rPr>
                <w:rFonts w:ascii="Verdana" w:eastAsia="Verdana" w:hAnsi="Verdana" w:cs="Verdana"/>
                <w:color w:val="0072C6"/>
                <w:sz w:val="20"/>
              </w:rPr>
              <w:t xml:space="preserve"> </w:t>
            </w:r>
            <w:r>
              <w:rPr>
                <w:rFonts w:ascii="Verdana" w:eastAsia="Verdana" w:hAnsi="Verdana" w:cs="Verdana"/>
                <w:color w:val="0072C6"/>
                <w:sz w:val="20"/>
              </w:rPr>
              <w:tab/>
            </w:r>
            <w:hyperlink r:id="rId6">
              <w:r>
                <w:rPr>
                  <w:rFonts w:ascii="Verdana" w:eastAsia="Verdana" w:hAnsi="Verdana" w:cs="Verdana"/>
                  <w:color w:val="0000FF"/>
                  <w:sz w:val="20"/>
                </w:rPr>
                <w:t>http://www.ohchr.org/EN/Issues/Reprisals/Pages/ReprisalsIndex.aspx</w:t>
              </w:r>
            </w:hyperlink>
            <w:hyperlink r:id="rId7">
              <w:r>
                <w:rPr>
                  <w:rFonts w:ascii="Verdana" w:eastAsia="Verdana" w:hAnsi="Verdana" w:cs="Verdana"/>
                  <w:sz w:val="20"/>
                </w:rPr>
                <w:t xml:space="preserve"> </w:t>
              </w:r>
            </w:hyperlink>
          </w:p>
          <w:p w14:paraId="6BA56BE2" w14:textId="77777777" w:rsidR="00670358" w:rsidRDefault="00A4552A">
            <w:pPr>
              <w:spacing w:after="432"/>
              <w:ind w:left="1692"/>
            </w:pPr>
            <w:r>
              <w:rPr>
                <w:rFonts w:ascii="Times New Roman" w:eastAsia="Times New Roman" w:hAnsi="Times New Roman" w:cs="Times New Roman"/>
                <w:sz w:val="21"/>
              </w:rPr>
              <w:t xml:space="preserve"> </w:t>
            </w:r>
          </w:p>
          <w:p w14:paraId="4428A10E" w14:textId="77777777" w:rsidR="00670358" w:rsidRDefault="00A4552A">
            <w:pPr>
              <w:spacing w:after="28"/>
              <w:ind w:left="427" w:right="649"/>
            </w:pPr>
            <w:r>
              <w:rPr>
                <w:noProof/>
              </w:rPr>
              <w:drawing>
                <wp:anchor distT="0" distB="0" distL="114300" distR="114300" simplePos="0" relativeHeight="251658240" behindDoc="0" locked="0" layoutInCell="1" allowOverlap="0" wp14:anchorId="3E607072" wp14:editId="14C69F1B">
                  <wp:simplePos x="0" y="0"/>
                  <wp:positionH relativeFrom="column">
                    <wp:posOffset>6077966</wp:posOffset>
                  </wp:positionH>
                  <wp:positionV relativeFrom="paragraph">
                    <wp:posOffset>-6794</wp:posOffset>
                  </wp:positionV>
                  <wp:extent cx="617385" cy="23114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17385" cy="231140"/>
                          </a:xfrm>
                          <a:prstGeom prst="rect">
                            <a:avLst/>
                          </a:prstGeom>
                        </pic:spPr>
                      </pic:pic>
                    </a:graphicData>
                  </a:graphic>
                </wp:anchor>
              </w:drawing>
            </w:r>
            <w:r>
              <w:rPr>
                <w:rFonts w:ascii="Times New Roman" w:eastAsia="Times New Roman" w:hAnsi="Times New Roman" w:cs="Times New Roman"/>
                <w:sz w:val="21"/>
              </w:rPr>
              <w:t xml:space="preserve">17-18076 (C) </w:t>
            </w:r>
          </w:p>
          <w:p w14:paraId="65B77BE9" w14:textId="77777777" w:rsidR="00670358" w:rsidRDefault="00A4552A">
            <w:pPr>
              <w:ind w:right="173"/>
              <w:jc w:val="center"/>
            </w:pPr>
            <w:r>
              <w:rPr>
                <w:rFonts w:ascii="Times New Roman" w:eastAsia="Times New Roman" w:hAnsi="Times New Roman" w:cs="Times New Roman"/>
                <w:sz w:val="21"/>
              </w:rPr>
              <w:t xml:space="preserve"> </w:t>
            </w:r>
            <w:r>
              <w:rPr>
                <w:rFonts w:ascii="Times New Roman" w:eastAsia="Times New Roman" w:hAnsi="Times New Roman" w:cs="Times New Roman"/>
                <w:b/>
                <w:sz w:val="28"/>
                <w:vertAlign w:val="subscript"/>
              </w:rPr>
              <w:t xml:space="preserve"> </w:t>
            </w:r>
            <w:r>
              <w:rPr>
                <w:rFonts w:ascii="Times New Roman" w:eastAsia="Times New Roman" w:hAnsi="Times New Roman" w:cs="Times New Roman"/>
                <w:b/>
                <w:sz w:val="18"/>
              </w:rPr>
              <w:t xml:space="preserve"> </w:t>
            </w:r>
          </w:p>
        </w:tc>
      </w:tr>
    </w:tbl>
    <w:p w14:paraId="2F529577" w14:textId="77777777" w:rsidR="00537862" w:rsidRDefault="00537862"/>
    <w:sectPr w:rsidR="00537862">
      <w:pgSz w:w="12240" w:h="15840"/>
      <w:pgMar w:top="494" w:right="1440" w:bottom="49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143FC5"/>
    <w:multiLevelType w:val="hybridMultilevel"/>
    <w:tmpl w:val="6E1EFB2C"/>
    <w:lvl w:ilvl="0" w:tplc="90E8BD58">
      <w:start w:val="1"/>
      <w:numFmt w:val="bullet"/>
      <w:lvlText w:val="•"/>
      <w:lvlJc w:val="left"/>
      <w:pPr>
        <w:ind w:left="427"/>
      </w:pPr>
      <w:rPr>
        <w:rFonts w:ascii="SimSun" w:eastAsia="SimSun" w:hAnsi="SimSun" w:cs="SimSun"/>
        <w:b w:val="0"/>
        <w:i w:val="0"/>
        <w:strike w:val="0"/>
        <w:dstrike w:val="0"/>
        <w:color w:val="000000"/>
        <w:sz w:val="20"/>
        <w:szCs w:val="20"/>
        <w:u w:val="none" w:color="000000"/>
        <w:bdr w:val="none" w:sz="0" w:space="0" w:color="auto"/>
        <w:shd w:val="clear" w:color="auto" w:fill="auto"/>
        <w:vertAlign w:val="baseline"/>
      </w:rPr>
    </w:lvl>
    <w:lvl w:ilvl="1" w:tplc="597433B4">
      <w:start w:val="1"/>
      <w:numFmt w:val="bullet"/>
      <w:lvlText w:val="o"/>
      <w:lvlJc w:val="left"/>
      <w:pPr>
        <w:ind w:left="1358"/>
      </w:pPr>
      <w:rPr>
        <w:rFonts w:ascii="SimSun" w:eastAsia="SimSun" w:hAnsi="SimSun" w:cs="SimSun"/>
        <w:b w:val="0"/>
        <w:i w:val="0"/>
        <w:strike w:val="0"/>
        <w:dstrike w:val="0"/>
        <w:color w:val="000000"/>
        <w:sz w:val="20"/>
        <w:szCs w:val="20"/>
        <w:u w:val="none" w:color="000000"/>
        <w:bdr w:val="none" w:sz="0" w:space="0" w:color="auto"/>
        <w:shd w:val="clear" w:color="auto" w:fill="auto"/>
        <w:vertAlign w:val="baseline"/>
      </w:rPr>
    </w:lvl>
    <w:lvl w:ilvl="2" w:tplc="D91CC9D6">
      <w:start w:val="1"/>
      <w:numFmt w:val="bullet"/>
      <w:lvlText w:val="▪"/>
      <w:lvlJc w:val="left"/>
      <w:pPr>
        <w:ind w:left="2078"/>
      </w:pPr>
      <w:rPr>
        <w:rFonts w:ascii="SimSun" w:eastAsia="SimSun" w:hAnsi="SimSun" w:cs="SimSun"/>
        <w:b w:val="0"/>
        <w:i w:val="0"/>
        <w:strike w:val="0"/>
        <w:dstrike w:val="0"/>
        <w:color w:val="000000"/>
        <w:sz w:val="20"/>
        <w:szCs w:val="20"/>
        <w:u w:val="none" w:color="000000"/>
        <w:bdr w:val="none" w:sz="0" w:space="0" w:color="auto"/>
        <w:shd w:val="clear" w:color="auto" w:fill="auto"/>
        <w:vertAlign w:val="baseline"/>
      </w:rPr>
    </w:lvl>
    <w:lvl w:ilvl="3" w:tplc="94FE746C">
      <w:start w:val="1"/>
      <w:numFmt w:val="bullet"/>
      <w:lvlText w:val="•"/>
      <w:lvlJc w:val="left"/>
      <w:pPr>
        <w:ind w:left="2798"/>
      </w:pPr>
      <w:rPr>
        <w:rFonts w:ascii="SimSun" w:eastAsia="SimSun" w:hAnsi="SimSun" w:cs="SimSun"/>
        <w:b w:val="0"/>
        <w:i w:val="0"/>
        <w:strike w:val="0"/>
        <w:dstrike w:val="0"/>
        <w:color w:val="000000"/>
        <w:sz w:val="20"/>
        <w:szCs w:val="20"/>
        <w:u w:val="none" w:color="000000"/>
        <w:bdr w:val="none" w:sz="0" w:space="0" w:color="auto"/>
        <w:shd w:val="clear" w:color="auto" w:fill="auto"/>
        <w:vertAlign w:val="baseline"/>
      </w:rPr>
    </w:lvl>
    <w:lvl w:ilvl="4" w:tplc="BC00F062">
      <w:start w:val="1"/>
      <w:numFmt w:val="bullet"/>
      <w:lvlText w:val="o"/>
      <w:lvlJc w:val="left"/>
      <w:pPr>
        <w:ind w:left="3518"/>
      </w:pPr>
      <w:rPr>
        <w:rFonts w:ascii="SimSun" w:eastAsia="SimSun" w:hAnsi="SimSun" w:cs="SimSun"/>
        <w:b w:val="0"/>
        <w:i w:val="0"/>
        <w:strike w:val="0"/>
        <w:dstrike w:val="0"/>
        <w:color w:val="000000"/>
        <w:sz w:val="20"/>
        <w:szCs w:val="20"/>
        <w:u w:val="none" w:color="000000"/>
        <w:bdr w:val="none" w:sz="0" w:space="0" w:color="auto"/>
        <w:shd w:val="clear" w:color="auto" w:fill="auto"/>
        <w:vertAlign w:val="baseline"/>
      </w:rPr>
    </w:lvl>
    <w:lvl w:ilvl="5" w:tplc="9FF85B02">
      <w:start w:val="1"/>
      <w:numFmt w:val="bullet"/>
      <w:lvlText w:val="▪"/>
      <w:lvlJc w:val="left"/>
      <w:pPr>
        <w:ind w:left="4238"/>
      </w:pPr>
      <w:rPr>
        <w:rFonts w:ascii="SimSun" w:eastAsia="SimSun" w:hAnsi="SimSun" w:cs="SimSun"/>
        <w:b w:val="0"/>
        <w:i w:val="0"/>
        <w:strike w:val="0"/>
        <w:dstrike w:val="0"/>
        <w:color w:val="000000"/>
        <w:sz w:val="20"/>
        <w:szCs w:val="20"/>
        <w:u w:val="none" w:color="000000"/>
        <w:bdr w:val="none" w:sz="0" w:space="0" w:color="auto"/>
        <w:shd w:val="clear" w:color="auto" w:fill="auto"/>
        <w:vertAlign w:val="baseline"/>
      </w:rPr>
    </w:lvl>
    <w:lvl w:ilvl="6" w:tplc="ED4E4F90">
      <w:start w:val="1"/>
      <w:numFmt w:val="bullet"/>
      <w:lvlText w:val="•"/>
      <w:lvlJc w:val="left"/>
      <w:pPr>
        <w:ind w:left="4958"/>
      </w:pPr>
      <w:rPr>
        <w:rFonts w:ascii="SimSun" w:eastAsia="SimSun" w:hAnsi="SimSun" w:cs="SimSun"/>
        <w:b w:val="0"/>
        <w:i w:val="0"/>
        <w:strike w:val="0"/>
        <w:dstrike w:val="0"/>
        <w:color w:val="000000"/>
        <w:sz w:val="20"/>
        <w:szCs w:val="20"/>
        <w:u w:val="none" w:color="000000"/>
        <w:bdr w:val="none" w:sz="0" w:space="0" w:color="auto"/>
        <w:shd w:val="clear" w:color="auto" w:fill="auto"/>
        <w:vertAlign w:val="baseline"/>
      </w:rPr>
    </w:lvl>
    <w:lvl w:ilvl="7" w:tplc="B76C403E">
      <w:start w:val="1"/>
      <w:numFmt w:val="bullet"/>
      <w:lvlText w:val="o"/>
      <w:lvlJc w:val="left"/>
      <w:pPr>
        <w:ind w:left="5678"/>
      </w:pPr>
      <w:rPr>
        <w:rFonts w:ascii="SimSun" w:eastAsia="SimSun" w:hAnsi="SimSun" w:cs="SimSun"/>
        <w:b w:val="0"/>
        <w:i w:val="0"/>
        <w:strike w:val="0"/>
        <w:dstrike w:val="0"/>
        <w:color w:val="000000"/>
        <w:sz w:val="20"/>
        <w:szCs w:val="20"/>
        <w:u w:val="none" w:color="000000"/>
        <w:bdr w:val="none" w:sz="0" w:space="0" w:color="auto"/>
        <w:shd w:val="clear" w:color="auto" w:fill="auto"/>
        <w:vertAlign w:val="baseline"/>
      </w:rPr>
    </w:lvl>
    <w:lvl w:ilvl="8" w:tplc="1BEEB868">
      <w:start w:val="1"/>
      <w:numFmt w:val="bullet"/>
      <w:lvlText w:val="▪"/>
      <w:lvlJc w:val="left"/>
      <w:pPr>
        <w:ind w:left="6398"/>
      </w:pPr>
      <w:rPr>
        <w:rFonts w:ascii="SimSun" w:eastAsia="SimSun" w:hAnsi="SimSun" w:cs="SimSun"/>
        <w:b w:val="0"/>
        <w:i w:val="0"/>
        <w:strike w:val="0"/>
        <w:dstrike w:val="0"/>
        <w:color w:val="000000"/>
        <w:sz w:val="20"/>
        <w:szCs w:val="20"/>
        <w:u w:val="none" w:color="000000"/>
        <w:bdr w:val="none" w:sz="0" w:space="0" w:color="auto"/>
        <w:shd w:val="clear" w:color="auto" w:fill="auto"/>
        <w:vertAlign w:val="baseline"/>
      </w:rPr>
    </w:lvl>
  </w:abstractNum>
  <w:num w:numId="1" w16cid:durableId="184177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358"/>
    <w:rsid w:val="00277B68"/>
    <w:rsid w:val="00537862"/>
    <w:rsid w:val="00670358"/>
    <w:rsid w:val="00A45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1E2C"/>
  <w15:docId w15:val="{A9E56FE1-120F-4E38-B20C-B56DB552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4552A"/>
    <w:rPr>
      <w:color w:val="0563C1" w:themeColor="hyperlink"/>
      <w:u w:val="single"/>
    </w:rPr>
  </w:style>
  <w:style w:type="character" w:styleId="UnresolvedMention">
    <w:name w:val="Unresolved Mention"/>
    <w:basedOn w:val="DefaultParagraphFont"/>
    <w:uiPriority w:val="99"/>
    <w:semiHidden/>
    <w:unhideWhenUsed/>
    <w:rsid w:val="00A45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ohchr.org/EN/Issues/Reprisals/Pages/Reprisals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hchr.org/EN/Issues/Reprisals/Pages/ReprisalsIndex.aspx" TargetMode="External"/><Relationship Id="rId5" Type="http://schemas.openxmlformats.org/officeDocument/2006/relationships/hyperlink" Target="mailto:ohchr-reprisals@un.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Ctpu</dc:title>
  <dc:subject/>
  <dc:creator>Bin Guo</dc:creator>
  <cp:keywords/>
  <cp:lastModifiedBy>Dolores Infante-Canibano</cp:lastModifiedBy>
  <cp:revision>3</cp:revision>
  <dcterms:created xsi:type="dcterms:W3CDTF">2022-10-25T10:41:00Z</dcterms:created>
  <dcterms:modified xsi:type="dcterms:W3CDTF">2023-03-13T07:53:00Z</dcterms:modified>
</cp:coreProperties>
</file>