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3" w:type="dxa"/>
        <w:tblInd w:w="-946" w:type="dxa"/>
        <w:tblCellMar>
          <w:left w:w="706" w:type="dxa"/>
          <w:bottom w:w="23" w:type="dxa"/>
          <w:right w:w="650" w:type="dxa"/>
        </w:tblCellMar>
        <w:tblLook w:val="04A0" w:firstRow="1" w:lastRow="0" w:firstColumn="1" w:lastColumn="0" w:noHBand="0" w:noVBand="1"/>
      </w:tblPr>
      <w:tblGrid>
        <w:gridCol w:w="11253"/>
      </w:tblGrid>
      <w:tr w:rsidR="005161A4" w14:paraId="6ECC6FC7" w14:textId="77777777">
        <w:trPr>
          <w:trHeight w:val="14853"/>
        </w:trPr>
        <w:tc>
          <w:tcPr>
            <w:tcW w:w="11253" w:type="dxa"/>
            <w:tcBorders>
              <w:top w:val="single" w:sz="12" w:space="0" w:color="4F81BD"/>
              <w:left w:val="single" w:sz="12" w:space="0" w:color="4F81BD"/>
              <w:bottom w:val="single" w:sz="12" w:space="0" w:color="4F81BD"/>
              <w:right w:val="single" w:sz="12" w:space="0" w:color="4F81BD"/>
            </w:tcBorders>
            <w:vAlign w:val="bottom"/>
          </w:tcPr>
          <w:p w14:paraId="355385A4" w14:textId="0B9B01C2" w:rsidR="005161A4" w:rsidRDefault="005161A4">
            <w:pPr>
              <w:spacing w:after="347"/>
              <w:ind w:left="2904"/>
            </w:pPr>
          </w:p>
          <w:p w14:paraId="48154723" w14:textId="5450A177" w:rsidR="005161A4" w:rsidRPr="007326B4" w:rsidRDefault="007326B4" w:rsidP="007326B4">
            <w:pPr>
              <w:spacing w:after="253"/>
              <w:ind w:left="42"/>
              <w:jc w:val="center"/>
              <w:rPr>
                <w:lang w:val="fr-FR"/>
              </w:rPr>
            </w:pPr>
            <w:r w:rsidRPr="007326B4">
              <w:rPr>
                <w:rFonts w:ascii="Verdana" w:eastAsia="Verdana" w:hAnsi="Verdana" w:cs="Verdana"/>
                <w:b/>
                <w:color w:val="0072C6"/>
                <w:sz w:val="28"/>
                <w:lang w:val="fr-FR"/>
              </w:rPr>
              <w:t xml:space="preserve"> Actes d’intimidation et de représailles dirigés contre ceux qui entretiennent des relations  </w:t>
            </w:r>
          </w:p>
          <w:p w14:paraId="7356F575" w14:textId="77777777" w:rsidR="005161A4" w:rsidRPr="007326B4" w:rsidRDefault="007326B4">
            <w:pPr>
              <w:spacing w:after="161" w:line="238" w:lineRule="auto"/>
              <w:jc w:val="center"/>
              <w:rPr>
                <w:lang w:val="fr-FR"/>
              </w:rPr>
            </w:pPr>
            <w:proofErr w:type="gramStart"/>
            <w:r w:rsidRPr="007326B4">
              <w:rPr>
                <w:rFonts w:ascii="Verdana" w:eastAsia="Verdana" w:hAnsi="Verdana" w:cs="Verdana"/>
                <w:b/>
                <w:color w:val="0072C6"/>
                <w:sz w:val="28"/>
                <w:lang w:val="fr-FR"/>
              </w:rPr>
              <w:t>avec</w:t>
            </w:r>
            <w:proofErr w:type="gramEnd"/>
            <w:r w:rsidRPr="007326B4">
              <w:rPr>
                <w:rFonts w:ascii="Verdana" w:eastAsia="Verdana" w:hAnsi="Verdana" w:cs="Verdana"/>
                <w:b/>
                <w:color w:val="0072C6"/>
                <w:sz w:val="28"/>
                <w:lang w:val="fr-FR"/>
              </w:rPr>
              <w:t xml:space="preserve"> l’Organisation des Nations Unies en matière de droits de l’homme </w:t>
            </w:r>
          </w:p>
          <w:p w14:paraId="0BBBE950" w14:textId="245E64E0" w:rsidR="005161A4" w:rsidRPr="007326B4" w:rsidRDefault="007326B4" w:rsidP="007326B4">
            <w:pPr>
              <w:spacing w:after="204"/>
              <w:rPr>
                <w:lang w:val="fr-FR"/>
              </w:rPr>
            </w:pPr>
            <w:r w:rsidRPr="007326B4">
              <w:rPr>
                <w:rFonts w:ascii="Verdana" w:eastAsia="Verdana" w:hAnsi="Verdana" w:cs="Verdana"/>
                <w:b/>
                <w:color w:val="0072C6"/>
                <w:sz w:val="16"/>
                <w:lang w:val="fr-FR"/>
              </w:rPr>
              <w:t xml:space="preserve"> </w:t>
            </w:r>
            <w:r w:rsidRPr="007326B4">
              <w:rPr>
                <w:rFonts w:ascii="Verdana" w:eastAsia="Verdana" w:hAnsi="Verdana" w:cs="Verdana"/>
                <w:color w:val="0072C6"/>
                <w:sz w:val="10"/>
                <w:lang w:val="fr-FR"/>
              </w:rPr>
              <w:t xml:space="preserve"> </w:t>
            </w:r>
          </w:p>
          <w:p w14:paraId="42F25DB5" w14:textId="77777777" w:rsidR="005161A4" w:rsidRPr="007326B4" w:rsidRDefault="007326B4">
            <w:pPr>
              <w:spacing w:after="157"/>
              <w:rPr>
                <w:lang w:val="fr-FR"/>
              </w:rPr>
            </w:pPr>
            <w:r w:rsidRPr="007326B4">
              <w:rPr>
                <w:rFonts w:ascii="Verdana" w:eastAsia="Verdana" w:hAnsi="Verdana" w:cs="Verdana"/>
                <w:color w:val="0072C6"/>
                <w:sz w:val="28"/>
                <w:lang w:val="fr-FR"/>
              </w:rPr>
              <w:t xml:space="preserve">Augmentation du nombre d’actes d’intimidation et de représailles </w:t>
            </w:r>
          </w:p>
          <w:p w14:paraId="4731AE4F" w14:textId="124CF104" w:rsidR="005161A4" w:rsidRPr="007326B4" w:rsidRDefault="007326B4" w:rsidP="007326B4">
            <w:pPr>
              <w:spacing w:after="182" w:line="252" w:lineRule="auto"/>
              <w:ind w:right="59"/>
              <w:jc w:val="both"/>
              <w:rPr>
                <w:lang w:val="fr-FR"/>
              </w:rPr>
            </w:pPr>
            <w:r w:rsidRPr="007326B4">
              <w:rPr>
                <w:rFonts w:ascii="Arial" w:eastAsia="Arial" w:hAnsi="Arial" w:cs="Arial"/>
                <w:sz w:val="20"/>
                <w:lang w:val="fr-FR"/>
              </w:rPr>
              <w:t xml:space="preserve">Alors que les organisations de la société civile disposent d’une marge de manœuvre de plus en plus réduite dans de nombreuses régions du monde, le Haut-Commissariat des Nations Unies aux droits de l’homme est préoccupé par l’augmentation du nombre d’actes d’intimidation et de représailles dont feraient l’objet des personnes qui entretiennent des relations directes avec l’ONU en matière de droits de l’homme, que ce soit pour communiquer des informations, porter plainte devant des organismes ou des mécanismes relevant de l’Organisation, assister à des manifestations ou formations se tenant sous ses auspices, ou participer de toute autre manière aux travaux d’entités des Nations Unies. En octobre 2016, préoccupé par l’augmentation du nombre de cas signalés, le Secrétaire général de l’Organisation a chargé le Sous-Secrétaire général aux droits de l’homme, Andrew </w:t>
            </w:r>
            <w:proofErr w:type="spellStart"/>
            <w:r w:rsidRPr="007326B4">
              <w:rPr>
                <w:rFonts w:ascii="Arial" w:eastAsia="Arial" w:hAnsi="Arial" w:cs="Arial"/>
                <w:sz w:val="20"/>
                <w:lang w:val="fr-FR"/>
              </w:rPr>
              <w:t>Gilmour</w:t>
            </w:r>
            <w:proofErr w:type="spellEnd"/>
            <w:r w:rsidRPr="007326B4">
              <w:rPr>
                <w:rFonts w:ascii="Arial" w:eastAsia="Arial" w:hAnsi="Arial" w:cs="Arial"/>
                <w:sz w:val="20"/>
                <w:lang w:val="fr-FR"/>
              </w:rPr>
              <w:t xml:space="preserve">, de coordonner les mesures prises à l’échelle du système pour lutter contre les actes d’intimidation et de représailles et les prévenir. </w:t>
            </w:r>
          </w:p>
          <w:p w14:paraId="57F8DD65" w14:textId="77777777" w:rsidR="005161A4" w:rsidRPr="007326B4" w:rsidRDefault="007326B4">
            <w:pPr>
              <w:spacing w:after="159"/>
              <w:rPr>
                <w:lang w:val="fr-FR"/>
              </w:rPr>
            </w:pPr>
            <w:r w:rsidRPr="007326B4">
              <w:rPr>
                <w:rFonts w:ascii="Verdana" w:eastAsia="Verdana" w:hAnsi="Verdana" w:cs="Verdana"/>
                <w:color w:val="0072C6"/>
                <w:sz w:val="28"/>
                <w:lang w:val="fr-FR"/>
              </w:rPr>
              <w:t xml:space="preserve">Entités de l’ONU concernées </w:t>
            </w:r>
          </w:p>
          <w:p w14:paraId="01525D96" w14:textId="77777777" w:rsidR="005161A4" w:rsidRPr="007326B4" w:rsidRDefault="007326B4">
            <w:pPr>
              <w:spacing w:after="181" w:line="256" w:lineRule="auto"/>
              <w:ind w:right="60"/>
              <w:jc w:val="both"/>
              <w:rPr>
                <w:lang w:val="fr-FR"/>
              </w:rPr>
            </w:pPr>
            <w:r w:rsidRPr="007326B4">
              <w:rPr>
                <w:rFonts w:ascii="Arial" w:eastAsia="Arial" w:hAnsi="Arial" w:cs="Arial"/>
                <w:sz w:val="20"/>
                <w:lang w:val="fr-FR"/>
              </w:rPr>
              <w:t xml:space="preserve">Sont visées les relations entretenues avec </w:t>
            </w:r>
            <w:r w:rsidRPr="007326B4">
              <w:rPr>
                <w:rFonts w:ascii="Arial" w:eastAsia="Arial" w:hAnsi="Arial" w:cs="Arial"/>
                <w:i/>
                <w:sz w:val="20"/>
                <w:lang w:val="fr-FR"/>
              </w:rPr>
              <w:t>l’ensemble</w:t>
            </w:r>
            <w:r w:rsidRPr="007326B4">
              <w:rPr>
                <w:rFonts w:ascii="Arial" w:eastAsia="Arial" w:hAnsi="Arial" w:cs="Arial"/>
                <w:sz w:val="20"/>
                <w:lang w:val="fr-FR"/>
              </w:rPr>
              <w:t xml:space="preserve"> des organes, entités ou institutions de l’ONU, </w:t>
            </w:r>
            <w:r w:rsidRPr="007326B4">
              <w:rPr>
                <w:rFonts w:ascii="Arial" w:eastAsia="Arial" w:hAnsi="Arial" w:cs="Arial"/>
                <w:i/>
                <w:sz w:val="20"/>
                <w:lang w:val="fr-FR"/>
              </w:rPr>
              <w:t>partout</w:t>
            </w:r>
            <w:r w:rsidRPr="007326B4">
              <w:rPr>
                <w:rFonts w:ascii="Arial" w:eastAsia="Arial" w:hAnsi="Arial" w:cs="Arial"/>
                <w:sz w:val="20"/>
                <w:lang w:val="fr-FR"/>
              </w:rPr>
              <w:t xml:space="preserve"> dans le monde</w:t>
            </w:r>
            <w:r w:rsidRPr="007326B4">
              <w:rPr>
                <w:rFonts w:ascii="Arial" w:eastAsia="Arial" w:hAnsi="Arial" w:cs="Arial"/>
                <w:i/>
                <w:sz w:val="20"/>
                <w:lang w:val="fr-FR"/>
              </w:rPr>
              <w:t xml:space="preserve"> : </w:t>
            </w:r>
            <w:r w:rsidRPr="007326B4">
              <w:rPr>
                <w:rFonts w:ascii="Arial" w:eastAsia="Arial" w:hAnsi="Arial" w:cs="Arial"/>
                <w:sz w:val="20"/>
                <w:lang w:val="fr-FR"/>
              </w:rPr>
              <w:t xml:space="preserve">Siège de l’Organisation, bureaux de pays et missions de maintien de la paix, Assemblée générale, Conseil des droits de l’homme, Conseil de sécurité, Conseil économique et social, Cour pénale internationale, Organisation internationale du Travail, Groupe de la Banque mondiale/Fonds monétaire international, réunions et conférences de l’ONU sur les questions relatives au commerce, au développement et à l’environnement, etc. </w:t>
            </w:r>
          </w:p>
          <w:p w14:paraId="6B85538F" w14:textId="2CC6D85B" w:rsidR="005161A4" w:rsidRPr="007326B4" w:rsidRDefault="007326B4" w:rsidP="007326B4">
            <w:pPr>
              <w:spacing w:after="448"/>
              <w:rPr>
                <w:lang w:val="fr-FR"/>
              </w:rPr>
            </w:pPr>
            <w:r w:rsidRPr="007326B4">
              <w:rPr>
                <w:rFonts w:ascii="Verdana" w:eastAsia="Verdana" w:hAnsi="Verdana" w:cs="Verdana"/>
                <w:color w:val="0072C6"/>
                <w:sz w:val="10"/>
                <w:lang w:val="fr-FR"/>
              </w:rPr>
              <w:t xml:space="preserve"> </w:t>
            </w:r>
            <w:r w:rsidRPr="007326B4">
              <w:rPr>
                <w:rFonts w:ascii="Verdana" w:eastAsia="Verdana" w:hAnsi="Verdana" w:cs="Verdana"/>
                <w:color w:val="0072C6"/>
                <w:sz w:val="28"/>
                <w:lang w:val="fr-FR"/>
              </w:rPr>
              <w:t xml:space="preserve">Où envoyer les informations </w:t>
            </w:r>
          </w:p>
          <w:p w14:paraId="74E373CE" w14:textId="1F7534A9" w:rsidR="005161A4" w:rsidRPr="007326B4" w:rsidRDefault="007326B4">
            <w:pPr>
              <w:spacing w:after="269" w:line="254" w:lineRule="auto"/>
              <w:ind w:right="61"/>
              <w:jc w:val="both"/>
              <w:rPr>
                <w:lang w:val="fr-FR"/>
              </w:rPr>
            </w:pPr>
            <w:r w:rsidRPr="007326B4">
              <w:rPr>
                <w:rFonts w:ascii="Arial" w:eastAsia="Arial" w:hAnsi="Arial" w:cs="Arial"/>
                <w:sz w:val="20"/>
                <w:lang w:val="fr-FR"/>
              </w:rPr>
              <w:t xml:space="preserve">En fonction de la nature des actes d’intimidation et de représailles subis, divers mécanismes ou entités des Nations Unies peuvent aider à déterminer les moyens auxquels recourir. Les organisations de la société civile et les victimes peuvent signaler les faits en question et les risques encourus en envoyant un message à une adresse électronique confidentielle. Le Bureau du Haut-Commissariat des Nations Unies aux droits de l’homme à New York et le Haut-Commissariat aux droits de l’homme à Genève suivent ces affaires et veillent à ce qu’il soit dûment donné suite aux informations reçues à l’adresse </w:t>
            </w:r>
            <w:proofErr w:type="gramStart"/>
            <w:r w:rsidRPr="007326B4">
              <w:rPr>
                <w:rFonts w:ascii="Arial" w:eastAsia="Arial" w:hAnsi="Arial" w:cs="Arial"/>
                <w:sz w:val="20"/>
                <w:lang w:val="fr-FR"/>
              </w:rPr>
              <w:t>suivante:</w:t>
            </w:r>
            <w:proofErr w:type="gramEnd"/>
            <w:r w:rsidRPr="007326B4">
              <w:rPr>
                <w:rFonts w:ascii="Arial" w:eastAsia="Arial" w:hAnsi="Arial" w:cs="Arial"/>
                <w:sz w:val="20"/>
                <w:lang w:val="fr-FR"/>
              </w:rPr>
              <w:t xml:space="preserve"> </w:t>
            </w:r>
            <w:hyperlink r:id="rId5" w:history="1">
              <w:r w:rsidRPr="006B2FCE">
                <w:rPr>
                  <w:rStyle w:val="Hyperlink"/>
                  <w:rFonts w:ascii="Arial" w:eastAsia="Arial" w:hAnsi="Arial" w:cs="Arial"/>
                  <w:sz w:val="20"/>
                  <w:lang w:val="fr-FR"/>
                </w:rPr>
                <w:t>ohchr-reprisals@un.org</w:t>
              </w:r>
            </w:hyperlink>
            <w:r>
              <w:rPr>
                <w:rFonts w:ascii="Arial" w:eastAsia="Arial" w:hAnsi="Arial" w:cs="Arial"/>
                <w:color w:val="0000FF"/>
                <w:sz w:val="20"/>
                <w:lang w:val="fr-FR"/>
              </w:rPr>
              <w:t xml:space="preserve"> </w:t>
            </w:r>
            <w:r w:rsidRPr="007326B4">
              <w:rPr>
                <w:rFonts w:ascii="Arial" w:eastAsia="Arial" w:hAnsi="Arial" w:cs="Arial"/>
                <w:sz w:val="20"/>
                <w:lang w:val="fr-FR"/>
              </w:rPr>
              <w:t xml:space="preserve"> </w:t>
            </w:r>
          </w:p>
          <w:p w14:paraId="54DEA48A" w14:textId="77777777" w:rsidR="005161A4" w:rsidRPr="007326B4" w:rsidRDefault="007326B4">
            <w:pPr>
              <w:spacing w:after="573"/>
              <w:rPr>
                <w:lang w:val="fr-FR"/>
              </w:rPr>
            </w:pPr>
            <w:r w:rsidRPr="007326B4">
              <w:rPr>
                <w:rFonts w:ascii="Arial" w:eastAsia="Arial" w:hAnsi="Arial" w:cs="Arial"/>
                <w:sz w:val="20"/>
                <w:lang w:val="fr-FR"/>
              </w:rPr>
              <w:t xml:space="preserve"> </w:t>
            </w:r>
          </w:p>
          <w:p w14:paraId="7C5B21F6" w14:textId="77777777" w:rsidR="005161A4" w:rsidRDefault="007326B4">
            <w:pPr>
              <w:spacing w:after="36"/>
              <w:ind w:right="284"/>
            </w:pPr>
            <w:r>
              <w:rPr>
                <w:noProof/>
              </w:rPr>
              <w:drawing>
                <wp:anchor distT="0" distB="0" distL="114300" distR="114300" simplePos="0" relativeHeight="251658240" behindDoc="0" locked="0" layoutInCell="1" allowOverlap="0" wp14:anchorId="1D18C3AD" wp14:editId="5A179119">
                  <wp:simplePos x="0" y="0"/>
                  <wp:positionH relativeFrom="column">
                    <wp:posOffset>5473446</wp:posOffset>
                  </wp:positionH>
                  <wp:positionV relativeFrom="paragraph">
                    <wp:posOffset>-6599</wp:posOffset>
                  </wp:positionV>
                  <wp:extent cx="1079665" cy="23114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1079665" cy="231140"/>
                          </a:xfrm>
                          <a:prstGeom prst="rect">
                            <a:avLst/>
                          </a:prstGeom>
                        </pic:spPr>
                      </pic:pic>
                    </a:graphicData>
                  </a:graphic>
                </wp:anchor>
              </w:drawing>
            </w:r>
            <w:r>
              <w:rPr>
                <w:rFonts w:ascii="Times New Roman" w:eastAsia="Times New Roman" w:hAnsi="Times New Roman" w:cs="Times New Roman"/>
                <w:color w:val="010000"/>
                <w:sz w:val="20"/>
              </w:rPr>
              <w:t xml:space="preserve">17-18076 (S) </w:t>
            </w:r>
          </w:p>
          <w:p w14:paraId="4F32E6C8" w14:textId="77777777" w:rsidR="005161A4" w:rsidRDefault="007326B4">
            <w:r>
              <w:rPr>
                <w:rFonts w:ascii="Times New Roman" w:eastAsia="Times New Roman" w:hAnsi="Times New Roman" w:cs="Times New Roman"/>
                <w:color w:val="010000"/>
                <w:sz w:val="20"/>
              </w:rPr>
              <w:t xml:space="preserve"> </w:t>
            </w:r>
            <w:r>
              <w:rPr>
                <w:rFonts w:ascii="Times New Roman" w:eastAsia="Times New Roman" w:hAnsi="Times New Roman" w:cs="Times New Roman"/>
                <w:sz w:val="20"/>
              </w:rPr>
              <w:t xml:space="preserve">  </w:t>
            </w:r>
          </w:p>
        </w:tc>
      </w:tr>
      <w:tr w:rsidR="005161A4" w14:paraId="18141A0D" w14:textId="77777777">
        <w:tblPrEx>
          <w:tblCellMar>
            <w:top w:w="74" w:type="dxa"/>
            <w:bottom w:w="0" w:type="dxa"/>
            <w:right w:w="115" w:type="dxa"/>
          </w:tblCellMar>
        </w:tblPrEx>
        <w:trPr>
          <w:trHeight w:val="14853"/>
        </w:trPr>
        <w:tc>
          <w:tcPr>
            <w:tcW w:w="11253" w:type="dxa"/>
            <w:tcBorders>
              <w:top w:val="single" w:sz="12" w:space="0" w:color="4F81BD"/>
              <w:left w:val="single" w:sz="12" w:space="0" w:color="4F81BD"/>
              <w:bottom w:val="single" w:sz="12" w:space="0" w:color="4F81BD"/>
              <w:right w:val="single" w:sz="12" w:space="0" w:color="4F81BD"/>
            </w:tcBorders>
          </w:tcPr>
          <w:p w14:paraId="4910FF30" w14:textId="53FAA612" w:rsidR="005161A4" w:rsidRPr="007326B4" w:rsidRDefault="007326B4">
            <w:pPr>
              <w:tabs>
                <w:tab w:val="center" w:pos="0"/>
                <w:tab w:val="center" w:pos="4970"/>
              </w:tabs>
              <w:rPr>
                <w:rFonts w:ascii="Arial" w:hAnsi="Arial" w:cs="Arial"/>
                <w:sz w:val="20"/>
                <w:szCs w:val="20"/>
              </w:rPr>
            </w:pPr>
            <w:r w:rsidRPr="007326B4">
              <w:rPr>
                <w:rFonts w:ascii="Arial" w:eastAsia="Times New Roman" w:hAnsi="Arial" w:cs="Arial"/>
                <w:sz w:val="20"/>
                <w:szCs w:val="20"/>
              </w:rPr>
              <w:lastRenderedPageBreak/>
              <w:tab/>
            </w:r>
            <w:r w:rsidRPr="007326B4">
              <w:rPr>
                <w:rFonts w:ascii="Arial" w:eastAsia="Times New Roman" w:hAnsi="Arial" w:cs="Arial"/>
                <w:color w:val="010000"/>
                <w:sz w:val="20"/>
                <w:szCs w:val="20"/>
              </w:rPr>
              <w:t xml:space="preserve">2/2 </w:t>
            </w:r>
          </w:p>
          <w:p w14:paraId="2C1AA270" w14:textId="77777777" w:rsidR="005161A4" w:rsidRPr="007326B4" w:rsidRDefault="007326B4">
            <w:pPr>
              <w:rPr>
                <w:rFonts w:ascii="Arial" w:hAnsi="Arial" w:cs="Arial"/>
                <w:sz w:val="20"/>
                <w:szCs w:val="20"/>
              </w:rPr>
            </w:pPr>
            <w:r w:rsidRPr="007326B4">
              <w:rPr>
                <w:rFonts w:ascii="Arial" w:eastAsia="Times New Roman" w:hAnsi="Arial" w:cs="Arial"/>
                <w:color w:val="010000"/>
                <w:sz w:val="20"/>
                <w:szCs w:val="20"/>
              </w:rPr>
              <w:t xml:space="preserve"> </w:t>
            </w:r>
          </w:p>
          <w:p w14:paraId="14D67FE7" w14:textId="77777777" w:rsidR="005161A4" w:rsidRPr="007326B4" w:rsidRDefault="007326B4">
            <w:pPr>
              <w:spacing w:after="104"/>
              <w:rPr>
                <w:rFonts w:ascii="Arial" w:hAnsi="Arial" w:cs="Arial"/>
                <w:sz w:val="20"/>
                <w:szCs w:val="20"/>
              </w:rPr>
            </w:pPr>
            <w:r w:rsidRPr="007326B4">
              <w:rPr>
                <w:rFonts w:ascii="Arial" w:eastAsia="Times New Roman" w:hAnsi="Arial" w:cs="Arial"/>
                <w:sz w:val="20"/>
                <w:szCs w:val="20"/>
              </w:rPr>
              <w:t xml:space="preserve"> </w:t>
            </w:r>
          </w:p>
          <w:p w14:paraId="03F572E6" w14:textId="77777777" w:rsidR="005161A4" w:rsidRPr="007326B4" w:rsidRDefault="007326B4" w:rsidP="007326B4">
            <w:pPr>
              <w:spacing w:after="448"/>
              <w:rPr>
                <w:rFonts w:ascii="Verdana" w:eastAsia="Verdana" w:hAnsi="Verdana" w:cs="Verdana"/>
                <w:color w:val="0072C6"/>
                <w:sz w:val="28"/>
                <w:lang w:val="fr-FR"/>
              </w:rPr>
            </w:pPr>
            <w:r w:rsidRPr="007326B4">
              <w:rPr>
                <w:rFonts w:ascii="Verdana" w:eastAsia="Verdana" w:hAnsi="Verdana" w:cs="Verdana"/>
                <w:color w:val="0072C6"/>
                <w:sz w:val="28"/>
                <w:lang w:val="fr-FR"/>
              </w:rPr>
              <w:t xml:space="preserve">Informations à fournir  </w:t>
            </w:r>
          </w:p>
          <w:p w14:paraId="7A459AF2" w14:textId="77777777" w:rsidR="005161A4" w:rsidRPr="007326B4" w:rsidRDefault="007326B4">
            <w:pPr>
              <w:numPr>
                <w:ilvl w:val="0"/>
                <w:numId w:val="1"/>
              </w:numPr>
              <w:ind w:right="345" w:hanging="360"/>
              <w:rPr>
                <w:rFonts w:ascii="Arial" w:hAnsi="Arial" w:cs="Arial"/>
                <w:sz w:val="20"/>
                <w:szCs w:val="20"/>
                <w:lang w:val="fr-FR"/>
              </w:rPr>
            </w:pPr>
            <w:r w:rsidRPr="007326B4">
              <w:rPr>
                <w:rFonts w:ascii="Arial" w:eastAsia="Arial" w:hAnsi="Arial" w:cs="Arial"/>
                <w:sz w:val="20"/>
                <w:szCs w:val="20"/>
                <w:lang w:val="fr-FR"/>
              </w:rPr>
              <w:t xml:space="preserve">Décrire en quoi la situation est liée au fait que la victime coopère avec l’ONU. </w:t>
            </w:r>
          </w:p>
          <w:p w14:paraId="5B563B5C" w14:textId="77777777" w:rsidR="005161A4" w:rsidRPr="007326B4" w:rsidRDefault="007326B4">
            <w:pPr>
              <w:numPr>
                <w:ilvl w:val="0"/>
                <w:numId w:val="1"/>
              </w:numPr>
              <w:spacing w:line="312" w:lineRule="auto"/>
              <w:ind w:right="345" w:hanging="360"/>
              <w:rPr>
                <w:rFonts w:ascii="Arial" w:hAnsi="Arial" w:cs="Arial"/>
                <w:sz w:val="20"/>
                <w:szCs w:val="20"/>
                <w:lang w:val="fr-FR"/>
              </w:rPr>
            </w:pPr>
            <w:r w:rsidRPr="007326B4">
              <w:rPr>
                <w:rFonts w:ascii="Arial" w:eastAsia="Arial" w:hAnsi="Arial" w:cs="Arial"/>
                <w:sz w:val="20"/>
                <w:szCs w:val="20"/>
                <w:lang w:val="fr-FR"/>
              </w:rPr>
              <w:t xml:space="preserve">Exposer les </w:t>
            </w:r>
            <w:proofErr w:type="gramStart"/>
            <w:r w:rsidRPr="007326B4">
              <w:rPr>
                <w:rFonts w:ascii="Arial" w:eastAsia="Arial" w:hAnsi="Arial" w:cs="Arial"/>
                <w:sz w:val="20"/>
                <w:szCs w:val="20"/>
                <w:lang w:val="fr-FR"/>
              </w:rPr>
              <w:t>faits:</w:t>
            </w:r>
            <w:proofErr w:type="gramEnd"/>
            <w:r w:rsidRPr="007326B4">
              <w:rPr>
                <w:rFonts w:ascii="Arial" w:eastAsia="Arial" w:hAnsi="Arial" w:cs="Arial"/>
                <w:sz w:val="20"/>
                <w:szCs w:val="20"/>
                <w:lang w:val="fr-FR"/>
              </w:rPr>
              <w:t xml:space="preserve"> indiquer qui a subi quoi, quand, où, comment et de la part de qui. Indiquer également s’il y a des preuves ou des documents qui en attestent. </w:t>
            </w:r>
          </w:p>
          <w:p w14:paraId="16302598" w14:textId="77777777" w:rsidR="005161A4" w:rsidRPr="007326B4" w:rsidRDefault="007326B4">
            <w:pPr>
              <w:numPr>
                <w:ilvl w:val="0"/>
                <w:numId w:val="1"/>
              </w:numPr>
              <w:spacing w:after="2" w:line="289" w:lineRule="auto"/>
              <w:ind w:right="345" w:hanging="360"/>
              <w:rPr>
                <w:rFonts w:ascii="Arial" w:hAnsi="Arial" w:cs="Arial"/>
                <w:sz w:val="20"/>
                <w:szCs w:val="20"/>
                <w:lang w:val="fr-FR"/>
              </w:rPr>
            </w:pPr>
            <w:r w:rsidRPr="007326B4">
              <w:rPr>
                <w:rFonts w:ascii="Arial" w:eastAsia="Arial" w:hAnsi="Arial" w:cs="Arial"/>
                <w:sz w:val="20"/>
                <w:szCs w:val="20"/>
                <w:lang w:val="fr-FR"/>
              </w:rPr>
              <w:t xml:space="preserve">Indiquer si la victime, ou le membre de sa famille ou la personne qui la représente, consent à ce que ces informations soient communiquées à des entités des Nations Unies en vue d’une intervention éventuelle (utilisation des informations lors d’une réunion avec l’État Membre concerné, dans des rapports publics ou des courriers, etc.). </w:t>
            </w:r>
          </w:p>
          <w:p w14:paraId="07CDA251" w14:textId="1D51B4BD" w:rsidR="007326B4" w:rsidRPr="00831CBC" w:rsidRDefault="007326B4" w:rsidP="00831CBC">
            <w:pPr>
              <w:numPr>
                <w:ilvl w:val="0"/>
                <w:numId w:val="1"/>
              </w:numPr>
              <w:spacing w:after="154" w:line="278" w:lineRule="auto"/>
              <w:ind w:right="345" w:hanging="360"/>
              <w:rPr>
                <w:rFonts w:ascii="Arial" w:hAnsi="Arial" w:cs="Arial"/>
                <w:sz w:val="20"/>
                <w:szCs w:val="20"/>
                <w:lang w:val="fr-FR"/>
              </w:rPr>
            </w:pPr>
            <w:r w:rsidRPr="007326B4">
              <w:rPr>
                <w:rFonts w:ascii="Arial" w:eastAsia="Arial" w:hAnsi="Arial" w:cs="Arial"/>
                <w:sz w:val="20"/>
                <w:szCs w:val="20"/>
                <w:lang w:val="fr-FR"/>
              </w:rPr>
              <w:t xml:space="preserve">Préciser si une institution nationale ou régionale ou une autre organisation internationale a été saisie.  </w:t>
            </w:r>
          </w:p>
          <w:p w14:paraId="5783C339" w14:textId="122A9CCA" w:rsidR="005161A4" w:rsidRPr="007326B4" w:rsidRDefault="007326B4" w:rsidP="007326B4">
            <w:pPr>
              <w:spacing w:after="448"/>
              <w:rPr>
                <w:rFonts w:ascii="Verdana" w:eastAsia="Verdana" w:hAnsi="Verdana" w:cs="Verdana"/>
                <w:color w:val="0072C6"/>
                <w:sz w:val="28"/>
                <w:lang w:val="fr-FR"/>
              </w:rPr>
            </w:pPr>
            <w:r w:rsidRPr="007326B4">
              <w:rPr>
                <w:rFonts w:ascii="Verdana" w:eastAsia="Verdana" w:hAnsi="Verdana" w:cs="Verdana"/>
                <w:color w:val="0072C6"/>
                <w:sz w:val="28"/>
                <w:lang w:val="fr-FR"/>
              </w:rPr>
              <w:t xml:space="preserve">Pour en savoir plus </w:t>
            </w:r>
          </w:p>
          <w:p w14:paraId="74E53998" w14:textId="560EC4A5" w:rsidR="005161A4" w:rsidRPr="007326B4" w:rsidRDefault="007326B4">
            <w:pPr>
              <w:spacing w:after="124" w:line="381" w:lineRule="auto"/>
              <w:ind w:right="16"/>
              <w:rPr>
                <w:rFonts w:ascii="Arial" w:hAnsi="Arial" w:cs="Arial"/>
                <w:sz w:val="20"/>
                <w:szCs w:val="20"/>
                <w:lang w:val="fr-FR"/>
              </w:rPr>
            </w:pPr>
            <w:r w:rsidRPr="007326B4">
              <w:rPr>
                <w:rFonts w:ascii="Arial" w:eastAsia="Arial" w:hAnsi="Arial" w:cs="Arial"/>
                <w:sz w:val="20"/>
                <w:szCs w:val="20"/>
                <w:lang w:val="fr-FR"/>
              </w:rPr>
              <w:t xml:space="preserve">On trouvera de plus amples explications sur la page Web du Haut-Commissariat des Nations Unies aux droits de l’homme consacrée aux actes d’intimidation et de représailles, à l’adresse suivante :  </w:t>
            </w:r>
            <w:hyperlink r:id="rId7" w:history="1">
              <w:r w:rsidRPr="006B2FCE">
                <w:rPr>
                  <w:rStyle w:val="Hyperlink"/>
                  <w:rFonts w:ascii="Arial" w:eastAsia="Verdana" w:hAnsi="Arial" w:cs="Arial"/>
                  <w:sz w:val="20"/>
                  <w:szCs w:val="20"/>
                  <w:lang w:val="fr-FR"/>
                </w:rPr>
                <w:t>http://www.ohchr.org/EN/Issues/Reprisals/Pages/ReprisalsIndex.aspx</w:t>
              </w:r>
            </w:hyperlink>
            <w:r>
              <w:rPr>
                <w:rFonts w:ascii="Arial" w:eastAsia="Verdana" w:hAnsi="Arial" w:cs="Arial"/>
                <w:color w:val="0072C6"/>
                <w:sz w:val="20"/>
                <w:szCs w:val="20"/>
                <w:lang w:val="fr-FR"/>
              </w:rPr>
              <w:t xml:space="preserve"> </w:t>
            </w:r>
            <w:r w:rsidRPr="007326B4">
              <w:rPr>
                <w:rFonts w:ascii="Arial" w:eastAsia="Verdana" w:hAnsi="Arial" w:cs="Arial"/>
                <w:sz w:val="20"/>
                <w:szCs w:val="20"/>
                <w:lang w:val="fr-FR"/>
              </w:rPr>
              <w:t xml:space="preserve"> </w:t>
            </w:r>
          </w:p>
          <w:p w14:paraId="18DF7EE5" w14:textId="77777777" w:rsidR="005161A4" w:rsidRPr="007326B4" w:rsidRDefault="007326B4">
            <w:pPr>
              <w:spacing w:after="262"/>
              <w:rPr>
                <w:rFonts w:ascii="Arial" w:hAnsi="Arial" w:cs="Arial"/>
                <w:sz w:val="20"/>
                <w:szCs w:val="20"/>
                <w:lang w:val="fr-FR"/>
              </w:rPr>
            </w:pPr>
            <w:r w:rsidRPr="007326B4">
              <w:rPr>
                <w:rFonts w:ascii="Arial" w:eastAsia="Times New Roman" w:hAnsi="Arial" w:cs="Arial"/>
                <w:sz w:val="20"/>
                <w:szCs w:val="20"/>
                <w:lang w:val="fr-FR"/>
              </w:rPr>
              <w:t xml:space="preserve"> </w:t>
            </w:r>
          </w:p>
          <w:p w14:paraId="5113E8A3" w14:textId="77777777" w:rsidR="005161A4" w:rsidRPr="007326B4" w:rsidRDefault="007326B4">
            <w:pPr>
              <w:spacing w:after="6517"/>
              <w:ind w:right="541"/>
              <w:jc w:val="center"/>
              <w:rPr>
                <w:rFonts w:ascii="Arial" w:hAnsi="Arial" w:cs="Arial"/>
                <w:sz w:val="20"/>
                <w:szCs w:val="20"/>
                <w:lang w:val="fr-FR"/>
              </w:rPr>
            </w:pPr>
            <w:r w:rsidRPr="007326B4">
              <w:rPr>
                <w:rFonts w:ascii="Arial" w:eastAsia="Times New Roman" w:hAnsi="Arial" w:cs="Arial"/>
                <w:sz w:val="20"/>
                <w:szCs w:val="20"/>
                <w:lang w:val="fr-FR"/>
              </w:rPr>
              <w:t xml:space="preserve"> </w:t>
            </w:r>
          </w:p>
          <w:p w14:paraId="75996066" w14:textId="42FFDBD1" w:rsidR="005161A4" w:rsidRPr="007326B4" w:rsidRDefault="007326B4">
            <w:pPr>
              <w:rPr>
                <w:rFonts w:ascii="Arial" w:hAnsi="Arial" w:cs="Arial"/>
                <w:sz w:val="20"/>
                <w:szCs w:val="20"/>
              </w:rPr>
            </w:pPr>
            <w:r w:rsidRPr="007326B4">
              <w:rPr>
                <w:rFonts w:ascii="Arial" w:eastAsia="Times New Roman" w:hAnsi="Arial" w:cs="Arial"/>
                <w:color w:val="010000"/>
                <w:sz w:val="20"/>
                <w:szCs w:val="20"/>
              </w:rPr>
              <w:t xml:space="preserve">17-18076 (S) </w:t>
            </w:r>
          </w:p>
        </w:tc>
      </w:tr>
    </w:tbl>
    <w:p w14:paraId="563814E7" w14:textId="77777777" w:rsidR="002D5D67" w:rsidRDefault="002D5D67" w:rsidP="00E65E68"/>
    <w:sectPr w:rsidR="002D5D67">
      <w:pgSz w:w="12240" w:h="15840"/>
      <w:pgMar w:top="494" w:right="1440" w:bottom="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14BC1"/>
    <w:multiLevelType w:val="hybridMultilevel"/>
    <w:tmpl w:val="CDFAA11C"/>
    <w:lvl w:ilvl="0" w:tplc="493CDE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AF0A0">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D0FEAE">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B0732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045162">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5E093C">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969EB4">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FC0F6E">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2CDA0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0892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A4"/>
    <w:rsid w:val="002D5D67"/>
    <w:rsid w:val="005161A4"/>
    <w:rsid w:val="007326B4"/>
    <w:rsid w:val="00831CBC"/>
    <w:rsid w:val="009B21F0"/>
    <w:rsid w:val="00E6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48A8"/>
  <w15:docId w15:val="{AB39BB9C-FAE6-42FF-B130-E66D19D7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326B4"/>
    <w:rPr>
      <w:color w:val="0563C1" w:themeColor="hyperlink"/>
      <w:u w:val="single"/>
    </w:rPr>
  </w:style>
  <w:style w:type="character" w:styleId="UnresolvedMention">
    <w:name w:val="Unresolved Mention"/>
    <w:basedOn w:val="DefaultParagraphFont"/>
    <w:uiPriority w:val="99"/>
    <w:semiHidden/>
    <w:unhideWhenUsed/>
    <w:rsid w:val="00732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chr.org/EN/Issues/Reprisals/Pages/Reprisal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hchr-reprisals@u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Rivas Lopez</dc:creator>
  <cp:keywords/>
  <cp:lastModifiedBy>Dolores Infante-Canibano</cp:lastModifiedBy>
  <cp:revision>5</cp:revision>
  <dcterms:created xsi:type="dcterms:W3CDTF">2022-10-25T10:11:00Z</dcterms:created>
  <dcterms:modified xsi:type="dcterms:W3CDTF">2023-03-13T07:52:00Z</dcterms:modified>
</cp:coreProperties>
</file>