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253" w:type="dxa"/>
        <w:tblInd w:w="-946" w:type="dxa"/>
        <w:tblCellMar>
          <w:left w:w="514" w:type="dxa"/>
          <w:bottom w:w="430" w:type="dxa"/>
          <w:right w:w="364" w:type="dxa"/>
        </w:tblCellMar>
        <w:tblLook w:val="04A0" w:firstRow="1" w:lastRow="0" w:firstColumn="1" w:lastColumn="0" w:noHBand="0" w:noVBand="1"/>
      </w:tblPr>
      <w:tblGrid>
        <w:gridCol w:w="11253"/>
      </w:tblGrid>
      <w:tr w:rsidR="00AB0AB3" w14:paraId="3A8FAE77" w14:textId="77777777">
        <w:trPr>
          <w:trHeight w:val="14853"/>
        </w:trPr>
        <w:tc>
          <w:tcPr>
            <w:tcW w:w="11253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vAlign w:val="bottom"/>
          </w:tcPr>
          <w:p w14:paraId="0AD3BA2C" w14:textId="6D736A83" w:rsidR="00AB0AB3" w:rsidRDefault="00AB0AB3">
            <w:pPr>
              <w:spacing w:after="156"/>
              <w:ind w:left="3485"/>
            </w:pPr>
          </w:p>
          <w:p w14:paraId="7799E39A" w14:textId="77777777" w:rsidR="00AB0AB3" w:rsidRDefault="00AF07A7">
            <w:pPr>
              <w:ind w:right="25"/>
              <w:jc w:val="center"/>
            </w:pPr>
            <w:proofErr w:type="spellStart"/>
            <w:r>
              <w:rPr>
                <w:rFonts w:ascii="Verdana" w:eastAsia="Verdana" w:hAnsi="Verdana" w:cs="Verdana"/>
                <w:b/>
                <w:color w:val="0072C6"/>
                <w:sz w:val="28"/>
              </w:rPr>
              <w:t>Акты</w:t>
            </w:r>
            <w:proofErr w:type="spellEnd"/>
            <w:r>
              <w:rPr>
                <w:rFonts w:ascii="Verdana" w:eastAsia="Verdana" w:hAnsi="Verdana" w:cs="Verdana"/>
                <w:b/>
                <w:color w:val="0072C6"/>
                <w:sz w:val="2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72C6"/>
                <w:sz w:val="28"/>
              </w:rPr>
              <w:t>запугивания</w:t>
            </w:r>
            <w:proofErr w:type="spellEnd"/>
            <w:r>
              <w:rPr>
                <w:rFonts w:ascii="Verdana" w:eastAsia="Verdana" w:hAnsi="Verdana" w:cs="Verdana"/>
                <w:b/>
                <w:color w:val="0072C6"/>
                <w:sz w:val="28"/>
              </w:rPr>
              <w:t xml:space="preserve"> и </w:t>
            </w:r>
            <w:proofErr w:type="spellStart"/>
            <w:r>
              <w:rPr>
                <w:rFonts w:ascii="Verdana" w:eastAsia="Verdana" w:hAnsi="Verdana" w:cs="Verdana"/>
                <w:b/>
                <w:color w:val="0072C6"/>
                <w:sz w:val="28"/>
              </w:rPr>
              <w:t>репрессий</w:t>
            </w:r>
            <w:proofErr w:type="spellEnd"/>
            <w:r>
              <w:rPr>
                <w:rFonts w:ascii="Verdana" w:eastAsia="Verdana" w:hAnsi="Verdana" w:cs="Verdana"/>
                <w:b/>
                <w:color w:val="0072C6"/>
                <w:sz w:val="2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72C6"/>
                <w:sz w:val="28"/>
              </w:rPr>
              <w:t>за</w:t>
            </w:r>
            <w:proofErr w:type="spellEnd"/>
            <w:r>
              <w:rPr>
                <w:rFonts w:ascii="Verdana" w:eastAsia="Verdana" w:hAnsi="Verdana" w:cs="Verdana"/>
                <w:b/>
                <w:color w:val="0072C6"/>
                <w:sz w:val="2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72C6"/>
                <w:sz w:val="28"/>
              </w:rPr>
              <w:t>сотрудничество</w:t>
            </w:r>
            <w:proofErr w:type="spellEnd"/>
            <w:r>
              <w:rPr>
                <w:rFonts w:ascii="Verdana" w:eastAsia="Verdana" w:hAnsi="Verdana" w:cs="Verdana"/>
                <w:b/>
                <w:color w:val="0072C6"/>
                <w:sz w:val="28"/>
              </w:rPr>
              <w:t xml:space="preserve"> с </w:t>
            </w:r>
          </w:p>
          <w:p w14:paraId="65BD7EEF" w14:textId="77777777" w:rsidR="00AB0AB3" w:rsidRDefault="00AF07A7">
            <w:pPr>
              <w:spacing w:after="212"/>
              <w:ind w:right="20"/>
              <w:jc w:val="center"/>
            </w:pPr>
            <w:proofErr w:type="spellStart"/>
            <w:r>
              <w:rPr>
                <w:rFonts w:ascii="Verdana" w:eastAsia="Verdana" w:hAnsi="Verdana" w:cs="Verdana"/>
                <w:b/>
                <w:color w:val="0072C6"/>
                <w:sz w:val="28"/>
              </w:rPr>
              <w:t>Организацией</w:t>
            </w:r>
            <w:proofErr w:type="spellEnd"/>
            <w:r>
              <w:rPr>
                <w:rFonts w:ascii="Verdana" w:eastAsia="Verdana" w:hAnsi="Verdana" w:cs="Verdana"/>
                <w:b/>
                <w:color w:val="0072C6"/>
                <w:sz w:val="2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72C6"/>
                <w:sz w:val="28"/>
              </w:rPr>
              <w:t>Объединенных</w:t>
            </w:r>
            <w:proofErr w:type="spellEnd"/>
            <w:r>
              <w:rPr>
                <w:rFonts w:ascii="Verdana" w:eastAsia="Verdana" w:hAnsi="Verdana" w:cs="Verdana"/>
                <w:b/>
                <w:color w:val="0072C6"/>
                <w:sz w:val="2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72C6"/>
                <w:sz w:val="28"/>
              </w:rPr>
              <w:t>Наций</w:t>
            </w:r>
            <w:proofErr w:type="spellEnd"/>
            <w:r>
              <w:rPr>
                <w:rFonts w:ascii="Verdana" w:eastAsia="Verdana" w:hAnsi="Verdana" w:cs="Verdana"/>
                <w:b/>
                <w:color w:val="0072C6"/>
                <w:sz w:val="28"/>
              </w:rPr>
              <w:t xml:space="preserve"> в </w:t>
            </w:r>
            <w:proofErr w:type="spellStart"/>
            <w:r>
              <w:rPr>
                <w:rFonts w:ascii="Verdana" w:eastAsia="Verdana" w:hAnsi="Verdana" w:cs="Verdana"/>
                <w:b/>
                <w:color w:val="0072C6"/>
                <w:sz w:val="28"/>
              </w:rPr>
              <w:t>области</w:t>
            </w:r>
            <w:proofErr w:type="spellEnd"/>
            <w:r>
              <w:rPr>
                <w:rFonts w:ascii="Verdana" w:eastAsia="Verdana" w:hAnsi="Verdana" w:cs="Verdana"/>
                <w:b/>
                <w:color w:val="0072C6"/>
                <w:sz w:val="2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72C6"/>
                <w:sz w:val="28"/>
              </w:rPr>
              <w:t>прав</w:t>
            </w:r>
            <w:proofErr w:type="spellEnd"/>
            <w:r>
              <w:rPr>
                <w:rFonts w:ascii="Verdana" w:eastAsia="Verdana" w:hAnsi="Verdana" w:cs="Verdana"/>
                <w:b/>
                <w:color w:val="0072C6"/>
                <w:sz w:val="2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0072C6"/>
                <w:sz w:val="28"/>
              </w:rPr>
              <w:t>человека</w:t>
            </w:r>
            <w:proofErr w:type="spellEnd"/>
            <w:r>
              <w:rPr>
                <w:rFonts w:ascii="Verdana" w:eastAsia="Verdana" w:hAnsi="Verdana" w:cs="Verdana"/>
                <w:b/>
                <w:color w:val="0072C6"/>
                <w:sz w:val="28"/>
              </w:rPr>
              <w:t xml:space="preserve"> </w:t>
            </w:r>
          </w:p>
          <w:p w14:paraId="31BB778F" w14:textId="77777777" w:rsidR="00AB0AB3" w:rsidRDefault="00AF07A7">
            <w:pPr>
              <w:spacing w:after="43" w:line="257" w:lineRule="auto"/>
            </w:pPr>
            <w:proofErr w:type="spellStart"/>
            <w:r>
              <w:rPr>
                <w:rFonts w:ascii="Verdana" w:eastAsia="Verdana" w:hAnsi="Verdana" w:cs="Verdana"/>
                <w:color w:val="0072C6"/>
                <w:sz w:val="24"/>
              </w:rPr>
              <w:t>Мы</w:t>
            </w:r>
            <w:proofErr w:type="spellEnd"/>
            <w:r>
              <w:rPr>
                <w:rFonts w:ascii="Verdana" w:eastAsia="Verdana" w:hAnsi="Verdana" w:cs="Verdana"/>
                <w:color w:val="0072C6"/>
                <w:sz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72C6"/>
                <w:sz w:val="24"/>
              </w:rPr>
              <w:t>получаем</w:t>
            </w:r>
            <w:proofErr w:type="spellEnd"/>
            <w:r>
              <w:rPr>
                <w:rFonts w:ascii="Verdana" w:eastAsia="Verdana" w:hAnsi="Verdana" w:cs="Verdana"/>
                <w:color w:val="0072C6"/>
                <w:sz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72C6"/>
                <w:sz w:val="24"/>
              </w:rPr>
              <w:t>все</w:t>
            </w:r>
            <w:proofErr w:type="spellEnd"/>
            <w:r>
              <w:rPr>
                <w:rFonts w:ascii="Verdana" w:eastAsia="Verdana" w:hAnsi="Verdana" w:cs="Verdana"/>
                <w:color w:val="0072C6"/>
                <w:sz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72C6"/>
                <w:sz w:val="24"/>
              </w:rPr>
              <w:t>больше</w:t>
            </w:r>
            <w:proofErr w:type="spellEnd"/>
            <w:r>
              <w:rPr>
                <w:rFonts w:ascii="Verdana" w:eastAsia="Verdana" w:hAnsi="Verdana" w:cs="Verdana"/>
                <w:color w:val="0072C6"/>
                <w:sz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72C6"/>
                <w:sz w:val="24"/>
              </w:rPr>
              <w:t>сообщений</w:t>
            </w:r>
            <w:proofErr w:type="spellEnd"/>
            <w:r>
              <w:rPr>
                <w:rFonts w:ascii="Verdana" w:eastAsia="Verdana" w:hAnsi="Verdana" w:cs="Verdana"/>
                <w:color w:val="0072C6"/>
                <w:sz w:val="24"/>
              </w:rPr>
              <w:t xml:space="preserve"> о </w:t>
            </w:r>
            <w:proofErr w:type="spellStart"/>
            <w:r>
              <w:rPr>
                <w:rFonts w:ascii="Verdana" w:eastAsia="Verdana" w:hAnsi="Verdana" w:cs="Verdana"/>
                <w:color w:val="0072C6"/>
                <w:sz w:val="24"/>
              </w:rPr>
              <w:t>запугиваниях</w:t>
            </w:r>
            <w:proofErr w:type="spellEnd"/>
            <w:r>
              <w:rPr>
                <w:rFonts w:ascii="Verdana" w:eastAsia="Verdana" w:hAnsi="Verdana" w:cs="Verdana"/>
                <w:color w:val="0072C6"/>
                <w:sz w:val="24"/>
              </w:rPr>
              <w:t xml:space="preserve"> и </w:t>
            </w:r>
            <w:proofErr w:type="spellStart"/>
            <w:r>
              <w:rPr>
                <w:rFonts w:ascii="Verdana" w:eastAsia="Verdana" w:hAnsi="Verdana" w:cs="Verdana"/>
                <w:color w:val="0072C6"/>
                <w:sz w:val="24"/>
              </w:rPr>
              <w:t>репрессиях</w:t>
            </w:r>
            <w:proofErr w:type="spellEnd"/>
            <w:r>
              <w:rPr>
                <w:rFonts w:ascii="Verdana" w:eastAsia="Verdana" w:hAnsi="Verdana" w:cs="Verdana"/>
                <w:color w:val="0072C6"/>
                <w:sz w:val="24"/>
              </w:rPr>
              <w:t xml:space="preserve"> в </w:t>
            </w:r>
            <w:proofErr w:type="spellStart"/>
            <w:r>
              <w:rPr>
                <w:rFonts w:ascii="Verdana" w:eastAsia="Verdana" w:hAnsi="Verdana" w:cs="Verdana"/>
                <w:color w:val="0072C6"/>
                <w:sz w:val="24"/>
              </w:rPr>
              <w:t>отношении</w:t>
            </w:r>
            <w:proofErr w:type="spellEnd"/>
            <w:r>
              <w:rPr>
                <w:rFonts w:ascii="Verdana" w:eastAsia="Verdana" w:hAnsi="Verdana" w:cs="Verdana"/>
                <w:color w:val="0072C6"/>
                <w:sz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72C6"/>
                <w:sz w:val="24"/>
              </w:rPr>
              <w:t>тех</w:t>
            </w:r>
            <w:proofErr w:type="spellEnd"/>
            <w:r>
              <w:rPr>
                <w:rFonts w:ascii="Verdana" w:eastAsia="Verdana" w:hAnsi="Verdana" w:cs="Verdana"/>
                <w:color w:val="0072C6"/>
                <w:sz w:val="24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0072C6"/>
                <w:sz w:val="24"/>
              </w:rPr>
              <w:t>кто</w:t>
            </w:r>
            <w:proofErr w:type="spellEnd"/>
            <w:r>
              <w:rPr>
                <w:rFonts w:ascii="Verdana" w:eastAsia="Verdana" w:hAnsi="Verdana" w:cs="Verdana"/>
                <w:color w:val="0072C6"/>
                <w:sz w:val="24"/>
              </w:rPr>
              <w:t xml:space="preserve"> с </w:t>
            </w:r>
            <w:proofErr w:type="spellStart"/>
            <w:r>
              <w:rPr>
                <w:rFonts w:ascii="Verdana" w:eastAsia="Verdana" w:hAnsi="Verdana" w:cs="Verdana"/>
                <w:color w:val="0072C6"/>
                <w:sz w:val="24"/>
              </w:rPr>
              <w:t>нами</w:t>
            </w:r>
            <w:proofErr w:type="spellEnd"/>
            <w:r>
              <w:rPr>
                <w:rFonts w:ascii="Verdana" w:eastAsia="Verdana" w:hAnsi="Verdana" w:cs="Verdana"/>
                <w:color w:val="0072C6"/>
                <w:sz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72C6"/>
                <w:sz w:val="24"/>
              </w:rPr>
              <w:t>сотрудничает</w:t>
            </w:r>
            <w:proofErr w:type="spellEnd"/>
            <w:r>
              <w:rPr>
                <w:rFonts w:ascii="Verdana" w:eastAsia="Verdana" w:hAnsi="Verdana" w:cs="Verdana"/>
                <w:color w:val="0072C6"/>
                <w:sz w:val="28"/>
              </w:rPr>
              <w:t xml:space="preserve"> </w:t>
            </w:r>
          </w:p>
          <w:p w14:paraId="7FE66F87" w14:textId="77777777" w:rsidR="00AB0AB3" w:rsidRDefault="00AF07A7">
            <w:pPr>
              <w:spacing w:after="168" w:line="249" w:lineRule="auto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Управление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ООН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по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правам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человека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обеспокоено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ростом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числа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сообщений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о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запугиваниях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карательных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мерах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применяемых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отношении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людей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напрямую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взаимодействующих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с ООН в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ее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правозащитной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деятельности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условиях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когда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во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многих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районах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мира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пространство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для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деятельности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организаций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гражданского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общества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сужается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Такой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опасности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подвергаются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те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кто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предоставляет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информацию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обращается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с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жалобами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органы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механизмы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ООН,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посещает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организуемые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под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ее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эгидой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конференции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учебные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мероприятия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иным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образом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участвует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работе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структур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системы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Организации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Объединенных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Наций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Будучи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встревожен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ростом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числа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таких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сообщений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в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октябре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2016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года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Генеральный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секретарь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ООН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поручил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своему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помощнику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по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правам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человека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Эндрю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Гилмору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возглавить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работу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по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координации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общесистемных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усилий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ООН,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направленных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на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пресечение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предупреждение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актов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запугивания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репрессий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 </w:t>
            </w:r>
          </w:p>
          <w:p w14:paraId="4651924B" w14:textId="77777777" w:rsidR="00AB0AB3" w:rsidRDefault="00AF07A7">
            <w:pPr>
              <w:spacing w:after="85"/>
            </w:pPr>
            <w:r>
              <w:rPr>
                <w:rFonts w:ascii="Verdana" w:eastAsia="Verdana" w:hAnsi="Verdana" w:cs="Verdana"/>
                <w:color w:val="0072C6"/>
                <w:sz w:val="24"/>
              </w:rPr>
              <w:t xml:space="preserve">О </w:t>
            </w:r>
            <w:proofErr w:type="spellStart"/>
            <w:r>
              <w:rPr>
                <w:rFonts w:ascii="Verdana" w:eastAsia="Verdana" w:hAnsi="Verdana" w:cs="Verdana"/>
                <w:color w:val="0072C6"/>
                <w:sz w:val="24"/>
              </w:rPr>
              <w:t>каких</w:t>
            </w:r>
            <w:proofErr w:type="spellEnd"/>
            <w:r>
              <w:rPr>
                <w:rFonts w:ascii="Verdana" w:eastAsia="Verdana" w:hAnsi="Verdana" w:cs="Verdana"/>
                <w:color w:val="0072C6"/>
                <w:sz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72C6"/>
                <w:sz w:val="24"/>
              </w:rPr>
              <w:t>именно</w:t>
            </w:r>
            <w:proofErr w:type="spellEnd"/>
            <w:r>
              <w:rPr>
                <w:rFonts w:ascii="Verdana" w:eastAsia="Verdana" w:hAnsi="Verdana" w:cs="Verdana"/>
                <w:color w:val="0072C6"/>
                <w:sz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72C6"/>
                <w:sz w:val="24"/>
              </w:rPr>
              <w:t>структурах</w:t>
            </w:r>
            <w:proofErr w:type="spellEnd"/>
            <w:r>
              <w:rPr>
                <w:rFonts w:ascii="Verdana" w:eastAsia="Verdana" w:hAnsi="Verdana" w:cs="Verdana"/>
                <w:color w:val="0072C6"/>
                <w:sz w:val="24"/>
              </w:rPr>
              <w:t xml:space="preserve"> ООН </w:t>
            </w:r>
            <w:proofErr w:type="spellStart"/>
            <w:r>
              <w:rPr>
                <w:rFonts w:ascii="Verdana" w:eastAsia="Verdana" w:hAnsi="Verdana" w:cs="Verdana"/>
                <w:color w:val="0072C6"/>
                <w:sz w:val="24"/>
              </w:rPr>
              <w:t>идет</w:t>
            </w:r>
            <w:proofErr w:type="spellEnd"/>
            <w:r>
              <w:rPr>
                <w:rFonts w:ascii="Verdana" w:eastAsia="Verdana" w:hAnsi="Verdana" w:cs="Verdana"/>
                <w:color w:val="0072C6"/>
                <w:sz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72C6"/>
                <w:sz w:val="24"/>
              </w:rPr>
              <w:t>речь</w:t>
            </w:r>
            <w:proofErr w:type="spellEnd"/>
            <w:r>
              <w:rPr>
                <w:rFonts w:ascii="Verdana" w:eastAsia="Verdana" w:hAnsi="Verdana" w:cs="Verdana"/>
                <w:color w:val="0072C6"/>
                <w:sz w:val="24"/>
              </w:rPr>
              <w:t xml:space="preserve">? </w:t>
            </w:r>
          </w:p>
          <w:p w14:paraId="426611A6" w14:textId="77777777" w:rsidR="00AB0AB3" w:rsidRDefault="00AF07A7">
            <w:pPr>
              <w:spacing w:after="169" w:line="248" w:lineRule="auto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Это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касается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взаимодействия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со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всеми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органами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учреждениями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или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агентствами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Организации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Объединенных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Наций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во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всех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частях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мира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Центральные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учреждения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ООН,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страновые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отделения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миротворческие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миссии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Генеральная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Ассамблея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Совет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по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правам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человека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Совет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Безопасности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Экономический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Социальный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Совет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Международный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уголовный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суд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Международная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организация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труда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Всемирный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банк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Международный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валютный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фонд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совещания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конференции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Организации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Объединенных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Наций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по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торговле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развитию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окружающей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среде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т.п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  <w:p w14:paraId="60BFF54E" w14:textId="77777777" w:rsidR="00AB0AB3" w:rsidRDefault="00AF07A7">
            <w:pPr>
              <w:spacing w:after="83"/>
            </w:pPr>
            <w:proofErr w:type="spellStart"/>
            <w:r>
              <w:rPr>
                <w:rFonts w:ascii="Verdana" w:eastAsia="Verdana" w:hAnsi="Verdana" w:cs="Verdana"/>
                <w:color w:val="0072C6"/>
                <w:sz w:val="24"/>
              </w:rPr>
              <w:t>Куда</w:t>
            </w:r>
            <w:proofErr w:type="spellEnd"/>
            <w:r>
              <w:rPr>
                <w:rFonts w:ascii="Verdana" w:eastAsia="Verdana" w:hAnsi="Verdana" w:cs="Verdana"/>
                <w:color w:val="0072C6"/>
                <w:sz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72C6"/>
                <w:sz w:val="24"/>
              </w:rPr>
              <w:t>направлять</w:t>
            </w:r>
            <w:proofErr w:type="spellEnd"/>
            <w:r>
              <w:rPr>
                <w:rFonts w:ascii="Verdana" w:eastAsia="Verdana" w:hAnsi="Verdana" w:cs="Verdana"/>
                <w:color w:val="0072C6"/>
                <w:sz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72C6"/>
                <w:sz w:val="24"/>
              </w:rPr>
              <w:t>информацию</w:t>
            </w:r>
            <w:proofErr w:type="spellEnd"/>
            <w:r>
              <w:rPr>
                <w:rFonts w:ascii="Verdana" w:eastAsia="Verdana" w:hAnsi="Verdana" w:cs="Verdana"/>
                <w:color w:val="0072C6"/>
                <w:sz w:val="24"/>
              </w:rPr>
              <w:t xml:space="preserve"> </w:t>
            </w:r>
          </w:p>
          <w:p w14:paraId="3F328FAC" w14:textId="77777777" w:rsidR="00AB0AB3" w:rsidRDefault="00AF07A7">
            <w:proofErr w:type="spellStart"/>
            <w:r>
              <w:rPr>
                <w:rFonts w:ascii="Arial" w:eastAsia="Arial" w:hAnsi="Arial" w:cs="Arial"/>
                <w:sz w:val="20"/>
              </w:rPr>
              <w:t>Конкретные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случаи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могут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быть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приняты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к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рассмотрению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различными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структурами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механизмами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1BE8743" w14:textId="7603A2EF" w:rsidR="00AB0AB3" w:rsidRDefault="00AF07A7">
            <w:pPr>
              <w:spacing w:after="12" w:line="264" w:lineRule="auto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Организации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Объединенных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Наций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которые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смогут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предложить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способы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оказания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помощи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зависимости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от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характера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имевших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место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запугиваний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репрессивных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действий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Организации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гражданского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общества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пострадавшие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лица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могут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направлять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сообщения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об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инцидентах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существующих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рисках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по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защищенному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адресу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электронной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почты</w:t>
            </w:r>
            <w:proofErr w:type="spellEnd"/>
            <w:r>
              <w:rPr>
                <w:rFonts w:ascii="Arial" w:eastAsia="Arial" w:hAnsi="Arial" w:cs="Arial"/>
                <w:color w:val="0000FF"/>
                <w:sz w:val="20"/>
              </w:rPr>
              <w:t xml:space="preserve"> </w:t>
            </w:r>
            <w:hyperlink r:id="rId5" w:history="1">
              <w:r w:rsidRPr="008008B2">
                <w:rPr>
                  <w:rStyle w:val="Hyperlink"/>
                  <w:rFonts w:ascii="Arial" w:eastAsia="Arial" w:hAnsi="Arial" w:cs="Arial"/>
                  <w:sz w:val="20"/>
                </w:rPr>
                <w:t>ohchr-reprisals@un.org</w:t>
              </w:r>
            </w:hyperlink>
            <w:r>
              <w:rPr>
                <w:rFonts w:ascii="Arial" w:eastAsia="Arial" w:hAnsi="Arial" w:cs="Arial"/>
                <w:sz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Сотрудники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Управления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ООН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по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правам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человека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в </w:t>
            </w:r>
          </w:p>
          <w:p w14:paraId="6E5E3338" w14:textId="77777777" w:rsidR="00AF07A7" w:rsidRDefault="00AF07A7">
            <w:pPr>
              <w:spacing w:after="76" w:line="306" w:lineRule="auto"/>
              <w:ind w:right="87"/>
              <w:jc w:val="both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Нью-Йорке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Женеве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отслеживают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всю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информацию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поступающую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на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этот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адрес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и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принимают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меры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к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тому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чтобы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по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каждому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сообщению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была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проведена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надлежащая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проверка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 </w:t>
            </w:r>
          </w:p>
          <w:p w14:paraId="5557DDA5" w14:textId="048E9E5E" w:rsidR="00AB0AB3" w:rsidRDefault="00AF07A7">
            <w:pPr>
              <w:spacing w:after="76" w:line="306" w:lineRule="auto"/>
              <w:ind w:right="87"/>
              <w:jc w:val="both"/>
            </w:pPr>
            <w:proofErr w:type="spellStart"/>
            <w:r>
              <w:rPr>
                <w:rFonts w:ascii="Verdana" w:eastAsia="Verdana" w:hAnsi="Verdana" w:cs="Verdana"/>
                <w:color w:val="0072C6"/>
                <w:sz w:val="24"/>
              </w:rPr>
              <w:t>Какие</w:t>
            </w:r>
            <w:proofErr w:type="spellEnd"/>
            <w:r>
              <w:rPr>
                <w:rFonts w:ascii="Verdana" w:eastAsia="Verdana" w:hAnsi="Verdana" w:cs="Verdana"/>
                <w:color w:val="0072C6"/>
                <w:sz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72C6"/>
                <w:sz w:val="24"/>
              </w:rPr>
              <w:t>сведения</w:t>
            </w:r>
            <w:proofErr w:type="spellEnd"/>
            <w:r>
              <w:rPr>
                <w:rFonts w:ascii="Verdana" w:eastAsia="Verdana" w:hAnsi="Verdana" w:cs="Verdana"/>
                <w:color w:val="0072C6"/>
                <w:sz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72C6"/>
                <w:sz w:val="24"/>
              </w:rPr>
              <w:t>следует</w:t>
            </w:r>
            <w:proofErr w:type="spellEnd"/>
            <w:r>
              <w:rPr>
                <w:rFonts w:ascii="Verdana" w:eastAsia="Verdana" w:hAnsi="Verdana" w:cs="Verdana"/>
                <w:color w:val="0072C6"/>
                <w:sz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72C6"/>
                <w:sz w:val="24"/>
              </w:rPr>
              <w:t>включить</w:t>
            </w:r>
            <w:proofErr w:type="spellEnd"/>
            <w:r>
              <w:rPr>
                <w:rFonts w:ascii="Verdana" w:eastAsia="Verdana" w:hAnsi="Verdana" w:cs="Verdana"/>
                <w:color w:val="0072C6"/>
                <w:sz w:val="24"/>
              </w:rPr>
              <w:t xml:space="preserve"> в </w:t>
            </w:r>
            <w:proofErr w:type="spellStart"/>
            <w:r>
              <w:rPr>
                <w:rFonts w:ascii="Verdana" w:eastAsia="Verdana" w:hAnsi="Verdana" w:cs="Verdana"/>
                <w:color w:val="0072C6"/>
                <w:sz w:val="24"/>
              </w:rPr>
              <w:t>сообщение</w:t>
            </w:r>
            <w:proofErr w:type="spellEnd"/>
            <w:r>
              <w:rPr>
                <w:rFonts w:ascii="Verdana" w:eastAsia="Verdana" w:hAnsi="Verdana" w:cs="Verdana"/>
                <w:color w:val="0072C6"/>
                <w:sz w:val="24"/>
              </w:rPr>
              <w:t xml:space="preserve"> </w:t>
            </w:r>
          </w:p>
          <w:p w14:paraId="26DEE7A6" w14:textId="77777777" w:rsidR="00AB0AB3" w:rsidRDefault="00AF07A7">
            <w:pPr>
              <w:numPr>
                <w:ilvl w:val="0"/>
                <w:numId w:val="1"/>
              </w:numPr>
              <w:spacing w:after="22" w:line="270" w:lineRule="auto"/>
              <w:ind w:left="291" w:hanging="286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Опишите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как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сложившаяся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ситуация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связана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с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сотрудничеством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потерпевшего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с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Организацией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Объединенных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Наций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</w:t>
            </w: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Опишите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ситуацию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кто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?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когда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?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где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?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что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?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как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?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предполагаемые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нарушители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?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Имеются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ли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какие-либо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улики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или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документы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? </w:t>
            </w:r>
          </w:p>
          <w:p w14:paraId="50698393" w14:textId="77777777" w:rsidR="00AB0AB3" w:rsidRDefault="00AF07A7">
            <w:pPr>
              <w:numPr>
                <w:ilvl w:val="0"/>
                <w:numId w:val="1"/>
              </w:numPr>
              <w:spacing w:after="26" w:line="265" w:lineRule="auto"/>
              <w:ind w:left="291" w:hanging="286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Согласен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ли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потерпевший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или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член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семьи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законный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представитель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на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доведение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этой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информации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до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сведения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организаций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системы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ООН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для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возможного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принятия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ими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последующих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мер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использование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информации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на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встрече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с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представителями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соответствующего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государства-члена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или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письменном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обращении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в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открытых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докладах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пр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.)? </w:t>
            </w:r>
          </w:p>
          <w:p w14:paraId="7AE9880C" w14:textId="77777777" w:rsidR="00AB0AB3" w:rsidRDefault="00AF07A7">
            <w:pPr>
              <w:numPr>
                <w:ilvl w:val="0"/>
                <w:numId w:val="1"/>
              </w:numPr>
              <w:spacing w:after="121"/>
              <w:ind w:left="291" w:hanging="286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Подавались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ли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жалобы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какие-либо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национальные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региональные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или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международные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органы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?  </w:t>
            </w:r>
          </w:p>
          <w:p w14:paraId="6C1538E8" w14:textId="77777777" w:rsidR="00AB0AB3" w:rsidRDefault="00AF07A7">
            <w:pPr>
              <w:spacing w:after="120"/>
            </w:pPr>
            <w:proofErr w:type="spellStart"/>
            <w:r>
              <w:rPr>
                <w:rFonts w:ascii="Verdana" w:eastAsia="Verdana" w:hAnsi="Verdana" w:cs="Verdana"/>
                <w:color w:val="0072C6"/>
                <w:sz w:val="24"/>
              </w:rPr>
              <w:t>Где</w:t>
            </w:r>
            <w:proofErr w:type="spellEnd"/>
            <w:r>
              <w:rPr>
                <w:rFonts w:ascii="Verdana" w:eastAsia="Verdana" w:hAnsi="Verdana" w:cs="Verdana"/>
                <w:color w:val="0072C6"/>
                <w:sz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72C6"/>
                <w:sz w:val="24"/>
              </w:rPr>
              <w:t>можно</w:t>
            </w:r>
            <w:proofErr w:type="spellEnd"/>
            <w:r>
              <w:rPr>
                <w:rFonts w:ascii="Verdana" w:eastAsia="Verdana" w:hAnsi="Verdana" w:cs="Verdana"/>
                <w:color w:val="0072C6"/>
                <w:sz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72C6"/>
                <w:sz w:val="24"/>
              </w:rPr>
              <w:t>получить</w:t>
            </w:r>
            <w:proofErr w:type="spellEnd"/>
            <w:r>
              <w:rPr>
                <w:rFonts w:ascii="Verdana" w:eastAsia="Verdana" w:hAnsi="Verdana" w:cs="Verdana"/>
                <w:color w:val="0072C6"/>
                <w:sz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72C6"/>
                <w:sz w:val="24"/>
              </w:rPr>
              <w:t>дополнительную</w:t>
            </w:r>
            <w:proofErr w:type="spellEnd"/>
            <w:r>
              <w:rPr>
                <w:rFonts w:ascii="Verdana" w:eastAsia="Verdana" w:hAnsi="Verdana" w:cs="Verdana"/>
                <w:color w:val="0072C6"/>
                <w:sz w:val="2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72C6"/>
                <w:sz w:val="24"/>
              </w:rPr>
              <w:t>информацию</w:t>
            </w:r>
            <w:proofErr w:type="spellEnd"/>
            <w:r>
              <w:rPr>
                <w:rFonts w:ascii="Verdana" w:eastAsia="Verdana" w:hAnsi="Verdana" w:cs="Verdana"/>
                <w:color w:val="0072C6"/>
                <w:sz w:val="24"/>
              </w:rPr>
              <w:t xml:space="preserve"> </w:t>
            </w:r>
          </w:p>
          <w:p w14:paraId="05350290" w14:textId="77777777" w:rsidR="00AB0AB3" w:rsidRDefault="00AF07A7">
            <w:pPr>
              <w:spacing w:line="294" w:lineRule="auto"/>
              <w:ind w:right="386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Веб-страница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Управления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Организации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Объединенных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Наций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по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правам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человека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об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актах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запугивания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репрессиях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Verdana" w:eastAsia="Verdana" w:hAnsi="Verdana" w:cs="Verdana"/>
                <w:color w:val="0072C6"/>
                <w:sz w:val="20"/>
              </w:rPr>
              <w:t xml:space="preserve">http://www.ohchr.org/EN/Issues/Reprisals/Pages/ReprisalsIndex.aspx </w:t>
            </w:r>
          </w:p>
          <w:p w14:paraId="5DAFFF8A" w14:textId="77777777" w:rsidR="00AB0AB3" w:rsidRDefault="00AF07A7">
            <w:pPr>
              <w:spacing w:after="17"/>
            </w:pP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14:paraId="43EB37EF" w14:textId="77777777" w:rsidR="00AB0AB3" w:rsidRDefault="00AF07A7">
            <w:pPr>
              <w:spacing w:after="10"/>
              <w:ind w:right="9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4D176548" wp14:editId="15956688">
                  <wp:simplePos x="0" y="0"/>
                  <wp:positionH relativeFrom="column">
                    <wp:posOffset>4235831</wp:posOffset>
                  </wp:positionH>
                  <wp:positionV relativeFrom="paragraph">
                    <wp:posOffset>96417</wp:posOffset>
                  </wp:positionV>
                  <wp:extent cx="2673350" cy="228600"/>
                  <wp:effectExtent l="0" t="0" r="0" b="0"/>
                  <wp:wrapSquare wrapText="bothSides"/>
                  <wp:docPr id="185" name="Picture 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Picture 1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35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  <w:p w14:paraId="31CDADC2" w14:textId="77777777" w:rsidR="00AB0AB3" w:rsidRDefault="00AF07A7">
            <w:pPr>
              <w:ind w:right="9"/>
            </w:pPr>
            <w:r>
              <w:rPr>
                <w:sz w:val="20"/>
              </w:rPr>
              <w:t>17-18076 (R)</w:t>
            </w:r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</w:tbl>
    <w:p w14:paraId="3524CD8B" w14:textId="77777777" w:rsidR="005308EE" w:rsidRDefault="005308EE"/>
    <w:sectPr w:rsidR="005308EE">
      <w:pgSz w:w="12240" w:h="15840"/>
      <w:pgMar w:top="494" w:right="1440" w:bottom="49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638CB"/>
    <w:multiLevelType w:val="hybridMultilevel"/>
    <w:tmpl w:val="F0A0E912"/>
    <w:lvl w:ilvl="0" w:tplc="10ACFD08">
      <w:start w:val="1"/>
      <w:numFmt w:val="bullet"/>
      <w:lvlText w:val="•"/>
      <w:lvlJc w:val="left"/>
      <w:pPr>
        <w:ind w:left="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AEB270">
      <w:start w:val="1"/>
      <w:numFmt w:val="bullet"/>
      <w:lvlText w:val="o"/>
      <w:lvlJc w:val="left"/>
      <w:pPr>
        <w:ind w:left="15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3C95CA">
      <w:start w:val="1"/>
      <w:numFmt w:val="bullet"/>
      <w:lvlText w:val="▪"/>
      <w:lvlJc w:val="left"/>
      <w:pPr>
        <w:ind w:left="2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D0387A">
      <w:start w:val="1"/>
      <w:numFmt w:val="bullet"/>
      <w:lvlText w:val="•"/>
      <w:lvlJc w:val="left"/>
      <w:pPr>
        <w:ind w:left="3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C6F0CA">
      <w:start w:val="1"/>
      <w:numFmt w:val="bullet"/>
      <w:lvlText w:val="o"/>
      <w:lvlJc w:val="left"/>
      <w:pPr>
        <w:ind w:left="37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C6099C">
      <w:start w:val="1"/>
      <w:numFmt w:val="bullet"/>
      <w:lvlText w:val="▪"/>
      <w:lvlJc w:val="left"/>
      <w:pPr>
        <w:ind w:left="4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429358">
      <w:start w:val="1"/>
      <w:numFmt w:val="bullet"/>
      <w:lvlText w:val="•"/>
      <w:lvlJc w:val="left"/>
      <w:pPr>
        <w:ind w:left="5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5089DC">
      <w:start w:val="1"/>
      <w:numFmt w:val="bullet"/>
      <w:lvlText w:val="o"/>
      <w:lvlJc w:val="left"/>
      <w:pPr>
        <w:ind w:left="59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D0B73C">
      <w:start w:val="1"/>
      <w:numFmt w:val="bullet"/>
      <w:lvlText w:val="▪"/>
      <w:lvlJc w:val="left"/>
      <w:pPr>
        <w:ind w:left="66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8289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AB3"/>
    <w:rsid w:val="005308EE"/>
    <w:rsid w:val="00A95E83"/>
    <w:rsid w:val="00AB0AB3"/>
    <w:rsid w:val="00AF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FAD72"/>
  <w15:docId w15:val="{7F5F5B43-8F1F-4474-B07E-51DD72C5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F07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ohchr-reprisals@u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Taryn Lesser</dc:creator>
  <cp:keywords/>
  <cp:lastModifiedBy>Dolores Infante-Canibano</cp:lastModifiedBy>
  <cp:revision>3</cp:revision>
  <dcterms:created xsi:type="dcterms:W3CDTF">2022-10-25T10:43:00Z</dcterms:created>
  <dcterms:modified xsi:type="dcterms:W3CDTF">2023-03-13T07:53:00Z</dcterms:modified>
</cp:coreProperties>
</file>