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253" w:type="dxa"/>
        <w:tblInd w:w="-946" w:type="dxa"/>
        <w:tblCellMar>
          <w:left w:w="278" w:type="dxa"/>
          <w:bottom w:w="23" w:type="dxa"/>
          <w:right w:w="100" w:type="dxa"/>
        </w:tblCellMar>
        <w:tblLook w:val="04A0" w:firstRow="1" w:lastRow="0" w:firstColumn="1" w:lastColumn="0" w:noHBand="0" w:noVBand="1"/>
      </w:tblPr>
      <w:tblGrid>
        <w:gridCol w:w="11253"/>
      </w:tblGrid>
      <w:tr w:rsidR="00577083" w:rsidRPr="00874D54" w14:paraId="55089A45" w14:textId="77777777">
        <w:trPr>
          <w:trHeight w:val="14853"/>
        </w:trPr>
        <w:tc>
          <w:tcPr>
            <w:tcW w:w="11253" w:type="dxa"/>
            <w:tcBorders>
              <w:top w:val="single" w:sz="12" w:space="0" w:color="4F81BD"/>
              <w:left w:val="single" w:sz="12" w:space="0" w:color="4F81BD"/>
              <w:bottom w:val="single" w:sz="12" w:space="0" w:color="4F81BD"/>
              <w:right w:val="single" w:sz="12" w:space="0" w:color="4F81BD"/>
            </w:tcBorders>
            <w:vAlign w:val="bottom"/>
          </w:tcPr>
          <w:p w14:paraId="26B2280C" w14:textId="783113A5" w:rsidR="00577083" w:rsidRPr="00874D54" w:rsidRDefault="00577083">
            <w:pPr>
              <w:spacing w:after="294"/>
              <w:ind w:left="3331"/>
              <w:rPr>
                <w:rFonts w:ascii="Arial" w:hAnsi="Arial" w:cs="Arial"/>
              </w:rPr>
            </w:pPr>
          </w:p>
          <w:p w14:paraId="1BB7256F" w14:textId="77777777" w:rsidR="00577083" w:rsidRPr="00874D54" w:rsidRDefault="00FC5BE6">
            <w:pPr>
              <w:ind w:left="1368"/>
              <w:rPr>
                <w:rFonts w:ascii="Arial" w:hAnsi="Arial" w:cs="Arial"/>
                <w:lang w:val="fr-FR"/>
              </w:rPr>
            </w:pPr>
            <w:r w:rsidRPr="00874D54">
              <w:rPr>
                <w:rFonts w:ascii="Arial" w:eastAsia="Times New Roman" w:hAnsi="Arial" w:cs="Arial"/>
                <w:b/>
                <w:color w:val="0072C6"/>
                <w:sz w:val="32"/>
                <w:lang w:val="fr-FR"/>
              </w:rPr>
              <w:t xml:space="preserve">Actos de intimidación y represalia por colaborar con las  </w:t>
            </w:r>
          </w:p>
          <w:p w14:paraId="5C23DB54" w14:textId="77777777" w:rsidR="00577083" w:rsidRPr="00874D54" w:rsidRDefault="00FC5BE6">
            <w:pPr>
              <w:spacing w:after="582"/>
              <w:ind w:right="66"/>
              <w:jc w:val="center"/>
              <w:rPr>
                <w:rFonts w:ascii="Arial" w:hAnsi="Arial" w:cs="Arial"/>
                <w:lang w:val="fr-FR"/>
              </w:rPr>
            </w:pPr>
            <w:r w:rsidRPr="00874D54">
              <w:rPr>
                <w:rFonts w:ascii="Arial" w:eastAsia="Times New Roman" w:hAnsi="Arial" w:cs="Arial"/>
                <w:b/>
                <w:color w:val="0072C6"/>
                <w:sz w:val="32"/>
                <w:lang w:val="fr-FR"/>
              </w:rPr>
              <w:t xml:space="preserve">Naciones Unidas en materia de derechos humanos </w:t>
            </w:r>
          </w:p>
          <w:p w14:paraId="66A214B5" w14:textId="77777777" w:rsidR="00577083" w:rsidRPr="00874D54" w:rsidRDefault="00FC5BE6">
            <w:pPr>
              <w:spacing w:after="165"/>
              <w:rPr>
                <w:rFonts w:ascii="Arial" w:hAnsi="Arial" w:cs="Arial"/>
                <w:lang w:val="fr-FR"/>
              </w:rPr>
            </w:pPr>
            <w:r w:rsidRPr="00874D54">
              <w:rPr>
                <w:rFonts w:ascii="Arial" w:eastAsia="Times New Roman" w:hAnsi="Arial" w:cs="Arial"/>
                <w:color w:val="0072C6"/>
                <w:sz w:val="28"/>
                <w:lang w:val="fr-FR"/>
              </w:rPr>
              <w:t xml:space="preserve">Aumento de los casos de intimidación y represalias </w:t>
            </w:r>
          </w:p>
          <w:p w14:paraId="730152DF" w14:textId="77777777" w:rsidR="00577083" w:rsidRPr="00874D54" w:rsidRDefault="00FC5BE6">
            <w:pPr>
              <w:spacing w:after="347" w:line="245" w:lineRule="auto"/>
              <w:ind w:left="2" w:right="66"/>
              <w:jc w:val="both"/>
              <w:rPr>
                <w:rFonts w:ascii="Arial" w:hAnsi="Arial" w:cs="Arial"/>
                <w:lang w:val="fr-FR"/>
              </w:rPr>
            </w:pPr>
            <w:r w:rsidRPr="00874D54">
              <w:rPr>
                <w:rFonts w:ascii="Arial" w:eastAsia="Times New Roman" w:hAnsi="Arial" w:cs="Arial"/>
                <w:sz w:val="20"/>
                <w:lang w:val="fr-FR"/>
              </w:rPr>
              <w:t xml:space="preserve">En el contexto actual, en que las organizaciones de la sociedad civil ven su espacio cada vez más reducido en muchas partes del mundo, la Oficina de Derechos Humanos está preocupada por el aumento de los casos de intimidación y represalias contra quienes colaboran directamente con las Naciones Unidas en cuestiones de derechos humanos. Ello puede consistir en la difusión de información, la presentación de denuncias ante los órganos y mecanismos de las Naciones Unidas, la asistencia a actos o cursos de las Naciones Unidas u otras formas de participación en las entidades del sistema. El Secretario General, preocupado por el aumento del número de casos, nombró en octubre de 2016 al Subsecretario General de Derechos Humanos, Andrew Gilmour, alto funcionario encargado de coordinar las iniciativas de todo el sistema de las Naciones Unidas para afrontar y prevenir la intimidación y las represalias.  </w:t>
            </w:r>
          </w:p>
          <w:p w14:paraId="14D51D2A" w14:textId="77777777" w:rsidR="00577083" w:rsidRPr="00874D54" w:rsidRDefault="00FC5BE6">
            <w:pPr>
              <w:spacing w:after="174"/>
              <w:ind w:left="2"/>
              <w:rPr>
                <w:rFonts w:ascii="Arial" w:hAnsi="Arial" w:cs="Arial"/>
                <w:lang w:val="fr-FR"/>
              </w:rPr>
            </w:pPr>
            <w:r w:rsidRPr="00874D54">
              <w:rPr>
                <w:rFonts w:ascii="Arial" w:eastAsia="Times New Roman" w:hAnsi="Arial" w:cs="Arial"/>
                <w:color w:val="0072C6"/>
                <w:sz w:val="28"/>
                <w:lang w:val="fr-FR"/>
              </w:rPr>
              <w:t xml:space="preserve">¿A qué partes de las Naciones Unidas se hace referencia? </w:t>
            </w:r>
          </w:p>
          <w:p w14:paraId="4ECC9A51" w14:textId="77777777" w:rsidR="00577083" w:rsidRPr="00874D54" w:rsidRDefault="00FC5BE6">
            <w:pPr>
              <w:spacing w:after="345" w:line="250" w:lineRule="auto"/>
              <w:ind w:left="2" w:right="61"/>
              <w:jc w:val="both"/>
              <w:rPr>
                <w:rFonts w:ascii="Arial" w:hAnsi="Arial" w:cs="Arial"/>
                <w:lang w:val="fr-FR"/>
              </w:rPr>
            </w:pPr>
            <w:r w:rsidRPr="00874D54">
              <w:rPr>
                <w:rFonts w:ascii="Arial" w:eastAsia="Times New Roman" w:hAnsi="Arial" w:cs="Arial"/>
                <w:sz w:val="20"/>
                <w:lang w:val="fr-FR"/>
              </w:rPr>
              <w:t xml:space="preserve">A </w:t>
            </w:r>
            <w:r w:rsidRPr="00874D54">
              <w:rPr>
                <w:rFonts w:ascii="Arial" w:eastAsia="Times New Roman" w:hAnsi="Arial" w:cs="Arial"/>
                <w:i/>
                <w:sz w:val="20"/>
                <w:lang w:val="fr-FR"/>
              </w:rPr>
              <w:t>todos</w:t>
            </w:r>
            <w:r w:rsidRPr="00874D54">
              <w:rPr>
                <w:rFonts w:ascii="Arial" w:eastAsia="Times New Roman" w:hAnsi="Arial" w:cs="Arial"/>
                <w:sz w:val="20"/>
                <w:lang w:val="fr-FR"/>
              </w:rPr>
              <w:t xml:space="preserve"> los órganos, entidades y organismos de las Naciones Unidas de </w:t>
            </w:r>
            <w:r w:rsidRPr="00874D54">
              <w:rPr>
                <w:rFonts w:ascii="Arial" w:eastAsia="Times New Roman" w:hAnsi="Arial" w:cs="Arial"/>
                <w:i/>
                <w:sz w:val="20"/>
                <w:lang w:val="fr-FR"/>
              </w:rPr>
              <w:t>todo</w:t>
            </w:r>
            <w:r w:rsidRPr="00874D54">
              <w:rPr>
                <w:rFonts w:ascii="Arial" w:eastAsia="Times New Roman" w:hAnsi="Arial" w:cs="Arial"/>
                <w:sz w:val="20"/>
                <w:lang w:val="fr-FR"/>
              </w:rPr>
              <w:t xml:space="preserve"> el mundo: la Sede de las Naciones Unidas, las oficinas en los países y las misiones de mantenimiento de la paz, la Asamblea General, el Consejo de Derechos Humanos, el Consejo de Seguridad, el Consejo Económico y Social, la Corte Penal Internacional, la Organización Internacional del Trabajo, el Banco Mundial y el Fondo Monetario Internacional, las reuniones y conferencias de las Naciones Unidas sobre comercio, desarrollo y medio ambiente, etc. </w:t>
            </w:r>
          </w:p>
          <w:p w14:paraId="1A48E8E6" w14:textId="77777777" w:rsidR="00577083" w:rsidRPr="00874D54" w:rsidRDefault="00FC5BE6">
            <w:pPr>
              <w:spacing w:after="177"/>
              <w:ind w:left="2"/>
              <w:rPr>
                <w:rFonts w:ascii="Arial" w:hAnsi="Arial" w:cs="Arial"/>
                <w:lang w:val="fr-FR"/>
              </w:rPr>
            </w:pPr>
            <w:r w:rsidRPr="00874D54">
              <w:rPr>
                <w:rFonts w:ascii="Arial" w:eastAsia="Times New Roman" w:hAnsi="Arial" w:cs="Arial"/>
                <w:color w:val="0072C6"/>
                <w:sz w:val="28"/>
                <w:lang w:val="fr-FR"/>
              </w:rPr>
              <w:t xml:space="preserve">Dónde enviar la información </w:t>
            </w:r>
          </w:p>
          <w:p w14:paraId="7A1B805D" w14:textId="111914C0" w:rsidR="00577083" w:rsidRPr="00874D54" w:rsidRDefault="00FC5BE6">
            <w:pPr>
              <w:spacing w:after="276" w:line="249" w:lineRule="auto"/>
              <w:ind w:left="2" w:right="54"/>
              <w:jc w:val="both"/>
              <w:rPr>
                <w:rFonts w:ascii="Arial" w:hAnsi="Arial" w:cs="Arial"/>
                <w:lang w:val="fr-FR"/>
              </w:rPr>
            </w:pPr>
            <w:r w:rsidRPr="00874D54">
              <w:rPr>
                <w:rFonts w:ascii="Arial" w:eastAsia="Times New Roman" w:hAnsi="Arial" w:cs="Arial"/>
                <w:sz w:val="20"/>
                <w:lang w:val="fr-FR"/>
              </w:rPr>
              <w:t xml:space="preserve">Existen diversas entidades y mecanismos de las Naciones Unidas que pueden prestar asistencia en función del caso de intimidación o represalia experimentado. Las víctimas y organizaciones de la sociedad civil pueden notificar incidentes y riesgos enviando sus mensajes a una dirección de correo electrónico de carácter </w:t>
            </w:r>
            <w:r w:rsidRPr="00874D54">
              <w:rPr>
                <w:rFonts w:ascii="Arial" w:eastAsia="Times New Roman" w:hAnsi="Arial" w:cs="Arial"/>
                <w:i/>
                <w:sz w:val="20"/>
                <w:lang w:val="fr-FR"/>
              </w:rPr>
              <w:t>confidencial</w:t>
            </w:r>
            <w:r w:rsidRPr="00874D54">
              <w:rPr>
                <w:rFonts w:ascii="Arial" w:eastAsia="Times New Roman" w:hAnsi="Arial" w:cs="Arial"/>
                <w:sz w:val="20"/>
                <w:lang w:val="fr-FR"/>
              </w:rPr>
              <w:t>. La Oficina de Derechos Humanos en Nueva York y Ginebra atiende la siguiente dirección de correo y se asegura de que se da un seguimiento adecuado a la información recibida:</w:t>
            </w:r>
            <w:hyperlink r:id="rId5">
              <w:r w:rsidRPr="00874D54">
                <w:rPr>
                  <w:rFonts w:ascii="Arial" w:eastAsia="Times New Roman" w:hAnsi="Arial" w:cs="Arial"/>
                  <w:sz w:val="20"/>
                  <w:lang w:val="fr-FR"/>
                </w:rPr>
                <w:t xml:space="preserve"> </w:t>
              </w:r>
            </w:hyperlink>
            <w:hyperlink r:id="rId6" w:history="1">
              <w:r w:rsidR="007B1089" w:rsidRPr="00874D54">
                <w:rPr>
                  <w:rStyle w:val="Hyperlink"/>
                  <w:rFonts w:ascii="Arial" w:eastAsia="Times New Roman" w:hAnsi="Arial" w:cs="Arial"/>
                  <w:sz w:val="20"/>
                  <w:lang w:val="fr-FR"/>
                </w:rPr>
                <w:t>ohchr-reprisals@un.org</w:t>
              </w:r>
            </w:hyperlink>
            <w:r w:rsidR="007B1089" w:rsidRPr="00874D54">
              <w:rPr>
                <w:rFonts w:ascii="Arial" w:eastAsia="Times New Roman" w:hAnsi="Arial" w:cs="Arial"/>
                <w:sz w:val="20"/>
                <w:lang w:val="fr-FR"/>
              </w:rPr>
              <w:t xml:space="preserve"> </w:t>
            </w:r>
            <w:r w:rsidRPr="00874D54">
              <w:rPr>
                <w:rFonts w:ascii="Arial" w:eastAsia="Times New Roman" w:hAnsi="Arial" w:cs="Arial"/>
                <w:sz w:val="20"/>
                <w:lang w:val="fr-FR"/>
              </w:rPr>
              <w:t xml:space="preserve"> </w:t>
            </w:r>
          </w:p>
          <w:p w14:paraId="0C187490" w14:textId="77777777" w:rsidR="00577083" w:rsidRPr="00874D54" w:rsidRDefault="00FC5BE6">
            <w:pPr>
              <w:spacing w:after="218"/>
              <w:rPr>
                <w:rFonts w:ascii="Arial" w:hAnsi="Arial" w:cs="Arial"/>
              </w:rPr>
            </w:pPr>
            <w:r w:rsidRPr="00874D54">
              <w:rPr>
                <w:rFonts w:ascii="Arial" w:eastAsia="Times New Roman" w:hAnsi="Arial" w:cs="Arial"/>
                <w:color w:val="0072C6"/>
                <w:sz w:val="28"/>
              </w:rPr>
              <w:t xml:space="preserve">Qué datos aportar  </w:t>
            </w:r>
          </w:p>
          <w:p w14:paraId="213C66B2" w14:textId="77777777" w:rsidR="00577083" w:rsidRPr="00874D54" w:rsidRDefault="00FC5BE6">
            <w:pPr>
              <w:numPr>
                <w:ilvl w:val="0"/>
                <w:numId w:val="1"/>
              </w:numPr>
              <w:spacing w:after="1"/>
              <w:ind w:left="285" w:hanging="283"/>
              <w:rPr>
                <w:rFonts w:ascii="Arial" w:hAnsi="Arial" w:cs="Arial"/>
                <w:lang w:val="fr-FR"/>
              </w:rPr>
            </w:pPr>
            <w:r w:rsidRPr="00874D54">
              <w:rPr>
                <w:rFonts w:ascii="Arial" w:eastAsia="Times New Roman" w:hAnsi="Arial" w:cs="Arial"/>
                <w:sz w:val="20"/>
                <w:lang w:val="fr-FR"/>
              </w:rPr>
              <w:t xml:space="preserve">Descripción del vínculo entre la situación y la cooperación de la víctima con las Naciones Unidas. </w:t>
            </w:r>
          </w:p>
          <w:p w14:paraId="253C7EDA" w14:textId="77777777" w:rsidR="00577083" w:rsidRPr="00874D54" w:rsidRDefault="00FC5BE6">
            <w:pPr>
              <w:numPr>
                <w:ilvl w:val="0"/>
                <w:numId w:val="1"/>
              </w:numPr>
              <w:spacing w:after="1"/>
              <w:ind w:left="285" w:hanging="283"/>
              <w:rPr>
                <w:rFonts w:ascii="Arial" w:hAnsi="Arial" w:cs="Arial"/>
              </w:rPr>
            </w:pPr>
            <w:r w:rsidRPr="00874D54">
              <w:rPr>
                <w:rFonts w:ascii="Arial" w:eastAsia="Times New Roman" w:hAnsi="Arial" w:cs="Arial"/>
                <w:sz w:val="20"/>
                <w:lang w:val="fr-FR"/>
              </w:rPr>
              <w:t xml:space="preserve">Descripción del caso: ¿Quién? ¿Cuándo? ¿Dónde? </w:t>
            </w:r>
            <w:r w:rsidRPr="00874D54">
              <w:rPr>
                <w:rFonts w:ascii="Arial" w:eastAsia="Times New Roman" w:hAnsi="Arial" w:cs="Arial"/>
                <w:sz w:val="20"/>
              </w:rPr>
              <w:t xml:space="preserve">¿Qué? ¿Cómo? ¿Presunto autor o autores? ¿Pruebas o documentación? </w:t>
            </w:r>
          </w:p>
          <w:p w14:paraId="1CDB2FEA" w14:textId="77777777" w:rsidR="00577083" w:rsidRPr="00874D54" w:rsidRDefault="00FC5BE6">
            <w:pPr>
              <w:numPr>
                <w:ilvl w:val="0"/>
                <w:numId w:val="1"/>
              </w:numPr>
              <w:spacing w:after="38"/>
              <w:ind w:left="285" w:hanging="283"/>
              <w:rPr>
                <w:rFonts w:ascii="Arial" w:hAnsi="Arial" w:cs="Arial"/>
                <w:lang w:val="fr-FR"/>
              </w:rPr>
            </w:pPr>
            <w:r w:rsidRPr="00874D54">
              <w:rPr>
                <w:rFonts w:ascii="Arial" w:eastAsia="Times New Roman" w:hAnsi="Arial" w:cs="Arial"/>
                <w:sz w:val="20"/>
                <w:lang w:val="fr-FR"/>
              </w:rPr>
              <w:t xml:space="preserve">¿Consiente la víctima, o su familiar o representante, que se remita la información a entidades de las Naciones Unidas para que actúen según consideren necesario (uso de la información en reuniones con el Estado Miembro en cuestión, cartas, informes públicos, etc.)?  </w:t>
            </w:r>
          </w:p>
          <w:p w14:paraId="1FC9D8C2" w14:textId="77777777" w:rsidR="00577083" w:rsidRPr="00874D54" w:rsidRDefault="00FC5BE6">
            <w:pPr>
              <w:numPr>
                <w:ilvl w:val="0"/>
                <w:numId w:val="1"/>
              </w:numPr>
              <w:spacing w:after="231"/>
              <w:ind w:left="285" w:hanging="283"/>
              <w:rPr>
                <w:rFonts w:ascii="Arial" w:hAnsi="Arial" w:cs="Arial"/>
              </w:rPr>
            </w:pPr>
            <w:r w:rsidRPr="00874D54">
              <w:rPr>
                <w:rFonts w:ascii="Arial" w:eastAsia="Times New Roman" w:hAnsi="Arial" w:cs="Arial"/>
                <w:sz w:val="20"/>
              </w:rPr>
              <w:t xml:space="preserve">¿Se han presentado quejas a algún órgano nacional, regional o internacional de otro tipo?  </w:t>
            </w:r>
          </w:p>
          <w:p w14:paraId="1D8D5F86" w14:textId="77777777" w:rsidR="00577083" w:rsidRPr="00874D54" w:rsidRDefault="00FC5BE6">
            <w:pPr>
              <w:spacing w:after="206"/>
              <w:rPr>
                <w:rFonts w:ascii="Arial" w:hAnsi="Arial" w:cs="Arial"/>
              </w:rPr>
            </w:pPr>
            <w:r w:rsidRPr="00874D54">
              <w:rPr>
                <w:rFonts w:ascii="Arial" w:eastAsia="Times New Roman" w:hAnsi="Arial" w:cs="Arial"/>
                <w:color w:val="0072C6"/>
                <w:sz w:val="28"/>
              </w:rPr>
              <w:t xml:space="preserve">Dónde encontrar más información </w:t>
            </w:r>
          </w:p>
          <w:p w14:paraId="07FE6C35" w14:textId="4C19153B" w:rsidR="00577083" w:rsidRPr="00874D54" w:rsidRDefault="00FC5BE6" w:rsidP="00FC5BE6">
            <w:pPr>
              <w:spacing w:after="267"/>
              <w:ind w:left="2"/>
              <w:rPr>
                <w:rFonts w:ascii="Arial" w:hAnsi="Arial" w:cs="Arial"/>
                <w:lang w:val="fr-FR"/>
              </w:rPr>
            </w:pPr>
            <w:r w:rsidRPr="00874D54">
              <w:rPr>
                <w:rFonts w:ascii="Arial" w:eastAsia="Times New Roman" w:hAnsi="Arial" w:cs="Arial"/>
                <w:sz w:val="20"/>
                <w:lang w:val="fr-FR"/>
              </w:rPr>
              <w:t xml:space="preserve">Página web de la Oficina de Derechos Humanos sobre la intimidación y las represalias: </w:t>
            </w:r>
            <w:r w:rsidRPr="00874D54">
              <w:rPr>
                <w:rFonts w:ascii="Arial" w:eastAsia="Times New Roman" w:hAnsi="Arial" w:cs="Arial"/>
                <w:color w:val="0072C6"/>
                <w:sz w:val="20"/>
                <w:lang w:val="fr-FR"/>
              </w:rPr>
              <w:t>http://www.ohchr.org/SP/Issues/Reprisals/Pages/ReprisalsIndex.aspx</w:t>
            </w:r>
            <w:r w:rsidRPr="00874D54">
              <w:rPr>
                <w:rFonts w:ascii="Arial" w:eastAsia="Verdana" w:hAnsi="Arial" w:cs="Arial"/>
                <w:color w:val="0072C6"/>
                <w:sz w:val="20"/>
                <w:lang w:val="fr-FR"/>
              </w:rPr>
              <w:t xml:space="preserve"> </w:t>
            </w:r>
          </w:p>
          <w:p w14:paraId="4689F436" w14:textId="77777777" w:rsidR="00577083" w:rsidRPr="00874D54" w:rsidRDefault="00FC5BE6" w:rsidP="00FC5BE6">
            <w:pPr>
              <w:spacing w:after="36"/>
              <w:ind w:right="834"/>
              <w:rPr>
                <w:rFonts w:ascii="Arial" w:hAnsi="Arial" w:cs="Arial"/>
              </w:rPr>
            </w:pPr>
            <w:r w:rsidRPr="00874D54">
              <w:rPr>
                <w:rFonts w:ascii="Arial" w:hAnsi="Arial" w:cs="Arial"/>
                <w:noProof/>
              </w:rPr>
              <w:drawing>
                <wp:anchor distT="0" distB="0" distL="114300" distR="114300" simplePos="0" relativeHeight="251658240" behindDoc="0" locked="0" layoutInCell="1" allowOverlap="0" wp14:anchorId="5C1C12AA" wp14:editId="3C04F1C1">
                  <wp:simplePos x="0" y="0"/>
                  <wp:positionH relativeFrom="column">
                    <wp:posOffset>5473446</wp:posOffset>
                  </wp:positionH>
                  <wp:positionV relativeFrom="paragraph">
                    <wp:posOffset>-6599</wp:posOffset>
                  </wp:positionV>
                  <wp:extent cx="1079665" cy="23114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1079665" cy="231140"/>
                          </a:xfrm>
                          <a:prstGeom prst="rect">
                            <a:avLst/>
                          </a:prstGeom>
                        </pic:spPr>
                      </pic:pic>
                    </a:graphicData>
                  </a:graphic>
                </wp:anchor>
              </w:drawing>
            </w:r>
            <w:r w:rsidRPr="00874D54">
              <w:rPr>
                <w:rFonts w:ascii="Arial" w:eastAsia="Times New Roman" w:hAnsi="Arial" w:cs="Arial"/>
                <w:color w:val="010000"/>
                <w:sz w:val="20"/>
              </w:rPr>
              <w:t xml:space="preserve">17-18076 (S) </w:t>
            </w:r>
          </w:p>
          <w:p w14:paraId="356A95FB" w14:textId="77777777" w:rsidR="00577083" w:rsidRPr="00874D54" w:rsidRDefault="00FC5BE6">
            <w:pPr>
              <w:ind w:left="427"/>
              <w:rPr>
                <w:rFonts w:ascii="Arial" w:hAnsi="Arial" w:cs="Arial"/>
              </w:rPr>
            </w:pPr>
            <w:r w:rsidRPr="00874D54">
              <w:rPr>
                <w:rFonts w:ascii="Arial" w:eastAsia="Times New Roman" w:hAnsi="Arial" w:cs="Arial"/>
                <w:color w:val="010000"/>
                <w:sz w:val="20"/>
              </w:rPr>
              <w:t xml:space="preserve"> </w:t>
            </w:r>
            <w:r w:rsidRPr="00874D54">
              <w:rPr>
                <w:rFonts w:ascii="Arial" w:eastAsia="Times New Roman" w:hAnsi="Arial" w:cs="Arial"/>
                <w:sz w:val="20"/>
              </w:rPr>
              <w:t xml:space="preserve">  </w:t>
            </w:r>
          </w:p>
        </w:tc>
      </w:tr>
    </w:tbl>
    <w:p w14:paraId="46132BF9" w14:textId="77777777" w:rsidR="00031A01" w:rsidRPr="00874D54" w:rsidRDefault="00031A01">
      <w:pPr>
        <w:rPr>
          <w:rFonts w:ascii="Arial" w:hAnsi="Arial" w:cs="Arial"/>
        </w:rPr>
      </w:pPr>
    </w:p>
    <w:sectPr w:rsidR="00031A01" w:rsidRPr="00874D54">
      <w:pgSz w:w="12240" w:h="15840"/>
      <w:pgMar w:top="494" w:right="1440" w:bottom="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14059"/>
    <w:multiLevelType w:val="hybridMultilevel"/>
    <w:tmpl w:val="A8E267D8"/>
    <w:lvl w:ilvl="0" w:tplc="410826E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0222A">
      <w:start w:val="1"/>
      <w:numFmt w:val="bullet"/>
      <w:lvlText w:val="o"/>
      <w:lvlJc w:val="left"/>
      <w:pPr>
        <w:ind w:left="13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4A7634">
      <w:start w:val="1"/>
      <w:numFmt w:val="bullet"/>
      <w:lvlText w:val="▪"/>
      <w:lvlJc w:val="left"/>
      <w:pPr>
        <w:ind w:left="2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CC39D0">
      <w:start w:val="1"/>
      <w:numFmt w:val="bullet"/>
      <w:lvlText w:val="•"/>
      <w:lvlJc w:val="left"/>
      <w:pPr>
        <w:ind w:left="2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EAAA74">
      <w:start w:val="1"/>
      <w:numFmt w:val="bullet"/>
      <w:lvlText w:val="o"/>
      <w:lvlJc w:val="left"/>
      <w:pPr>
        <w:ind w:left="3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03B24">
      <w:start w:val="1"/>
      <w:numFmt w:val="bullet"/>
      <w:lvlText w:val="▪"/>
      <w:lvlJc w:val="left"/>
      <w:pPr>
        <w:ind w:left="4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521654">
      <w:start w:val="1"/>
      <w:numFmt w:val="bullet"/>
      <w:lvlText w:val="•"/>
      <w:lvlJc w:val="left"/>
      <w:pPr>
        <w:ind w:left="4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CAC256">
      <w:start w:val="1"/>
      <w:numFmt w:val="bullet"/>
      <w:lvlText w:val="o"/>
      <w:lvlJc w:val="left"/>
      <w:pPr>
        <w:ind w:left="5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4AE324">
      <w:start w:val="1"/>
      <w:numFmt w:val="bullet"/>
      <w:lvlText w:val="▪"/>
      <w:lvlJc w:val="left"/>
      <w:pPr>
        <w:ind w:left="6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0457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083"/>
    <w:rsid w:val="00031A01"/>
    <w:rsid w:val="00095AD0"/>
    <w:rsid w:val="00577083"/>
    <w:rsid w:val="007B1089"/>
    <w:rsid w:val="00874D54"/>
    <w:rsid w:val="0094266C"/>
    <w:rsid w:val="00FC5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C57C"/>
  <w15:docId w15:val="{3045AC1C-8320-4086-BAA9-CB3DDEDD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B1089"/>
    <w:rPr>
      <w:color w:val="0563C1" w:themeColor="hyperlink"/>
      <w:u w:val="single"/>
    </w:rPr>
  </w:style>
  <w:style w:type="character" w:styleId="UnresolvedMention">
    <w:name w:val="Unresolved Mention"/>
    <w:basedOn w:val="DefaultParagraphFont"/>
    <w:uiPriority w:val="99"/>
    <w:semiHidden/>
    <w:unhideWhenUsed/>
    <w:rsid w:val="007B1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hchr-reprisals@un.org" TargetMode="External"/><Relationship Id="rId5" Type="http://schemas.openxmlformats.org/officeDocument/2006/relationships/hyperlink" Target="file://unhq.un.org/shared/spanish_wp/MSWDocs/_3Final/reprisals@ohch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Rivas Lopez</dc:creator>
  <cp:keywords/>
  <cp:lastModifiedBy>Dolores Infante-Canibano</cp:lastModifiedBy>
  <cp:revision>6</cp:revision>
  <dcterms:created xsi:type="dcterms:W3CDTF">2022-10-25T10:33:00Z</dcterms:created>
  <dcterms:modified xsi:type="dcterms:W3CDTF">2023-03-13T07:53:00Z</dcterms:modified>
</cp:coreProperties>
</file>