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9E05" w14:textId="3CDBABCF" w:rsidR="0002366E" w:rsidRDefault="00FF1B07">
      <w:r>
        <w:t>Dr. Marcos A. Orellana, Special Rapporteur on toxics and human rights</w:t>
      </w:r>
      <w:r>
        <w:br/>
        <w:t>OHCHR-UNOG</w:t>
      </w:r>
    </w:p>
    <w:p w14:paraId="525AF62C" w14:textId="22113CB1" w:rsidR="00FF1B07" w:rsidRDefault="00FF1B07">
      <w:r>
        <w:t xml:space="preserve">Avenue </w:t>
      </w:r>
      <w:proofErr w:type="spellStart"/>
      <w:r>
        <w:t>Guiseppe</w:t>
      </w:r>
      <w:proofErr w:type="spellEnd"/>
      <w:r>
        <w:t xml:space="preserve"> Motta 48,</w:t>
      </w:r>
    </w:p>
    <w:p w14:paraId="0A520EC6" w14:textId="1383B8EC" w:rsidR="00FF1B07" w:rsidRDefault="00FF1B07">
      <w:r>
        <w:t>CH- 1202 Geneva</w:t>
      </w:r>
      <w:r>
        <w:br/>
        <w:t>Switzerland</w:t>
      </w:r>
      <w:r>
        <w:br/>
      </w:r>
      <w:r w:rsidR="00231139">
        <w:t>E</w:t>
      </w:r>
      <w:r>
        <w:t xml:space="preserve">mail: </w:t>
      </w:r>
      <w:hyperlink r:id="rId7" w:history="1">
        <w:r w:rsidR="00231139" w:rsidRPr="00E43180">
          <w:rPr>
            <w:rStyle w:val="Hyperlink"/>
          </w:rPr>
          <w:t>ohchr-srtoxicshr@un.org</w:t>
        </w:r>
      </w:hyperlink>
      <w:r w:rsidR="00231139">
        <w:t xml:space="preserve"> </w:t>
      </w:r>
    </w:p>
    <w:p w14:paraId="3F5A048F" w14:textId="7B6DBF15" w:rsidR="00FD2167" w:rsidRDefault="00FD2167"/>
    <w:p w14:paraId="3C48805D" w14:textId="0C32DAC8" w:rsidR="00FD2167" w:rsidRDefault="00FD2167">
      <w:r>
        <w:tab/>
      </w:r>
      <w:r>
        <w:tab/>
      </w:r>
      <w:r>
        <w:tab/>
      </w:r>
      <w:r>
        <w:tab/>
      </w:r>
      <w:r>
        <w:tab/>
      </w:r>
      <w:r>
        <w:tab/>
      </w:r>
      <w:r>
        <w:tab/>
      </w:r>
      <w:r>
        <w:tab/>
      </w:r>
      <w:r>
        <w:tab/>
      </w:r>
      <w:r>
        <w:tab/>
        <w:t>April 25, 2022</w:t>
      </w:r>
    </w:p>
    <w:p w14:paraId="50B9789B" w14:textId="7654B12A" w:rsidR="00231139" w:rsidRDefault="00231139"/>
    <w:p w14:paraId="2A1D96D0" w14:textId="6E7BA836" w:rsidR="00231139" w:rsidRPr="00201D09" w:rsidRDefault="00231139">
      <w:pPr>
        <w:rPr>
          <w:b/>
          <w:bCs/>
        </w:rPr>
      </w:pPr>
      <w:r w:rsidRPr="00201D09">
        <w:rPr>
          <w:b/>
          <w:bCs/>
        </w:rPr>
        <w:t xml:space="preserve">Re: Submission to the Call for Input on the Impact of Toxics on Indigenous Peoples to inform the </w:t>
      </w:r>
      <w:r w:rsidR="00910C4F" w:rsidRPr="00201D09">
        <w:rPr>
          <w:b/>
          <w:bCs/>
        </w:rPr>
        <w:t>report on “The impact of toxics on Indigenous Peoples” to be presented at the 77</w:t>
      </w:r>
      <w:r w:rsidR="00910C4F" w:rsidRPr="00201D09">
        <w:rPr>
          <w:b/>
          <w:bCs/>
          <w:vertAlign w:val="superscript"/>
        </w:rPr>
        <w:t>th</w:t>
      </w:r>
      <w:r w:rsidR="00910C4F" w:rsidRPr="00201D09">
        <w:rPr>
          <w:b/>
          <w:bCs/>
        </w:rPr>
        <w:t xml:space="preserve"> Sess. Of the U.N. General Assembly</w:t>
      </w:r>
    </w:p>
    <w:p w14:paraId="18F122BF" w14:textId="75CEA810" w:rsidR="00910C4F" w:rsidRPr="00201D09" w:rsidRDefault="00910C4F"/>
    <w:p w14:paraId="1412743D" w14:textId="15FFD6DE" w:rsidR="00910C4F" w:rsidRPr="00201D09" w:rsidRDefault="00910C4F">
      <w:r w:rsidRPr="00201D09">
        <w:t xml:space="preserve">For more information, please contact </w:t>
      </w:r>
      <w:proofErr w:type="spellStart"/>
      <w:r w:rsidRPr="00201D09">
        <w:t>Anpo</w:t>
      </w:r>
      <w:proofErr w:type="spellEnd"/>
      <w:r w:rsidRPr="00201D09">
        <w:t xml:space="preserve"> Jenson, IITC Environmental Health Research Specialist, at +(605) 454-9867, or email: </w:t>
      </w:r>
      <w:hyperlink r:id="rId8" w:history="1">
        <w:r w:rsidRPr="00201D09">
          <w:rPr>
            <w:rStyle w:val="Hyperlink"/>
          </w:rPr>
          <w:t>anpo@treatycouncil.org</w:t>
        </w:r>
      </w:hyperlink>
      <w:r w:rsidRPr="00201D09">
        <w:t xml:space="preserve">; Summer Blaze Aubrey, IITC Staff Attorney for Human Rights, at </w:t>
      </w:r>
      <w:r w:rsidR="00FD2167" w:rsidRPr="00201D09">
        <w:t xml:space="preserve">+(509) 823-6951, or email: </w:t>
      </w:r>
      <w:hyperlink r:id="rId9" w:history="1">
        <w:r w:rsidR="00FD2167" w:rsidRPr="00201D09">
          <w:rPr>
            <w:rStyle w:val="Hyperlink"/>
          </w:rPr>
          <w:t>summer@treatycouncil.org</w:t>
        </w:r>
      </w:hyperlink>
      <w:r w:rsidR="00FD2167" w:rsidRPr="00201D09">
        <w:t xml:space="preserve">. </w:t>
      </w:r>
    </w:p>
    <w:p w14:paraId="12E2BC92" w14:textId="1F68F02D" w:rsidR="00FD2167" w:rsidRPr="00201D09" w:rsidRDefault="00FD2167"/>
    <w:p w14:paraId="17D2BE99" w14:textId="07FBEDAB" w:rsidR="00FD2167" w:rsidRPr="00201D09" w:rsidRDefault="00182F88">
      <w:r w:rsidRPr="00201D09">
        <w:t>IITC has the following recommendations and contributions:</w:t>
      </w:r>
    </w:p>
    <w:p w14:paraId="66D97031" w14:textId="6A7A109F" w:rsidR="008A3846" w:rsidRPr="00201D09" w:rsidRDefault="008A3846" w:rsidP="008A3846">
      <w:pPr>
        <w:pStyle w:val="ListParagraph"/>
        <w:numPr>
          <w:ilvl w:val="0"/>
          <w:numId w:val="1"/>
        </w:numPr>
      </w:pPr>
      <w:r w:rsidRPr="00201D09">
        <w:t xml:space="preserve">Local Communities be treated as a separate entity from Indigenous </w:t>
      </w:r>
      <w:r w:rsidR="00446F2A" w:rsidRPr="00201D09">
        <w:t>Peoples,</w:t>
      </w:r>
      <w:r w:rsidRPr="00201D09">
        <w:t xml:space="preserve"> and they should not be conflated in any context, particularly by UNFCCC and the Convention on Biological Diversity.</w:t>
      </w:r>
    </w:p>
    <w:p w14:paraId="48A710D0" w14:textId="2B6EA6E1" w:rsidR="00D003D7" w:rsidRPr="00201D09" w:rsidRDefault="00D003D7" w:rsidP="008A3846">
      <w:pPr>
        <w:pStyle w:val="ListParagraph"/>
        <w:numPr>
          <w:ilvl w:val="0"/>
          <w:numId w:val="1"/>
        </w:numPr>
      </w:pPr>
      <w:r w:rsidRPr="00201D09">
        <w:t xml:space="preserve">Request that the Special Rapporteur on toxics and human rights endorse amending the FAO Code of Conduct on Pesticides to include the right to Free, Prior and Informed Consent of Indigenous Peoples. </w:t>
      </w:r>
    </w:p>
    <w:p w14:paraId="4F04C26E" w14:textId="305BC45B" w:rsidR="00D003D7" w:rsidRPr="00201D09" w:rsidRDefault="00D003D7" w:rsidP="008A3846">
      <w:pPr>
        <w:pStyle w:val="ListParagraph"/>
        <w:numPr>
          <w:ilvl w:val="0"/>
          <w:numId w:val="1"/>
        </w:numPr>
      </w:pPr>
      <w:r w:rsidRPr="00201D09">
        <w:t xml:space="preserve">Request that the Special Rapporteur endorse and uphold the position stated by the UNSRIP regarding Free, Prior and Informed Consent in his own work. </w:t>
      </w:r>
    </w:p>
    <w:p w14:paraId="4B88971F" w14:textId="05EED2BE" w:rsidR="00D003D7" w:rsidRPr="00201D09" w:rsidRDefault="00D003D7" w:rsidP="008A3846">
      <w:pPr>
        <w:pStyle w:val="ListParagraph"/>
        <w:numPr>
          <w:ilvl w:val="0"/>
          <w:numId w:val="1"/>
        </w:numPr>
      </w:pPr>
      <w:r w:rsidRPr="00201D09">
        <w:t xml:space="preserve">Uphold and advocate for the right to Free, Prior and Informed Consent </w:t>
      </w:r>
      <w:r w:rsidR="00446F2A" w:rsidRPr="00201D09">
        <w:t xml:space="preserve">in the Special Rapporteur’s interactions with the U.N. Chemical and Environmental Conventions. </w:t>
      </w:r>
    </w:p>
    <w:p w14:paraId="36176DCF" w14:textId="4F7E88D4" w:rsidR="00446F2A" w:rsidRPr="00201D09" w:rsidRDefault="00446F2A" w:rsidP="00446F2A"/>
    <w:p w14:paraId="44540AD3" w14:textId="69BD81EC" w:rsidR="00446F2A" w:rsidRPr="00201D09" w:rsidRDefault="00090E61" w:rsidP="00446F2A">
      <w:r w:rsidRPr="00201D09">
        <w:t>There are ongoing attempts</w:t>
      </w:r>
      <w:r w:rsidR="007E02FC" w:rsidRPr="00201D09">
        <w:t xml:space="preserve"> </w:t>
      </w:r>
      <w:r w:rsidR="007E02FC" w:rsidRPr="00201D09">
        <w:t>by some States and U</w:t>
      </w:r>
      <w:r w:rsidR="007E02FC" w:rsidRPr="00201D09">
        <w:t>.</w:t>
      </w:r>
      <w:r w:rsidR="007E02FC" w:rsidRPr="00201D09">
        <w:t>N</w:t>
      </w:r>
      <w:r w:rsidR="007E02FC" w:rsidRPr="00201D09">
        <w:t>.</w:t>
      </w:r>
      <w:r w:rsidR="007E02FC" w:rsidRPr="00201D09">
        <w:t xml:space="preserve"> Environmental Convention bodies and processes to diminish the unique legal status and standing of Indigenous Peoples as “Peoples” and the recognition of our rights as affirmed in the U</w:t>
      </w:r>
      <w:r w:rsidR="007E02FC" w:rsidRPr="00201D09">
        <w:t>.</w:t>
      </w:r>
      <w:r w:rsidR="007E02FC" w:rsidRPr="00201D09">
        <w:t>N</w:t>
      </w:r>
      <w:r w:rsidR="007E02FC" w:rsidRPr="00201D09">
        <w:t>.</w:t>
      </w:r>
      <w:r w:rsidR="007E02FC" w:rsidRPr="00201D09">
        <w:t xml:space="preserve"> Declaration on the Rights of Indigenous Peoples, both within the U</w:t>
      </w:r>
      <w:r w:rsidR="007E02FC" w:rsidRPr="00201D09">
        <w:t>.</w:t>
      </w:r>
      <w:r w:rsidR="007E02FC" w:rsidRPr="00201D09">
        <w:t>N</w:t>
      </w:r>
      <w:r w:rsidR="007E02FC" w:rsidRPr="00201D09">
        <w:t>.</w:t>
      </w:r>
      <w:r w:rsidR="007E02FC" w:rsidRPr="00201D09">
        <w:t xml:space="preserve"> System and in our ancestral homelands.</w:t>
      </w:r>
    </w:p>
    <w:p w14:paraId="262E3A44" w14:textId="567DFC06" w:rsidR="007E02FC" w:rsidRPr="00201D09" w:rsidRDefault="007E02FC" w:rsidP="00446F2A"/>
    <w:p w14:paraId="3A3A4A4C" w14:textId="4AE6E22B" w:rsidR="007E02FC" w:rsidRPr="00201D09" w:rsidRDefault="007E02FC" w:rsidP="00446F2A">
      <w:r w:rsidRPr="00201D09">
        <w:lastRenderedPageBreak/>
        <w:t>Both the UNFCCC Local Communities and Indigenous Peoples Platform and the work of Indigenous Peoples in the Convention on Biological Diversity have been used to promote or justify the idea that Local Communities and Indigenous Peoples should be considered as one entity or be linked in the work of these bodies. This continues despite the objections of Indigenous Peoples who refuse</w:t>
      </w:r>
      <w:r w:rsidR="00092840" w:rsidRPr="00201D09">
        <w:t xml:space="preserve"> to</w:t>
      </w:r>
      <w:r w:rsidRPr="00201D09">
        <w:t xml:space="preserve"> allow the recognition of their rights and legal status as Peoples to be diminished or undermined by such a conflation.</w:t>
      </w:r>
    </w:p>
    <w:p w14:paraId="167F561A" w14:textId="2E16EC0D" w:rsidR="007662F3" w:rsidRPr="00201D09" w:rsidRDefault="007662F3" w:rsidP="00446F2A"/>
    <w:p w14:paraId="3F7092F6" w14:textId="77777777" w:rsidR="00DC2A08" w:rsidRPr="00201D09" w:rsidRDefault="00280DAD" w:rsidP="00446F2A">
      <w:r w:rsidRPr="00201D09">
        <w:t>It must be noted that the name of the LICPP was decided at UNFCCC COP 21 in Paris by State Parties without the input of Indigenous Peoples. In fact, “Local Communities” are not a defined or organized constituency at the UNFCCC and are therefore not members of the LCIPP’s Facilitative Working Group to date. Indigenous Peoples at the UNFPCC have made it clear that attempts to diminish our rights as Peoples in responses to the Climate Crisis in this way will not be accepted. The International Indigenous Peoples Forum on Climate Change (IIPFCC) otherwise known as the Indigenous Peoples’ caucus at the UNFCCC, developed a formal response on this matter. The collective statement representing Indigenous Peoples from all seven regions was presented to the Chair of the UNFCCC SBSTA</w:t>
      </w:r>
      <w:r w:rsidR="008C5A9D" w:rsidRPr="00201D09">
        <w:t>,</w:t>
      </w:r>
      <w:r w:rsidRPr="00201D09">
        <w:t xml:space="preserve"> Tosi </w:t>
      </w:r>
      <w:proofErr w:type="spellStart"/>
      <w:r w:rsidRPr="00201D09">
        <w:t>Mpanu-Mpanu</w:t>
      </w:r>
      <w:proofErr w:type="spellEnd"/>
      <w:r w:rsidR="008C5A9D" w:rsidRPr="00201D09">
        <w:t>,</w:t>
      </w:r>
      <w:r w:rsidRPr="00201D09">
        <w:t xml:space="preserve"> on May 26, 2020. It called the attempt to conflate Indigenous Peoples and Local Communities as a “false equivalency” and stated</w:t>
      </w:r>
      <w:r w:rsidR="008C5A9D" w:rsidRPr="00201D09">
        <w:t>:</w:t>
      </w:r>
      <w:r w:rsidRPr="00201D09">
        <w:t xml:space="preserve"> </w:t>
      </w:r>
    </w:p>
    <w:p w14:paraId="35B488DA" w14:textId="77777777" w:rsidR="00DC2A08" w:rsidRPr="00201D09" w:rsidRDefault="00DC2A08" w:rsidP="00446F2A"/>
    <w:p w14:paraId="406A88F0" w14:textId="5CC2BC09" w:rsidR="007662F3" w:rsidRPr="00201D09" w:rsidRDefault="00280DAD" w:rsidP="00DC2A08">
      <w:pPr>
        <w:ind w:left="1440" w:right="1440"/>
        <w:jc w:val="both"/>
      </w:pPr>
      <w:r w:rsidRPr="00201D09">
        <w:t>“</w:t>
      </w:r>
      <w:r w:rsidR="008C5A9D" w:rsidRPr="00201D09">
        <w:t>T</w:t>
      </w:r>
      <w:r w:rsidRPr="00201D09">
        <w:t xml:space="preserve">o be clear, we support the participation of local communities in the LCIPP </w:t>
      </w:r>
      <w:proofErr w:type="gramStart"/>
      <w:r w:rsidRPr="00201D09">
        <w:t>on the basis of</w:t>
      </w:r>
      <w:proofErr w:type="gramEnd"/>
      <w:r w:rsidRPr="00201D09">
        <w:t xml:space="preserve"> their </w:t>
      </w:r>
      <w:r w:rsidR="008C5A9D" w:rsidRPr="00201D09">
        <w:t>‘</w:t>
      </w:r>
      <w:r w:rsidRPr="00201D09">
        <w:t>self-representation and self-mobilization</w:t>
      </w:r>
      <w:r w:rsidR="008C5A9D" w:rsidRPr="00201D09">
        <w:t>.’</w:t>
      </w:r>
      <w:r w:rsidRPr="00201D09">
        <w:t xml:space="preserve"> However, we do not support the slow and incremental erosion of the interrelated, </w:t>
      </w:r>
      <w:proofErr w:type="gramStart"/>
      <w:r w:rsidRPr="00201D09">
        <w:t>interdependent</w:t>
      </w:r>
      <w:proofErr w:type="gramEnd"/>
      <w:r w:rsidRPr="00201D09">
        <w:t xml:space="preserve"> and indivisible rights of Indigenous Peoples affirmed in the comprehensive international human rights instrument entitled </w:t>
      </w:r>
      <w:r w:rsidRPr="00201D09">
        <w:rPr>
          <w:i/>
          <w:iCs/>
        </w:rPr>
        <w:t>United Nations Declaration on the Rights of Indigenous Peoples</w:t>
      </w:r>
      <w:r w:rsidRPr="00201D09">
        <w:t>.”</w:t>
      </w:r>
    </w:p>
    <w:p w14:paraId="219249DA" w14:textId="0427F12A" w:rsidR="008C5A9D" w:rsidRPr="00201D09" w:rsidRDefault="008C5A9D" w:rsidP="00446F2A"/>
    <w:p w14:paraId="0B5B77E2" w14:textId="0DD5DDCF" w:rsidR="008C5A9D" w:rsidRPr="00201D09" w:rsidRDefault="008C5A9D" w:rsidP="00446F2A">
      <w:r w:rsidRPr="00201D09">
        <w:t>This matter is currently under intense discussion in the International Indigenous Peoples Forum on Biodiversity, which was organized to work at the U</w:t>
      </w:r>
      <w:r w:rsidR="002B7AB2" w:rsidRPr="00201D09">
        <w:t>.</w:t>
      </w:r>
      <w:r w:rsidRPr="00201D09">
        <w:t>N</w:t>
      </w:r>
      <w:r w:rsidR="002B7AB2" w:rsidRPr="00201D09">
        <w:t>.</w:t>
      </w:r>
      <w:r w:rsidRPr="00201D09">
        <w:t xml:space="preserve"> Convention on Biological Diversity before the UN Declaration was adopted. The IITC continues to affirm the right and responsibility of local communities to define and organize themselves through then own distinct forms of participation at the CBD and in other U</w:t>
      </w:r>
      <w:r w:rsidR="002B7AB2" w:rsidRPr="00201D09">
        <w:t>.</w:t>
      </w:r>
      <w:r w:rsidRPr="00201D09">
        <w:t>N</w:t>
      </w:r>
      <w:r w:rsidR="002B7AB2" w:rsidRPr="00201D09">
        <w:t>.</w:t>
      </w:r>
      <w:r w:rsidRPr="00201D09">
        <w:t xml:space="preserve"> Environmental and Chemical Convention bodies, but distinct from the processes developed over decades for the participation of Indigenous Peoples</w:t>
      </w:r>
      <w:r w:rsidRPr="00201D09">
        <w:t xml:space="preserve">. </w:t>
      </w:r>
    </w:p>
    <w:p w14:paraId="60AB0605" w14:textId="1C12D405" w:rsidR="002B7AB2" w:rsidRPr="00201D09" w:rsidRDefault="002B7AB2" w:rsidP="00446F2A"/>
    <w:p w14:paraId="195C945E" w14:textId="3CFDB660" w:rsidR="002B7AB2" w:rsidRPr="00201D09" w:rsidRDefault="002B7AB2" w:rsidP="00446F2A">
      <w:r w:rsidRPr="00201D09">
        <w:lastRenderedPageBreak/>
        <w:t>This issue is not just a theoretical concern.</w:t>
      </w:r>
      <w:r w:rsidRPr="00201D09">
        <w:t xml:space="preserve"> </w:t>
      </w:r>
      <w:r w:rsidRPr="00201D09">
        <w:t xml:space="preserve">It has far-reaching implications and impacts for Indigenous Peoples in other international processes addressing environmental toxics where we are struggling to have our rights and concerns </w:t>
      </w:r>
      <w:r w:rsidRPr="00201D09">
        <w:t>considered</w:t>
      </w:r>
      <w:r w:rsidRPr="00201D09">
        <w:t>. Last month</w:t>
      </w:r>
      <w:r w:rsidRPr="00201D09">
        <w:t>,</w:t>
      </w:r>
      <w:r w:rsidRPr="00201D09">
        <w:t xml:space="preserve"> at the </w:t>
      </w:r>
      <w:r w:rsidRPr="00201D09">
        <w:t>4</w:t>
      </w:r>
      <w:r w:rsidRPr="00201D09">
        <w:rPr>
          <w:vertAlign w:val="superscript"/>
        </w:rPr>
        <w:t>th</w:t>
      </w:r>
      <w:r w:rsidRPr="00201D09">
        <w:t xml:space="preserve"> </w:t>
      </w:r>
      <w:r w:rsidRPr="00201D09">
        <w:t>Minamata Convention on Mercury</w:t>
      </w:r>
      <w:r w:rsidRPr="00201D09">
        <w:t xml:space="preserve"> </w:t>
      </w:r>
      <w:r w:rsidRPr="00201D09">
        <w:t>Conference of the Parties held in Bali from March 21 – 25, 2022</w:t>
      </w:r>
      <w:r w:rsidRPr="00201D09">
        <w:t>,</w:t>
      </w:r>
      <w:r w:rsidRPr="00201D09">
        <w:t xml:space="preserve"> a large South America country attempted to subvert the rights to land and FPIC of Indigenous</w:t>
      </w:r>
      <w:r w:rsidRPr="00201D09">
        <w:t xml:space="preserve"> </w:t>
      </w:r>
      <w:r w:rsidRPr="00201D09">
        <w:t>Peoples in that country by designating gold miners planning to encroach on Indigenous Peoples</w:t>
      </w:r>
      <w:r w:rsidRPr="00201D09">
        <w:t>’</w:t>
      </w:r>
      <w:r w:rsidRPr="00201D09">
        <w:t xml:space="preserve"> territories as “local communities” with comparable rights to carry out mining on the ancestral and traditional territories of the Indigenous Peoples of that country.</w:t>
      </w:r>
    </w:p>
    <w:p w14:paraId="60069364" w14:textId="557F31BB" w:rsidR="00C02CD1" w:rsidRPr="00201D09" w:rsidRDefault="00C02CD1" w:rsidP="00C02CD1">
      <w:r w:rsidRPr="00201D09">
        <w:t>In response to the concerns expressed on this matter by Indigenous Peoples attending that COP, U</w:t>
      </w:r>
      <w:r w:rsidRPr="00201D09">
        <w:t>.</w:t>
      </w:r>
      <w:r w:rsidRPr="00201D09">
        <w:t>N</w:t>
      </w:r>
      <w:r w:rsidRPr="00201D09">
        <w:t>.</w:t>
      </w:r>
      <w:r w:rsidRPr="00201D09">
        <w:t xml:space="preserve"> Special Rapporteur on the Rights of Indigenous Peoples</w:t>
      </w:r>
      <w:r w:rsidRPr="00201D09">
        <w:t>,</w:t>
      </w:r>
      <w:r w:rsidRPr="00201D09">
        <w:t xml:space="preserve"> Jose Francisco Cali </w:t>
      </w:r>
      <w:proofErr w:type="spellStart"/>
      <w:r w:rsidRPr="00201D09">
        <w:t>Tzay</w:t>
      </w:r>
      <w:proofErr w:type="spellEnd"/>
      <w:r w:rsidRPr="00201D09">
        <w:t>,</w:t>
      </w:r>
      <w:r w:rsidRPr="00201D09">
        <w:t xml:space="preserve"> made the following statement on March 24, 2022, which was quoted in our final intervention to that body:  </w:t>
      </w:r>
    </w:p>
    <w:p w14:paraId="6C4A5C96" w14:textId="0BA3B5B1" w:rsidR="002B7AB2" w:rsidRPr="00201D09" w:rsidRDefault="002B7AB2" w:rsidP="00446F2A"/>
    <w:p w14:paraId="7ADA8D81" w14:textId="2F1F0F61" w:rsidR="00C02CD1" w:rsidRPr="00201D09" w:rsidRDefault="00C02CD1" w:rsidP="00C02CD1">
      <w:pPr>
        <w:ind w:left="1440" w:right="1440"/>
        <w:jc w:val="both"/>
      </w:pPr>
      <w:r w:rsidRPr="00201D09">
        <w:t xml:space="preserve">Indigenous Peoples have been a distinct constituency at the United Nations since 1977.  They were recognized as a one of the stand-alone Major Groups with their own voice and representation in UN bodies addressing environment and sustainable development at the UN Earth Summit in 1992.  With the adoption of the UN Declaration on the Rights of Indigenous Peoples by the UN General Assembly in 2007, their inherent rights were affirmed as the international minimum standard.  </w:t>
      </w:r>
      <w:proofErr w:type="gramStart"/>
      <w:r w:rsidRPr="00201D09">
        <w:t>Therefor</w:t>
      </w:r>
      <w:r w:rsidRPr="00201D09">
        <w:t>e</w:t>
      </w:r>
      <w:proofErr w:type="gramEnd"/>
      <w:r w:rsidRPr="00201D09">
        <w:t xml:space="preserve"> we cannot accept any attempts to diminish the outcomes of this historic trajectory or undermine their status and standing by combining them or equating with non-Indigenous entities such as minorities, vulnerable groups or local communities.  Such attempts, whether by States or UN bodies themselves, is not acceptable and will be challenged by Indigenous Peoples and those mandated to defend their rights.     </w:t>
      </w:r>
    </w:p>
    <w:p w14:paraId="2DB37BBF" w14:textId="58F9BD14" w:rsidR="00256A83" w:rsidRPr="00201D09" w:rsidRDefault="00256A83" w:rsidP="00256A83">
      <w:pPr>
        <w:widowControl w:val="0"/>
        <w:pBdr>
          <w:top w:val="nil"/>
          <w:left w:val="nil"/>
          <w:bottom w:val="nil"/>
          <w:right w:val="nil"/>
          <w:between w:val="nil"/>
        </w:pBdr>
        <w:spacing w:before="282" w:line="229" w:lineRule="auto"/>
        <w:rPr>
          <w:rFonts w:eastAsia="Times New Roman" w:cs="Times New Roman"/>
          <w:color w:val="000000"/>
        </w:rPr>
      </w:pPr>
      <w:r w:rsidRPr="00201D09">
        <w:t xml:space="preserve">Moreover, </w:t>
      </w:r>
      <w:r w:rsidRPr="00201D09">
        <w:rPr>
          <w:rFonts w:eastAsia="Times New Roman" w:cs="Times New Roman"/>
          <w:color w:val="000000"/>
        </w:rPr>
        <w:t>Indigenous Peoples in the United States, Canada, and Alaska face continued access to water crises. Despite residing in these so-called “developed” countries, many Indigenous Peoples in these countries, especially those in remote and/or rural areas, do not have access to clean</w:t>
      </w:r>
      <w:r w:rsidRPr="00201D09">
        <w:rPr>
          <w:rFonts w:eastAsia="Times New Roman" w:cs="Times New Roman"/>
          <w:color w:val="000000"/>
        </w:rPr>
        <w:t>,</w:t>
      </w:r>
      <w:r w:rsidRPr="00201D09">
        <w:rPr>
          <w:rFonts w:eastAsia="Times New Roman" w:cs="Times New Roman"/>
          <w:color w:val="000000"/>
        </w:rPr>
        <w:t xml:space="preserve"> running</w:t>
      </w:r>
      <w:r w:rsidRPr="00201D09">
        <w:rPr>
          <w:rFonts w:eastAsia="Times New Roman" w:cs="Times New Roman"/>
          <w:color w:val="000000"/>
        </w:rPr>
        <w:t>, or potable</w:t>
      </w:r>
      <w:r w:rsidRPr="00201D09">
        <w:rPr>
          <w:rFonts w:eastAsia="Times New Roman" w:cs="Times New Roman"/>
          <w:color w:val="000000"/>
        </w:rPr>
        <w:t xml:space="preserve"> water</w:t>
      </w:r>
      <w:r w:rsidRPr="00201D09">
        <w:rPr>
          <w:rFonts w:eastAsia="Times New Roman" w:cs="Times New Roman"/>
          <w:color w:val="000000"/>
        </w:rPr>
        <w:t>.</w:t>
      </w:r>
      <w:r w:rsidRPr="00201D09">
        <w:rPr>
          <w:rFonts w:eastAsia="Times New Roman" w:cs="Times New Roman"/>
          <w:color w:val="000000"/>
        </w:rPr>
        <w:t xml:space="preserve"> If there is running water, there are “water boil advisories” that have lasted decades and even when followed do not make the water safe to drink.  </w:t>
      </w:r>
    </w:p>
    <w:p w14:paraId="1957620B" w14:textId="698B5B18" w:rsidR="00757FC7" w:rsidRPr="00B2206A" w:rsidRDefault="00757FC7" w:rsidP="00256A83">
      <w:pPr>
        <w:widowControl w:val="0"/>
        <w:pBdr>
          <w:top w:val="nil"/>
          <w:left w:val="nil"/>
          <w:bottom w:val="nil"/>
          <w:right w:val="nil"/>
          <w:between w:val="nil"/>
        </w:pBdr>
        <w:spacing w:before="282" w:line="229" w:lineRule="auto"/>
        <w:rPr>
          <w:rFonts w:eastAsia="Times New Roman" w:cs="Times New Roman"/>
          <w:b/>
          <w:bCs/>
          <w:color w:val="000000"/>
          <w:u w:val="single"/>
        </w:rPr>
      </w:pPr>
      <w:proofErr w:type="spellStart"/>
      <w:r w:rsidRPr="00B2206A">
        <w:rPr>
          <w:rFonts w:eastAsia="Times New Roman" w:cs="Times New Roman"/>
          <w:b/>
          <w:bCs/>
          <w:color w:val="000000"/>
          <w:u w:val="single"/>
        </w:rPr>
        <w:t>Oceti</w:t>
      </w:r>
      <w:proofErr w:type="spellEnd"/>
      <w:r w:rsidRPr="00B2206A">
        <w:rPr>
          <w:rFonts w:eastAsia="Times New Roman" w:cs="Times New Roman"/>
          <w:b/>
          <w:bCs/>
          <w:color w:val="000000"/>
          <w:u w:val="single"/>
        </w:rPr>
        <w:t xml:space="preserve"> Sakowin</w:t>
      </w:r>
    </w:p>
    <w:p w14:paraId="3E0700B9" w14:textId="0A5DF528" w:rsidR="00256A83" w:rsidRPr="00201D09" w:rsidRDefault="00256A83" w:rsidP="00446F2A"/>
    <w:p w14:paraId="5192C284" w14:textId="37490F68" w:rsidR="00DC2A08" w:rsidRPr="00201D09" w:rsidRDefault="00DC2A08" w:rsidP="00446F2A">
      <w:pPr>
        <w:rPr>
          <w:rFonts w:eastAsia="Times New Roman" w:cs="Times New Roman"/>
          <w:color w:val="000000"/>
        </w:rPr>
      </w:pPr>
      <w:r w:rsidRPr="00201D09">
        <w:rPr>
          <w:rFonts w:eastAsia="Times New Roman" w:cs="Times New Roman"/>
          <w:color w:val="000000"/>
        </w:rPr>
        <w:lastRenderedPageBreak/>
        <w:t xml:space="preserve">Indigenous Peoples in these countries are also directly impacted by water pollution </w:t>
      </w:r>
      <w:r w:rsidRPr="00201D09">
        <w:rPr>
          <w:rFonts w:eastAsia="Times New Roman" w:cs="Times New Roman"/>
          <w:color w:val="000000"/>
        </w:rPr>
        <w:t>and contamination</w:t>
      </w:r>
      <w:r w:rsidRPr="00201D09">
        <w:rPr>
          <w:rFonts w:eastAsia="Times New Roman" w:cs="Times New Roman"/>
          <w:color w:val="000000"/>
        </w:rPr>
        <w:t xml:space="preserve"> caused by past, current and ongoing imposed development on and near their </w:t>
      </w:r>
      <w:r w:rsidRPr="00201D09">
        <w:rPr>
          <w:rFonts w:eastAsia="Times New Roman" w:cs="Times New Roman"/>
          <w:color w:val="000000"/>
        </w:rPr>
        <w:t>lands and</w:t>
      </w:r>
      <w:r w:rsidRPr="00201D09">
        <w:rPr>
          <w:rFonts w:eastAsia="Times New Roman" w:cs="Times New Roman"/>
          <w:color w:val="000000"/>
        </w:rPr>
        <w:t xml:space="preserve"> water sources, such as rivers and ground water tables, without the use of free, </w:t>
      </w:r>
      <w:proofErr w:type="gramStart"/>
      <w:r w:rsidRPr="00201D09">
        <w:rPr>
          <w:rFonts w:eastAsia="Times New Roman" w:cs="Times New Roman"/>
          <w:color w:val="000000"/>
        </w:rPr>
        <w:t>prior</w:t>
      </w:r>
      <w:proofErr w:type="gramEnd"/>
      <w:r w:rsidRPr="00201D09">
        <w:rPr>
          <w:rFonts w:eastAsia="Times New Roman" w:cs="Times New Roman"/>
          <w:color w:val="000000"/>
        </w:rPr>
        <w:t xml:space="preserve"> </w:t>
      </w:r>
      <w:r w:rsidRPr="00201D09">
        <w:rPr>
          <w:rFonts w:eastAsia="Times New Roman" w:cs="Times New Roman"/>
          <w:color w:val="000000"/>
        </w:rPr>
        <w:t>and informed</w:t>
      </w:r>
      <w:r w:rsidRPr="00201D09">
        <w:rPr>
          <w:rFonts w:eastAsia="Times New Roman" w:cs="Times New Roman"/>
          <w:color w:val="000000"/>
        </w:rPr>
        <w:t xml:space="preserve"> consent.</w:t>
      </w:r>
    </w:p>
    <w:p w14:paraId="6747B1A6" w14:textId="44770FD6" w:rsidR="00DC2A08" w:rsidRPr="00201D09" w:rsidRDefault="00DC2A08" w:rsidP="00446F2A">
      <w:pPr>
        <w:rPr>
          <w:rFonts w:eastAsia="Times New Roman" w:cs="Times New Roman"/>
          <w:color w:val="000000"/>
        </w:rPr>
      </w:pPr>
    </w:p>
    <w:p w14:paraId="47FA4329" w14:textId="16B7FC03" w:rsidR="00147FFB" w:rsidRPr="00201D09" w:rsidRDefault="00DC2A08" w:rsidP="00446F2A">
      <w:pPr>
        <w:rPr>
          <w:rFonts w:eastAsia="Times New Roman" w:cs="Times New Roman"/>
          <w:color w:val="000000"/>
        </w:rPr>
      </w:pPr>
      <w:r w:rsidRPr="00201D09">
        <w:t xml:space="preserve">For example, </w:t>
      </w:r>
      <w:r w:rsidRPr="00201D09">
        <w:rPr>
          <w:rFonts w:eastAsia="Times New Roman" w:cs="Times New Roman"/>
          <w:color w:val="000000"/>
        </w:rPr>
        <w:t>t</w:t>
      </w:r>
      <w:r w:rsidRPr="00201D09">
        <w:rPr>
          <w:rFonts w:eastAsia="Times New Roman" w:cs="Times New Roman"/>
          <w:color w:val="000000"/>
        </w:rPr>
        <w:t xml:space="preserve">he Oglala Lakota (with a population of approximately 30,000) reside on the Pine Ridge </w:t>
      </w:r>
      <w:r w:rsidRPr="00201D09">
        <w:rPr>
          <w:rFonts w:eastAsia="Times New Roman" w:cs="Times New Roman"/>
          <w:color w:val="000000"/>
        </w:rPr>
        <w:t>Indian Reservation</w:t>
      </w:r>
      <w:r w:rsidRPr="00201D09">
        <w:rPr>
          <w:rFonts w:eastAsia="Times New Roman" w:cs="Times New Roman"/>
          <w:color w:val="000000"/>
        </w:rPr>
        <w:t xml:space="preserve"> </w:t>
      </w:r>
      <w:r w:rsidR="00147FFB" w:rsidRPr="00201D09">
        <w:rPr>
          <w:rFonts w:eastAsia="Times New Roman" w:cs="Times New Roman"/>
          <w:color w:val="000000"/>
        </w:rPr>
        <w:t>in South Dakota, United States and</w:t>
      </w:r>
      <w:r w:rsidRPr="00201D09">
        <w:rPr>
          <w:rFonts w:eastAsia="Times New Roman" w:cs="Times New Roman"/>
          <w:color w:val="000000"/>
        </w:rPr>
        <w:t xml:space="preserve"> is recorded to be the poorest county in the United States. Approximately 80</w:t>
      </w:r>
      <w:r w:rsidRPr="00201D09">
        <w:rPr>
          <w:rFonts w:eastAsia="Times New Roman" w:cs="Times New Roman"/>
          <w:color w:val="000000"/>
        </w:rPr>
        <w:t>% of</w:t>
      </w:r>
      <w:r w:rsidRPr="00201D09">
        <w:rPr>
          <w:rFonts w:eastAsia="Times New Roman" w:cs="Times New Roman"/>
          <w:color w:val="000000"/>
        </w:rPr>
        <w:t xml:space="preserve"> tribal citizens are unemployed and average $8,678 per capita income. There is an </w:t>
      </w:r>
      <w:r w:rsidRPr="00201D09">
        <w:rPr>
          <w:rFonts w:eastAsia="Times New Roman" w:cs="Times New Roman"/>
          <w:color w:val="000000"/>
        </w:rPr>
        <w:t>extreme shortage</w:t>
      </w:r>
      <w:r w:rsidRPr="00201D09">
        <w:rPr>
          <w:rFonts w:eastAsia="Times New Roman" w:cs="Times New Roman"/>
          <w:color w:val="000000"/>
        </w:rPr>
        <w:t xml:space="preserve"> of housing on the Reservation where more than additional 2,500 houses are needed </w:t>
      </w:r>
      <w:r w:rsidRPr="00201D09">
        <w:rPr>
          <w:rFonts w:eastAsia="Times New Roman" w:cs="Times New Roman"/>
          <w:color w:val="000000"/>
        </w:rPr>
        <w:t>to address</w:t>
      </w:r>
      <w:r w:rsidRPr="00201D09">
        <w:rPr>
          <w:rFonts w:eastAsia="Times New Roman" w:cs="Times New Roman"/>
          <w:color w:val="000000"/>
        </w:rPr>
        <w:t xml:space="preserve"> such a crisis. There are as many as 18 family members living in single trailers </w:t>
      </w:r>
      <w:r w:rsidRPr="00201D09">
        <w:rPr>
          <w:rFonts w:eastAsia="Times New Roman" w:cs="Times New Roman"/>
          <w:color w:val="000000"/>
        </w:rPr>
        <w:t>between 600</w:t>
      </w:r>
      <w:r w:rsidRPr="00201D09">
        <w:rPr>
          <w:rFonts w:eastAsia="Times New Roman" w:cs="Times New Roman"/>
          <w:color w:val="000000"/>
        </w:rPr>
        <w:t xml:space="preserve"> and 1,300 sq. feet.  </w:t>
      </w:r>
    </w:p>
    <w:p w14:paraId="13411359" w14:textId="4ABD2EFC" w:rsidR="002409A3" w:rsidRPr="00201D09" w:rsidRDefault="00147FFB" w:rsidP="002409A3">
      <w:pPr>
        <w:widowControl w:val="0"/>
        <w:pBdr>
          <w:top w:val="nil"/>
          <w:left w:val="nil"/>
          <w:bottom w:val="nil"/>
          <w:right w:val="nil"/>
          <w:between w:val="nil"/>
        </w:pBdr>
        <w:spacing w:before="282" w:line="229" w:lineRule="auto"/>
        <w:ind w:firstLine="5"/>
        <w:rPr>
          <w:rFonts w:eastAsia="Times New Roman" w:cs="Times New Roman"/>
          <w:color w:val="000000"/>
        </w:rPr>
      </w:pPr>
      <w:r w:rsidRPr="00201D09">
        <w:rPr>
          <w:rFonts w:eastAsia="Times New Roman" w:cs="Times New Roman"/>
          <w:color w:val="000000"/>
        </w:rPr>
        <w:t xml:space="preserve">The Lakota have the lowest life expectancy of any group in the United States. In a 2017 </w:t>
      </w:r>
      <w:r w:rsidRPr="00201D09">
        <w:rPr>
          <w:rFonts w:eastAsia="Times New Roman" w:cs="Times New Roman"/>
          <w:color w:val="000000"/>
        </w:rPr>
        <w:t>study, the</w:t>
      </w:r>
      <w:r w:rsidRPr="00201D09">
        <w:rPr>
          <w:rFonts w:eastAsia="Times New Roman" w:cs="Times New Roman"/>
          <w:color w:val="000000"/>
        </w:rPr>
        <w:t xml:space="preserve"> average life expectancy for a Lakota person was recorded to be 46 years, 33 years less </w:t>
      </w:r>
      <w:r w:rsidRPr="00201D09">
        <w:rPr>
          <w:rFonts w:eastAsia="Times New Roman" w:cs="Times New Roman"/>
          <w:color w:val="000000"/>
        </w:rPr>
        <w:t>than the</w:t>
      </w:r>
      <w:r w:rsidRPr="00201D09">
        <w:rPr>
          <w:rFonts w:eastAsia="Times New Roman" w:cs="Times New Roman"/>
          <w:color w:val="000000"/>
        </w:rPr>
        <w:t xml:space="preserve"> average American. By comparison, in Haiti, considered to be the poorest country in </w:t>
      </w:r>
      <w:r w:rsidRPr="00201D09">
        <w:rPr>
          <w:rFonts w:eastAsia="Times New Roman" w:cs="Times New Roman"/>
          <w:color w:val="000000"/>
        </w:rPr>
        <w:t>the hemisphere</w:t>
      </w:r>
      <w:r w:rsidRPr="00201D09">
        <w:rPr>
          <w:rFonts w:eastAsia="Times New Roman" w:cs="Times New Roman"/>
          <w:color w:val="000000"/>
        </w:rPr>
        <w:t xml:space="preserve">, the average life expectancy is 47 years old. This is also lower than for Sudan, </w:t>
      </w:r>
      <w:r w:rsidR="0018215E" w:rsidRPr="00201D09">
        <w:rPr>
          <w:rFonts w:eastAsia="Times New Roman" w:cs="Times New Roman"/>
          <w:color w:val="000000"/>
        </w:rPr>
        <w:t>India,</w:t>
      </w:r>
      <w:r w:rsidRPr="00201D09">
        <w:rPr>
          <w:rFonts w:eastAsia="Times New Roman" w:cs="Times New Roman"/>
          <w:color w:val="000000"/>
        </w:rPr>
        <w:t xml:space="preserve"> and </w:t>
      </w:r>
      <w:proofErr w:type="gramStart"/>
      <w:r w:rsidRPr="00201D09">
        <w:rPr>
          <w:rFonts w:eastAsia="Times New Roman" w:cs="Times New Roman"/>
          <w:color w:val="000000"/>
        </w:rPr>
        <w:t>a number of</w:t>
      </w:r>
      <w:proofErr w:type="gramEnd"/>
      <w:r w:rsidRPr="00201D09">
        <w:rPr>
          <w:rFonts w:eastAsia="Times New Roman" w:cs="Times New Roman"/>
          <w:color w:val="000000"/>
        </w:rPr>
        <w:t xml:space="preserve"> other “developing” counties.  </w:t>
      </w:r>
    </w:p>
    <w:p w14:paraId="57023288" w14:textId="28ED4ED7" w:rsidR="002409A3" w:rsidRPr="00201D09" w:rsidRDefault="002409A3" w:rsidP="002409A3">
      <w:pPr>
        <w:widowControl w:val="0"/>
        <w:pBdr>
          <w:top w:val="nil"/>
          <w:left w:val="nil"/>
          <w:bottom w:val="nil"/>
          <w:right w:val="nil"/>
          <w:between w:val="nil"/>
        </w:pBdr>
        <w:spacing w:before="282" w:line="229" w:lineRule="auto"/>
        <w:ind w:firstLine="5"/>
        <w:rPr>
          <w:rFonts w:eastAsia="Times New Roman" w:cs="Times New Roman"/>
          <w:color w:val="000000"/>
        </w:rPr>
      </w:pPr>
      <w:r w:rsidRPr="00201D09">
        <w:rPr>
          <w:rFonts w:eastAsia="Times New Roman" w:cs="Times New Roman"/>
          <w:color w:val="000000"/>
        </w:rPr>
        <w:t xml:space="preserve">The Reservation is extremely rural and lacks access to adequate healthcare, experiences </w:t>
      </w:r>
      <w:r w:rsidRPr="00201D09">
        <w:rPr>
          <w:rFonts w:eastAsia="Times New Roman" w:cs="Times New Roman"/>
          <w:color w:val="000000"/>
        </w:rPr>
        <w:t>severe food</w:t>
      </w:r>
      <w:r w:rsidRPr="00201D09">
        <w:rPr>
          <w:rFonts w:eastAsia="Times New Roman" w:cs="Times New Roman"/>
          <w:color w:val="000000"/>
        </w:rPr>
        <w:t xml:space="preserve"> deserts and lacks access to clean potable running water. Pine Ridge currently experiences the highest rates of alcoholism, diabetes, and heart disease. According to a study published </w:t>
      </w:r>
      <w:r w:rsidRPr="00201D09">
        <w:rPr>
          <w:rFonts w:eastAsia="Times New Roman" w:cs="Times New Roman"/>
          <w:color w:val="000000"/>
        </w:rPr>
        <w:t>in 2017</w:t>
      </w:r>
      <w:r w:rsidRPr="00201D09">
        <w:rPr>
          <w:rFonts w:eastAsia="Times New Roman" w:cs="Times New Roman"/>
          <w:color w:val="000000"/>
        </w:rPr>
        <w:t xml:space="preserve"> by the Red Cross using Indian Health Service data “Lakota Indians die at higher rates </w:t>
      </w:r>
      <w:r w:rsidRPr="00201D09">
        <w:rPr>
          <w:rFonts w:eastAsia="Times New Roman" w:cs="Times New Roman"/>
          <w:color w:val="000000"/>
        </w:rPr>
        <w:t>than other</w:t>
      </w:r>
      <w:r w:rsidRPr="00201D09">
        <w:rPr>
          <w:rFonts w:eastAsia="Times New Roman" w:cs="Times New Roman"/>
          <w:color w:val="000000"/>
        </w:rPr>
        <w:t xml:space="preserve"> Americans from alcoholism (552% higher), diabetes (800% higher) all American </w:t>
      </w:r>
      <w:r w:rsidRPr="00201D09">
        <w:rPr>
          <w:rFonts w:eastAsia="Times New Roman" w:cs="Times New Roman"/>
          <w:color w:val="000000"/>
        </w:rPr>
        <w:t>Indians (</w:t>
      </w:r>
      <w:r w:rsidRPr="00201D09">
        <w:rPr>
          <w:rFonts w:eastAsia="Times New Roman" w:cs="Times New Roman"/>
          <w:color w:val="000000"/>
        </w:rPr>
        <w:t xml:space="preserve">182% higher), infant mortality (300% higher), unintentional injuries (138% higher), </w:t>
      </w:r>
      <w:r w:rsidR="0018215E" w:rsidRPr="00201D09">
        <w:rPr>
          <w:rFonts w:eastAsia="Times New Roman" w:cs="Times New Roman"/>
          <w:color w:val="000000"/>
        </w:rPr>
        <w:t>homicide (</w:t>
      </w:r>
      <w:r w:rsidRPr="00201D09">
        <w:rPr>
          <w:rFonts w:eastAsia="Times New Roman" w:cs="Times New Roman"/>
          <w:color w:val="000000"/>
        </w:rPr>
        <w:t>83% higher), suicide (74% higher) teenage suicide rate is (150% higher), cervical cancer (500</w:t>
      </w:r>
      <w:r w:rsidR="005539C4" w:rsidRPr="00201D09">
        <w:rPr>
          <w:rFonts w:eastAsia="Times New Roman" w:cs="Times New Roman"/>
          <w:color w:val="000000"/>
        </w:rPr>
        <w:t>% higher</w:t>
      </w:r>
      <w:r w:rsidRPr="00201D09">
        <w:rPr>
          <w:rFonts w:eastAsia="Times New Roman" w:cs="Times New Roman"/>
          <w:color w:val="000000"/>
        </w:rPr>
        <w:t xml:space="preserve">), and tuberculosis (800% higher).” </w:t>
      </w:r>
    </w:p>
    <w:p w14:paraId="5ACB9FA1" w14:textId="2AE9494A" w:rsidR="002409A3" w:rsidRPr="00201D09" w:rsidRDefault="002409A3" w:rsidP="002409A3">
      <w:pPr>
        <w:widowControl w:val="0"/>
        <w:pBdr>
          <w:top w:val="nil"/>
          <w:left w:val="nil"/>
          <w:bottom w:val="nil"/>
          <w:right w:val="nil"/>
          <w:between w:val="nil"/>
        </w:pBdr>
        <w:spacing w:before="282" w:line="229" w:lineRule="auto"/>
        <w:rPr>
          <w:rFonts w:eastAsia="Times New Roman" w:cs="Times New Roman"/>
          <w:color w:val="000000"/>
        </w:rPr>
      </w:pPr>
      <w:r w:rsidRPr="00201D09">
        <w:rPr>
          <w:rFonts w:eastAsia="Times New Roman" w:cs="Times New Roman"/>
          <w:color w:val="000000"/>
        </w:rPr>
        <w:t xml:space="preserve">Approximately 33% of Tribal members live without running water or electricity. Water use </w:t>
      </w:r>
      <w:r w:rsidRPr="00201D09">
        <w:rPr>
          <w:rFonts w:eastAsia="Times New Roman" w:cs="Times New Roman"/>
          <w:color w:val="000000"/>
        </w:rPr>
        <w:t>on the</w:t>
      </w:r>
      <w:r w:rsidRPr="00201D09">
        <w:rPr>
          <w:rFonts w:eastAsia="Times New Roman" w:cs="Times New Roman"/>
          <w:color w:val="000000"/>
        </w:rPr>
        <w:t xml:space="preserve"> Reservation is highly contaminated. In public drinking water supplies on the Pine </w:t>
      </w:r>
      <w:r w:rsidRPr="00201D09">
        <w:rPr>
          <w:rFonts w:eastAsia="Times New Roman" w:cs="Times New Roman"/>
          <w:color w:val="000000"/>
        </w:rPr>
        <w:t>Ridge Indian</w:t>
      </w:r>
      <w:r w:rsidRPr="00201D09">
        <w:rPr>
          <w:rFonts w:eastAsia="Times New Roman" w:cs="Times New Roman"/>
          <w:color w:val="000000"/>
        </w:rPr>
        <w:t xml:space="preserve"> Reservation, mercury is recorded to be 8 times above accepted EPA limit. </w:t>
      </w:r>
      <w:r w:rsidR="0018215E" w:rsidRPr="00201D09">
        <w:rPr>
          <w:rFonts w:eastAsia="Times New Roman" w:cs="Times New Roman"/>
          <w:color w:val="000000"/>
        </w:rPr>
        <w:t>Most of</w:t>
      </w:r>
      <w:r w:rsidRPr="00201D09">
        <w:rPr>
          <w:rFonts w:eastAsia="Times New Roman" w:cs="Times New Roman"/>
          <w:color w:val="000000"/>
        </w:rPr>
        <w:t xml:space="preserve"> the</w:t>
      </w:r>
      <w:r w:rsidRPr="00201D09">
        <w:rPr>
          <w:rFonts w:eastAsia="Times New Roman" w:cs="Times New Roman"/>
          <w:color w:val="000000"/>
        </w:rPr>
        <w:t xml:space="preserve"> surface waters analyzed and described in a 2020 study provided by Dr. </w:t>
      </w:r>
      <w:proofErr w:type="spellStart"/>
      <w:r w:rsidRPr="00201D09">
        <w:rPr>
          <w:rFonts w:eastAsia="Times New Roman" w:cs="Times New Roman"/>
          <w:color w:val="000000"/>
        </w:rPr>
        <w:t>LaGarry</w:t>
      </w:r>
      <w:proofErr w:type="spellEnd"/>
      <w:r w:rsidRPr="00201D09">
        <w:rPr>
          <w:rFonts w:eastAsia="Times New Roman" w:cs="Times New Roman"/>
          <w:color w:val="000000"/>
        </w:rPr>
        <w:t xml:space="preserve"> claims, “</w:t>
      </w:r>
      <w:proofErr w:type="spellStart"/>
      <w:r w:rsidRPr="00201D09">
        <w:rPr>
          <w:rFonts w:eastAsia="Times New Roman" w:cs="Times New Roman"/>
          <w:color w:val="000000"/>
        </w:rPr>
        <w:t>Mní</w:t>
      </w:r>
      <w:proofErr w:type="spellEnd"/>
      <w:r w:rsidRPr="00201D09">
        <w:rPr>
          <w:rFonts w:eastAsia="Times New Roman" w:cs="Times New Roman"/>
          <w:color w:val="000000"/>
        </w:rPr>
        <w:t xml:space="preserve"> </w:t>
      </w:r>
      <w:proofErr w:type="spellStart"/>
      <w:r w:rsidRPr="00201D09">
        <w:rPr>
          <w:rFonts w:eastAsia="Times New Roman" w:cs="Times New Roman"/>
          <w:color w:val="000000"/>
        </w:rPr>
        <w:t>Wičhóni</w:t>
      </w:r>
      <w:proofErr w:type="spellEnd"/>
      <w:r w:rsidRPr="00201D09">
        <w:rPr>
          <w:rFonts w:eastAsia="Times New Roman" w:cs="Times New Roman"/>
          <w:color w:val="000000"/>
        </w:rPr>
        <w:t xml:space="preserve"> intake from the Missouri River and the </w:t>
      </w:r>
      <w:proofErr w:type="spellStart"/>
      <w:r w:rsidRPr="00201D09">
        <w:rPr>
          <w:rFonts w:eastAsia="Times New Roman" w:cs="Times New Roman"/>
          <w:color w:val="000000"/>
        </w:rPr>
        <w:t>Mní</w:t>
      </w:r>
      <w:proofErr w:type="spellEnd"/>
      <w:r w:rsidRPr="00201D09">
        <w:rPr>
          <w:rFonts w:eastAsia="Times New Roman" w:cs="Times New Roman"/>
          <w:color w:val="000000"/>
        </w:rPr>
        <w:t xml:space="preserve"> </w:t>
      </w:r>
      <w:proofErr w:type="spellStart"/>
      <w:r w:rsidRPr="00201D09">
        <w:rPr>
          <w:rFonts w:eastAsia="Times New Roman" w:cs="Times New Roman"/>
          <w:color w:val="000000"/>
        </w:rPr>
        <w:t>Wičhóni</w:t>
      </w:r>
      <w:proofErr w:type="spellEnd"/>
      <w:r w:rsidRPr="00201D09">
        <w:rPr>
          <w:rFonts w:eastAsia="Times New Roman" w:cs="Times New Roman"/>
          <w:color w:val="000000"/>
        </w:rPr>
        <w:t xml:space="preserve"> tap water at Potato Creek, </w:t>
      </w:r>
      <w:r w:rsidRPr="00201D09">
        <w:rPr>
          <w:rFonts w:eastAsia="Times New Roman" w:cs="Times New Roman"/>
          <w:color w:val="000000"/>
        </w:rPr>
        <w:t>closely approach</w:t>
      </w:r>
      <w:r w:rsidRPr="00201D09">
        <w:rPr>
          <w:rFonts w:eastAsia="Times New Roman" w:cs="Times New Roman"/>
          <w:color w:val="000000"/>
        </w:rPr>
        <w:t xml:space="preserve">, equal, or exceed the EPA MCL for mercury.” Mercury is known to be an </w:t>
      </w:r>
      <w:r w:rsidRPr="00201D09">
        <w:rPr>
          <w:rFonts w:eastAsia="Times New Roman" w:cs="Times New Roman"/>
          <w:color w:val="000000"/>
        </w:rPr>
        <w:t>extremely fatal</w:t>
      </w:r>
      <w:r w:rsidRPr="00201D09">
        <w:rPr>
          <w:rFonts w:eastAsia="Times New Roman" w:cs="Times New Roman"/>
          <w:color w:val="000000"/>
        </w:rPr>
        <w:t xml:space="preserve"> neurotoxin which can lead to renal failure and has continued debilitating effects on </w:t>
      </w:r>
      <w:r w:rsidRPr="00201D09">
        <w:rPr>
          <w:rFonts w:eastAsia="Times New Roman" w:cs="Times New Roman"/>
          <w:color w:val="000000"/>
        </w:rPr>
        <w:t>the nervous</w:t>
      </w:r>
      <w:r w:rsidRPr="00201D09">
        <w:rPr>
          <w:rFonts w:eastAsia="Times New Roman" w:cs="Times New Roman"/>
          <w:color w:val="000000"/>
        </w:rPr>
        <w:t xml:space="preserve"> system. Mercury is also known to bioaccumulate in animals and childbearing </w:t>
      </w:r>
      <w:r w:rsidRPr="00201D09">
        <w:rPr>
          <w:rFonts w:eastAsia="Times New Roman" w:cs="Times New Roman"/>
          <w:color w:val="000000"/>
        </w:rPr>
        <w:t>mothers, ultimately</w:t>
      </w:r>
      <w:r w:rsidRPr="00201D09">
        <w:rPr>
          <w:rFonts w:eastAsia="Times New Roman" w:cs="Times New Roman"/>
          <w:color w:val="000000"/>
        </w:rPr>
        <w:t xml:space="preserve"> leading to irreversible intergenerational impacts such as infertility, </w:t>
      </w:r>
      <w:r w:rsidRPr="00201D09">
        <w:rPr>
          <w:rFonts w:eastAsia="Times New Roman" w:cs="Times New Roman"/>
          <w:color w:val="000000"/>
        </w:rPr>
        <w:t>spontaneous abortion</w:t>
      </w:r>
      <w:r w:rsidRPr="00201D09">
        <w:rPr>
          <w:rFonts w:eastAsia="Times New Roman" w:cs="Times New Roman"/>
          <w:color w:val="000000"/>
        </w:rPr>
        <w:t xml:space="preserve">, and congenital deficits or abnormalities.  </w:t>
      </w:r>
    </w:p>
    <w:p w14:paraId="49EFEA35" w14:textId="5D76C01A" w:rsidR="0018215E" w:rsidRPr="00201D09" w:rsidRDefault="0018215E" w:rsidP="0018215E">
      <w:pPr>
        <w:widowControl w:val="0"/>
        <w:pBdr>
          <w:top w:val="nil"/>
          <w:left w:val="nil"/>
          <w:bottom w:val="nil"/>
          <w:right w:val="nil"/>
          <w:between w:val="nil"/>
        </w:pBdr>
        <w:spacing w:before="282" w:line="229" w:lineRule="auto"/>
        <w:ind w:firstLine="1"/>
        <w:rPr>
          <w:rFonts w:eastAsia="Times New Roman" w:cs="Times New Roman"/>
        </w:rPr>
      </w:pPr>
      <w:r w:rsidRPr="00201D09">
        <w:rPr>
          <w:rFonts w:eastAsia="Times New Roman" w:cs="Times New Roman"/>
        </w:rPr>
        <w:t>South Dakota has been mined for uranium and gold since the late 1800’s. Today open pits and un</w:t>
      </w:r>
      <w:r w:rsidRPr="00201D09">
        <w:rPr>
          <w:rFonts w:eastAsia="Times New Roman" w:cs="Times New Roman"/>
        </w:rPr>
        <w:t>-</w:t>
      </w:r>
      <w:r w:rsidRPr="00201D09">
        <w:rPr>
          <w:rFonts w:eastAsia="Times New Roman" w:cs="Times New Roman"/>
        </w:rPr>
        <w:t xml:space="preserve">reclaimed mines continue to infiltrate water systems and harm life. In the </w:t>
      </w:r>
      <w:r w:rsidRPr="00201D09">
        <w:rPr>
          <w:rFonts w:eastAsia="Times New Roman" w:cs="Times New Roman"/>
        </w:rPr>
        <w:t>recent</w:t>
      </w:r>
      <w:r w:rsidRPr="00201D09">
        <w:rPr>
          <w:rFonts w:eastAsia="Times New Roman" w:cs="Times New Roman"/>
        </w:rPr>
        <w:t xml:space="preserve"> 2020 study, The Lakota People's Law Project tested surface </w:t>
      </w:r>
      <w:r w:rsidRPr="00201D09">
        <w:rPr>
          <w:rFonts w:eastAsia="Times New Roman" w:cs="Times New Roman"/>
        </w:rPr>
        <w:lastRenderedPageBreak/>
        <w:t xml:space="preserve">waters at 16 different locations across the span of the Pine Ridge Reservation and parts of western South Dakota. 14 of the 16 sites were contaminated with heavy toxins and metals. Copper, magnesium, manganese, mercury, molybdenum, sulfur, and strontium were found at about accepted EPA maximum contaminant levels (MCL). The drinking water on the Reservation has 10 times the amount of copper. This amount of copper poses threats to children and individuals with metabolic disorders. Mercury at different municipal drinking water sites has 8x the mercury level. There are no safe amounts of mercury intake and poses additional intergenerational threats to the human body. Strontium is also present at these sites and can cause birth defects if accumulated in the time. Molybdenum tested at 0.0497 mg/L which is still below the EPA MCL </w:t>
      </w:r>
      <w:r w:rsidRPr="00201D09">
        <w:rPr>
          <w:rFonts w:eastAsia="Times New Roman" w:cs="Times New Roman"/>
        </w:rPr>
        <w:t>at 0.08</w:t>
      </w:r>
      <w:r w:rsidRPr="00201D09">
        <w:rPr>
          <w:rFonts w:eastAsia="Times New Roman" w:cs="Times New Roman"/>
        </w:rPr>
        <w:t xml:space="preserve"> mg/L. However, with children continuously swimming and with long term exposure will have adverse health effects such as impaired copper metabolism </w:t>
      </w:r>
      <w:r w:rsidRPr="00201D09">
        <w:rPr>
          <w:rFonts w:eastAsia="Times New Roman" w:cs="Times New Roman"/>
        </w:rPr>
        <w:t>and deficiency</w:t>
      </w:r>
      <w:r w:rsidRPr="00201D09">
        <w:rPr>
          <w:rFonts w:eastAsia="Times New Roman" w:cs="Times New Roman"/>
        </w:rPr>
        <w:t xml:space="preserve"> in humans. </w:t>
      </w:r>
    </w:p>
    <w:p w14:paraId="0044BEB0" w14:textId="0AB8E019" w:rsidR="00147FFB" w:rsidRPr="00201D09" w:rsidRDefault="005539C4" w:rsidP="00147FFB">
      <w:pPr>
        <w:widowControl w:val="0"/>
        <w:pBdr>
          <w:top w:val="nil"/>
          <w:left w:val="nil"/>
          <w:bottom w:val="nil"/>
          <w:right w:val="nil"/>
          <w:between w:val="nil"/>
        </w:pBdr>
        <w:spacing w:before="282" w:line="229" w:lineRule="auto"/>
        <w:ind w:firstLine="5"/>
        <w:rPr>
          <w:rFonts w:eastAsia="Times New Roman" w:cs="Times New Roman"/>
          <w:color w:val="000000"/>
        </w:rPr>
      </w:pPr>
      <w:r w:rsidRPr="00201D09">
        <w:rPr>
          <w:rFonts w:eastAsia="Times New Roman" w:cs="Times New Roman"/>
          <w:color w:val="000000"/>
        </w:rPr>
        <w:t xml:space="preserve">Furthermore, water supplies across the state of South Dakota are contaminated with uranium </w:t>
      </w:r>
      <w:r w:rsidRPr="00201D09">
        <w:rPr>
          <w:rFonts w:eastAsia="Times New Roman" w:cs="Times New Roman"/>
          <w:color w:val="000000"/>
        </w:rPr>
        <w:t>and exceed</w:t>
      </w:r>
      <w:r w:rsidRPr="00201D09">
        <w:rPr>
          <w:rFonts w:eastAsia="Times New Roman" w:cs="Times New Roman"/>
          <w:color w:val="000000"/>
        </w:rPr>
        <w:t xml:space="preserve"> the EPA maximum contaminant level for mercury and uranium. Additionally, 5 </w:t>
      </w:r>
      <w:r w:rsidRPr="00201D09">
        <w:rPr>
          <w:rFonts w:eastAsia="Times New Roman" w:cs="Times New Roman"/>
          <w:color w:val="000000"/>
        </w:rPr>
        <w:t>other toxic</w:t>
      </w:r>
      <w:r w:rsidRPr="00201D09">
        <w:rPr>
          <w:rFonts w:eastAsia="Times New Roman" w:cs="Times New Roman"/>
          <w:color w:val="000000"/>
        </w:rPr>
        <w:t xml:space="preserve"> metals are near the EPA health advisory levels for children weighing 22 pounds. </w:t>
      </w:r>
      <w:r w:rsidRPr="00201D09">
        <w:rPr>
          <w:rFonts w:eastAsia="Times New Roman" w:cs="Times New Roman"/>
          <w:color w:val="000000"/>
        </w:rPr>
        <w:t>Currently, there</w:t>
      </w:r>
      <w:r w:rsidRPr="00201D09">
        <w:rPr>
          <w:rFonts w:eastAsia="Times New Roman" w:cs="Times New Roman"/>
          <w:color w:val="000000"/>
        </w:rPr>
        <w:t xml:space="preserve"> are 13 pending Black Hills mining permits pending all in which are on Treaty territory </w:t>
      </w:r>
      <w:r w:rsidRPr="00201D09">
        <w:rPr>
          <w:rFonts w:eastAsia="Times New Roman" w:cs="Times New Roman"/>
          <w:color w:val="000000"/>
        </w:rPr>
        <w:t>and will</w:t>
      </w:r>
      <w:r w:rsidRPr="00201D09">
        <w:rPr>
          <w:rFonts w:eastAsia="Times New Roman" w:cs="Times New Roman"/>
          <w:color w:val="000000"/>
        </w:rPr>
        <w:t xml:space="preserve"> drain down towards </w:t>
      </w:r>
      <w:proofErr w:type="spellStart"/>
      <w:r w:rsidRPr="00201D09">
        <w:rPr>
          <w:rFonts w:eastAsia="Times New Roman" w:cs="Times New Roman"/>
          <w:color w:val="000000"/>
        </w:rPr>
        <w:t>Oceti</w:t>
      </w:r>
      <w:proofErr w:type="spellEnd"/>
      <w:r w:rsidRPr="00201D09">
        <w:rPr>
          <w:rFonts w:eastAsia="Times New Roman" w:cs="Times New Roman"/>
          <w:color w:val="000000"/>
        </w:rPr>
        <w:t xml:space="preserve"> Sakowin Reservations. Under the 1868 and 1851 Fort </w:t>
      </w:r>
      <w:r w:rsidRPr="00201D09">
        <w:rPr>
          <w:rFonts w:eastAsia="Times New Roman" w:cs="Times New Roman"/>
          <w:color w:val="000000"/>
        </w:rPr>
        <w:t>Laramie Treaties</w:t>
      </w:r>
      <w:r w:rsidRPr="00201D09">
        <w:rPr>
          <w:rFonts w:eastAsia="Times New Roman" w:cs="Times New Roman"/>
          <w:color w:val="000000"/>
        </w:rPr>
        <w:t xml:space="preserve"> healthcare, housing, and protection of land and water rights are protected </w:t>
      </w:r>
      <w:r w:rsidRPr="00201D09">
        <w:rPr>
          <w:rFonts w:eastAsia="Times New Roman" w:cs="Times New Roman"/>
          <w:color w:val="000000"/>
        </w:rPr>
        <w:t>and recognized</w:t>
      </w:r>
      <w:r w:rsidRPr="00201D09">
        <w:rPr>
          <w:rFonts w:eastAsia="Times New Roman" w:cs="Times New Roman"/>
          <w:color w:val="000000"/>
        </w:rPr>
        <w:t xml:space="preserve"> rights. According to these recent reports, the Treaties are being continuously </w:t>
      </w:r>
      <w:r w:rsidRPr="00201D09">
        <w:rPr>
          <w:rFonts w:eastAsia="Times New Roman" w:cs="Times New Roman"/>
          <w:color w:val="000000"/>
        </w:rPr>
        <w:t>violated and</w:t>
      </w:r>
      <w:r w:rsidRPr="00201D09">
        <w:rPr>
          <w:rFonts w:eastAsia="Times New Roman" w:cs="Times New Roman"/>
          <w:color w:val="000000"/>
        </w:rPr>
        <w:t xml:space="preserve"> the public health crisis continues unattended.</w:t>
      </w:r>
    </w:p>
    <w:p w14:paraId="05968C09" w14:textId="22329484" w:rsidR="00147FFB" w:rsidRPr="00201D09" w:rsidRDefault="00147FFB" w:rsidP="00446F2A">
      <w:pPr>
        <w:rPr>
          <w:rFonts w:eastAsia="Times New Roman" w:cs="Times New Roman"/>
          <w:color w:val="000000"/>
        </w:rPr>
      </w:pPr>
    </w:p>
    <w:p w14:paraId="09785BE8" w14:textId="3B90755E" w:rsidR="00757FC7" w:rsidRPr="00B2206A" w:rsidRDefault="00D11B0D" w:rsidP="00446F2A">
      <w:pPr>
        <w:rPr>
          <w:rFonts w:cs="Times New Roman"/>
          <w:b/>
          <w:bCs/>
          <w:u w:val="single"/>
        </w:rPr>
      </w:pPr>
      <w:r w:rsidRPr="00B2206A">
        <w:rPr>
          <w:rFonts w:cs="Times New Roman"/>
          <w:b/>
          <w:bCs/>
          <w:u w:val="single"/>
        </w:rPr>
        <w:t>Historical Mining of Mercury in the Kuskokwim Watershed</w:t>
      </w:r>
    </w:p>
    <w:p w14:paraId="2FF37795" w14:textId="2A3F6034" w:rsidR="00D11B0D" w:rsidRPr="00201D09" w:rsidRDefault="00D11B0D" w:rsidP="00446F2A">
      <w:pPr>
        <w:rPr>
          <w:rFonts w:cs="Times New Roman"/>
          <w:b/>
          <w:bCs/>
        </w:rPr>
      </w:pPr>
    </w:p>
    <w:p w14:paraId="5C5A72E5" w14:textId="1835AA0E" w:rsidR="00D11B0D" w:rsidRPr="00201D09" w:rsidRDefault="00D11B0D" w:rsidP="00446F2A">
      <w:pPr>
        <w:rPr>
          <w:rFonts w:cs="Times New Roman"/>
        </w:rPr>
      </w:pPr>
      <w:r w:rsidRPr="00201D09">
        <w:rPr>
          <w:rFonts w:cs="Times New Roman"/>
        </w:rPr>
        <w:t xml:space="preserve">Evidence from the US Geological Survey and other published studies shows that there are elevated levels of mercury in water, </w:t>
      </w:r>
      <w:proofErr w:type="gramStart"/>
      <w:r w:rsidRPr="00201D09">
        <w:rPr>
          <w:rFonts w:cs="Times New Roman"/>
        </w:rPr>
        <w:t>sediments</w:t>
      </w:r>
      <w:proofErr w:type="gramEnd"/>
      <w:r w:rsidRPr="00201D09">
        <w:rPr>
          <w:rFonts w:cs="Times New Roman"/>
        </w:rPr>
        <w:t xml:space="preserve"> and fish (such as pike and burbot) downstream from the former mercury mines that operated from the 1930s until the early 1970s. Many of the mercury mines such as the Red Devil Mine, have not been properly remediated and continue to be a source of mercury to the watershed. Fish of the Kuskokwim are essential for the Yupik and Athabascan people of the region as part of their traditional diet and culture.</w:t>
      </w:r>
    </w:p>
    <w:p w14:paraId="5DC99F1F" w14:textId="1AEA3F68" w:rsidR="00D11B0D" w:rsidRPr="00201D09" w:rsidRDefault="00D11B0D" w:rsidP="00446F2A">
      <w:pPr>
        <w:rPr>
          <w:rFonts w:cs="Times New Roman"/>
        </w:rPr>
      </w:pPr>
    </w:p>
    <w:p w14:paraId="497E1F0D" w14:textId="77777777" w:rsidR="00D11B0D" w:rsidRPr="00B2206A" w:rsidRDefault="00D11B0D" w:rsidP="00D11B0D">
      <w:pPr>
        <w:rPr>
          <w:rFonts w:cs="Times New Roman"/>
          <w:b/>
          <w:bCs/>
          <w:u w:val="single"/>
        </w:rPr>
      </w:pPr>
      <w:r w:rsidRPr="00B2206A">
        <w:rPr>
          <w:rFonts w:cs="Times New Roman"/>
          <w:b/>
          <w:bCs/>
          <w:u w:val="single"/>
        </w:rPr>
        <w:t>Current Large Scale Metals Mining is a Major Source of Mercury in Alaska</w:t>
      </w:r>
    </w:p>
    <w:p w14:paraId="157CE46D" w14:textId="77777777" w:rsidR="00D11B0D" w:rsidRPr="00201D09" w:rsidRDefault="00D11B0D" w:rsidP="00D11B0D">
      <w:pPr>
        <w:rPr>
          <w:rFonts w:cs="Times New Roman"/>
          <w:b/>
          <w:bCs/>
        </w:rPr>
      </w:pPr>
    </w:p>
    <w:p w14:paraId="74C48C30" w14:textId="76629648" w:rsidR="00D11B0D" w:rsidRPr="00201D09" w:rsidRDefault="00D11B0D" w:rsidP="00D11B0D">
      <w:pPr>
        <w:pStyle w:val="ListParagraph"/>
        <w:numPr>
          <w:ilvl w:val="0"/>
          <w:numId w:val="2"/>
        </w:numPr>
        <w:rPr>
          <w:rFonts w:cs="Times New Roman"/>
          <w:b/>
          <w:bCs/>
        </w:rPr>
      </w:pPr>
      <w:r w:rsidRPr="00201D09">
        <w:rPr>
          <w:rFonts w:cs="Times New Roman"/>
        </w:rPr>
        <w:t>According to the EPA Toxics Release Inventory (TRI), metals mines in Alaska generated more than 450,000 pounds of mercury in 2018 and more than 435,000 pounds in 2020. These emissions are unregulated. The TRI likely underestimates emissions because the data base is made up of industry self-reported data.</w:t>
      </w:r>
      <w:r w:rsidR="00F86DDD" w:rsidRPr="00201D09">
        <w:rPr>
          <w:rFonts w:cs="Times New Roman"/>
        </w:rPr>
        <w:br/>
      </w:r>
    </w:p>
    <w:p w14:paraId="33430732" w14:textId="77777777" w:rsidR="00D11B0D" w:rsidRPr="00D11B0D" w:rsidRDefault="00D11B0D" w:rsidP="00D11B0D">
      <w:pPr>
        <w:numPr>
          <w:ilvl w:val="0"/>
          <w:numId w:val="2"/>
        </w:numPr>
        <w:spacing w:after="160"/>
        <w:rPr>
          <w:rFonts w:cs="Times New Roman"/>
        </w:rPr>
      </w:pPr>
      <w:r w:rsidRPr="00D11B0D">
        <w:rPr>
          <w:rFonts w:cs="Times New Roman"/>
        </w:rPr>
        <w:t xml:space="preserve">Red Dog Mine, located in northwest Alaska and the world’s largest lead-zinc mine, released 424,980 pounds of mercury alone in 2020. </w:t>
      </w:r>
    </w:p>
    <w:p w14:paraId="2D77E973" w14:textId="77777777" w:rsidR="00D11B0D" w:rsidRPr="00D11B0D" w:rsidRDefault="00D11B0D" w:rsidP="00D11B0D">
      <w:pPr>
        <w:numPr>
          <w:ilvl w:val="0"/>
          <w:numId w:val="2"/>
        </w:numPr>
        <w:spacing w:after="160"/>
        <w:rPr>
          <w:rFonts w:cs="Times New Roman"/>
        </w:rPr>
      </w:pPr>
      <w:r w:rsidRPr="00D11B0D">
        <w:rPr>
          <w:rFonts w:cs="Times New Roman"/>
        </w:rPr>
        <w:lastRenderedPageBreak/>
        <w:t xml:space="preserve">The proposed </w:t>
      </w:r>
      <w:proofErr w:type="spellStart"/>
      <w:r w:rsidRPr="00D11B0D">
        <w:rPr>
          <w:rFonts w:cs="Times New Roman"/>
        </w:rPr>
        <w:t>Donlin</w:t>
      </w:r>
      <w:proofErr w:type="spellEnd"/>
      <w:r w:rsidRPr="00D11B0D">
        <w:rPr>
          <w:rFonts w:cs="Times New Roman"/>
        </w:rPr>
        <w:t xml:space="preserve"> Creek Mine in the Kuskokwim River watershed would be a significant source of mercury in a region that has elevated levels of mercury from past mercury mining, resulting in a 40% increase in mercury deposition to surface waters near the mine. </w:t>
      </w:r>
    </w:p>
    <w:p w14:paraId="621098B9" w14:textId="1AEEF5DB" w:rsidR="00F86DDD" w:rsidRPr="00201D09" w:rsidRDefault="00F86DDD" w:rsidP="00F86DDD">
      <w:pPr>
        <w:rPr>
          <w:rFonts w:cs="Times New Roman"/>
        </w:rPr>
      </w:pPr>
      <w:r w:rsidRPr="00201D09">
        <w:rPr>
          <w:rFonts w:cs="Times New Roman"/>
        </w:rPr>
        <w:t xml:space="preserve">Moreover, </w:t>
      </w:r>
      <w:r w:rsidRPr="00201D09">
        <w:rPr>
          <w:rFonts w:cs="Times New Roman"/>
        </w:rPr>
        <w:t xml:space="preserve">Alaska is a place of great strategic importance to the US military. Alaska has more than 700 former and currently used defense sites that are contaminating the lands, waters, and traditional foods of Indigenous peoples. </w:t>
      </w:r>
    </w:p>
    <w:p w14:paraId="74AF6C41" w14:textId="77777777" w:rsidR="00F86DDD" w:rsidRPr="00201D09" w:rsidRDefault="00F86DDD" w:rsidP="00F86DDD">
      <w:pPr>
        <w:rPr>
          <w:rFonts w:cs="Times New Roman"/>
        </w:rPr>
      </w:pPr>
    </w:p>
    <w:p w14:paraId="31BFD217" w14:textId="185AF681" w:rsidR="00F86DDD" w:rsidRPr="00201D09" w:rsidRDefault="00F86DDD" w:rsidP="00F86DDD">
      <w:pPr>
        <w:rPr>
          <w:rFonts w:cs="Times New Roman"/>
        </w:rPr>
      </w:pPr>
      <w:r w:rsidRPr="00201D09">
        <w:rPr>
          <w:rFonts w:cs="Times New Roman"/>
        </w:rPr>
        <w:t xml:space="preserve">Our community-based research (see references for our publications) on </w:t>
      </w:r>
      <w:proofErr w:type="spellStart"/>
      <w:r w:rsidRPr="00201D09">
        <w:rPr>
          <w:rFonts w:cs="Times New Roman"/>
        </w:rPr>
        <w:t>Sivuqaq</w:t>
      </w:r>
      <w:proofErr w:type="spellEnd"/>
      <w:r w:rsidRPr="00201D09">
        <w:rPr>
          <w:rFonts w:cs="Times New Roman"/>
        </w:rPr>
        <w:t xml:space="preserve"> shows elevated levels of mercury in the fish downstream from the formerly used defense site at Northeast Cape (NEC). Mercury contamination of fish at NEC is documented in a recent paper (Jordan-Ward et al. 2022). The Yupik people suffer health disparities associated with the military contamination that also includes PCBs, PAHs, pesticides, and other heavy metals, including cancers, thyroid disease, diabetes, heart disease, birth defects, low birthweight babies, premature births, stillbirths, </w:t>
      </w:r>
      <w:proofErr w:type="gramStart"/>
      <w:r w:rsidRPr="00201D09">
        <w:rPr>
          <w:rFonts w:cs="Times New Roman"/>
        </w:rPr>
        <w:t>miscarriages</w:t>
      </w:r>
      <w:proofErr w:type="gramEnd"/>
      <w:r w:rsidRPr="00201D09">
        <w:rPr>
          <w:rFonts w:cs="Times New Roman"/>
        </w:rPr>
        <w:t xml:space="preserve"> and other reproductive health problems, developmental and learning disabilities.</w:t>
      </w:r>
    </w:p>
    <w:p w14:paraId="0E5307A7" w14:textId="0657E756" w:rsidR="00D11B0D" w:rsidRPr="00201D09" w:rsidRDefault="00D11B0D" w:rsidP="00D11B0D">
      <w:pPr>
        <w:spacing w:after="160"/>
        <w:rPr>
          <w:rFonts w:cs="Times New Roman"/>
          <w:b/>
          <w:bCs/>
        </w:rPr>
      </w:pPr>
    </w:p>
    <w:p w14:paraId="77E2D18D" w14:textId="77777777" w:rsidR="00F86DDD" w:rsidRPr="00F86DDD" w:rsidRDefault="00F86DDD" w:rsidP="00F86DDD">
      <w:pPr>
        <w:numPr>
          <w:ilvl w:val="0"/>
          <w:numId w:val="3"/>
        </w:numPr>
        <w:spacing w:after="160"/>
        <w:rPr>
          <w:rFonts w:cs="Times New Roman"/>
        </w:rPr>
      </w:pPr>
      <w:r w:rsidRPr="00F86DDD">
        <w:rPr>
          <w:rFonts w:cs="Times New Roman"/>
        </w:rPr>
        <w:t xml:space="preserve">Coal mined in Alaska and much of it exported to Asia, although there are several coal-fired power plants in Alaska that are significant sources of mercury and other hazardous air pollutant </w:t>
      </w:r>
    </w:p>
    <w:p w14:paraId="538DF40D" w14:textId="77777777" w:rsidR="00F86DDD" w:rsidRPr="00F86DDD" w:rsidRDefault="00F86DDD" w:rsidP="00F86DDD">
      <w:pPr>
        <w:numPr>
          <w:ilvl w:val="0"/>
          <w:numId w:val="3"/>
        </w:numPr>
        <w:spacing w:after="160"/>
        <w:rPr>
          <w:rFonts w:cs="Times New Roman"/>
        </w:rPr>
      </w:pPr>
      <w:r w:rsidRPr="00F86DDD">
        <w:rPr>
          <w:rFonts w:cs="Times New Roman"/>
        </w:rPr>
        <w:t>Air pollution travels from Asia to Alaska on prevailing atmospheric currents. The “Brown Cloud” carries mercury and other air pollutants.</w:t>
      </w:r>
    </w:p>
    <w:p w14:paraId="07D86ADF" w14:textId="77777777" w:rsidR="00F86DDD" w:rsidRPr="00F86DDD" w:rsidRDefault="00F86DDD" w:rsidP="00F86DDD">
      <w:pPr>
        <w:numPr>
          <w:ilvl w:val="0"/>
          <w:numId w:val="3"/>
        </w:numPr>
        <w:spacing w:after="160"/>
        <w:rPr>
          <w:rFonts w:cs="Times New Roman"/>
        </w:rPr>
      </w:pPr>
      <w:r w:rsidRPr="00F86DDD">
        <w:rPr>
          <w:rFonts w:cs="Times New Roman"/>
        </w:rPr>
        <w:t>Mercury builds up in the food web.</w:t>
      </w:r>
    </w:p>
    <w:p w14:paraId="14889FD1" w14:textId="77777777" w:rsidR="00F86DDD" w:rsidRPr="00F86DDD" w:rsidRDefault="00F86DDD" w:rsidP="00F86DDD">
      <w:pPr>
        <w:numPr>
          <w:ilvl w:val="0"/>
          <w:numId w:val="3"/>
        </w:numPr>
        <w:spacing w:after="160"/>
        <w:rPr>
          <w:rFonts w:cs="Times New Roman"/>
        </w:rPr>
      </w:pPr>
      <w:r w:rsidRPr="00F86DDD">
        <w:rPr>
          <w:rFonts w:cs="Times New Roman"/>
        </w:rPr>
        <w:t>Indigenous peoples are exposed to mercury in contaminated fish and other traditional foods such as marine mammals.</w:t>
      </w:r>
    </w:p>
    <w:p w14:paraId="3948ABA6" w14:textId="25CE5A88" w:rsidR="00F86DDD" w:rsidRPr="00B2206A" w:rsidRDefault="00F86DDD" w:rsidP="00F86DDD">
      <w:pPr>
        <w:rPr>
          <w:rFonts w:cs="Times New Roman"/>
          <w:b/>
          <w:bCs/>
          <w:u w:val="single"/>
        </w:rPr>
      </w:pPr>
      <w:r w:rsidRPr="00B2206A">
        <w:rPr>
          <w:rFonts w:cs="Times New Roman"/>
          <w:b/>
          <w:bCs/>
          <w:u w:val="single"/>
        </w:rPr>
        <w:t>Arctic Warming is Causing Massive Releases of Mercury from Permafrost</w:t>
      </w:r>
    </w:p>
    <w:p w14:paraId="7873DDBB" w14:textId="100E5655" w:rsidR="00F86DDD" w:rsidRPr="00201D09" w:rsidRDefault="00F86DDD" w:rsidP="00F86DDD">
      <w:pPr>
        <w:rPr>
          <w:rFonts w:cs="Times New Roman"/>
          <w:b/>
          <w:bCs/>
        </w:rPr>
      </w:pPr>
    </w:p>
    <w:p w14:paraId="16051BBB" w14:textId="52996175" w:rsidR="00F86DDD" w:rsidRPr="00F86DDD" w:rsidRDefault="00F86DDD" w:rsidP="00F86DDD">
      <w:pPr>
        <w:numPr>
          <w:ilvl w:val="0"/>
          <w:numId w:val="4"/>
        </w:numPr>
        <w:spacing w:after="160"/>
        <w:contextualSpacing/>
        <w:rPr>
          <w:rFonts w:eastAsia="Times New Roman" w:cs="Times New Roman"/>
          <w:lang w:val="en-GB"/>
        </w:rPr>
      </w:pPr>
      <w:r w:rsidRPr="00F86DDD">
        <w:rPr>
          <w:rFonts w:eastAsia="Times New Roman" w:cs="Times New Roman"/>
          <w:lang w:val="en-GB"/>
        </w:rPr>
        <w:t>The Arctic is warming three times as fast as the rest of the world. Melting of Arctic ice, glaciers, and permafrost is releasing sequestered chemicals, including mercury and other persistent and toxic chemicals.</w:t>
      </w:r>
      <w:r w:rsidRPr="00201D09">
        <w:rPr>
          <w:rFonts w:eastAsia="Times New Roman" w:cs="Times New Roman"/>
          <w:lang w:val="en-GB"/>
        </w:rPr>
        <w:br/>
      </w:r>
    </w:p>
    <w:p w14:paraId="5D059CA3" w14:textId="613CA230" w:rsidR="00F86DDD" w:rsidRPr="00F86DDD" w:rsidRDefault="00F86DDD" w:rsidP="00F86DDD">
      <w:pPr>
        <w:numPr>
          <w:ilvl w:val="0"/>
          <w:numId w:val="4"/>
        </w:numPr>
        <w:spacing w:after="160"/>
        <w:contextualSpacing/>
        <w:rPr>
          <w:rFonts w:eastAsia="Times New Roman" w:cs="Times New Roman"/>
          <w:lang w:val="en-GB"/>
        </w:rPr>
      </w:pPr>
      <w:r w:rsidRPr="00F86DDD">
        <w:rPr>
          <w:rFonts w:eastAsia="Times New Roman" w:cs="Times New Roman"/>
          <w:lang w:val="en-GB"/>
        </w:rPr>
        <w:t>With current emissions levels of greenhouse gases, permafrost could shrink by between 30 and 99 percent by 2100.</w:t>
      </w:r>
      <w:r w:rsidRPr="00201D09">
        <w:rPr>
          <w:rFonts w:eastAsia="Times New Roman" w:cs="Times New Roman"/>
          <w:lang w:val="en-GB"/>
        </w:rPr>
        <w:br/>
      </w:r>
    </w:p>
    <w:p w14:paraId="3B5712E6" w14:textId="6E26FFB9" w:rsidR="00F86DDD" w:rsidRPr="00F86DDD" w:rsidRDefault="00F86DDD" w:rsidP="00F86DDD">
      <w:pPr>
        <w:numPr>
          <w:ilvl w:val="0"/>
          <w:numId w:val="4"/>
        </w:numPr>
        <w:spacing w:after="160"/>
        <w:contextualSpacing/>
        <w:rPr>
          <w:rFonts w:eastAsia="Times New Roman" w:cs="Times New Roman"/>
          <w:lang w:val="en-GB"/>
        </w:rPr>
      </w:pPr>
      <w:r w:rsidRPr="00F86DDD">
        <w:rPr>
          <w:rFonts w:eastAsia="Times New Roman" w:cs="Times New Roman"/>
          <w:lang w:val="en-GB"/>
        </w:rPr>
        <w:t xml:space="preserve">Permafrost contains massive quantities of mercury that are released with permafrost melting. Permafrost soils are the largest reservoir of mercury on the planet, storing nearly twice as much mercury as all other soils, the ocean </w:t>
      </w:r>
      <w:r w:rsidRPr="00F86DDD">
        <w:rPr>
          <w:rFonts w:eastAsia="Times New Roman" w:cs="Times New Roman"/>
          <w:lang w:val="en-GB"/>
        </w:rPr>
        <w:lastRenderedPageBreak/>
        <w:t>and the atmosphere combined.</w:t>
      </w:r>
      <w:r w:rsidRPr="00201D09">
        <w:rPr>
          <w:rFonts w:eastAsia="Times New Roman" w:cs="Times New Roman"/>
          <w:lang w:val="en-GB"/>
        </w:rPr>
        <w:br/>
      </w:r>
    </w:p>
    <w:p w14:paraId="167CDACC" w14:textId="77777777" w:rsidR="00F86DDD" w:rsidRPr="00F86DDD" w:rsidRDefault="00F86DDD" w:rsidP="00F86DDD">
      <w:pPr>
        <w:numPr>
          <w:ilvl w:val="0"/>
          <w:numId w:val="4"/>
        </w:numPr>
        <w:spacing w:after="160"/>
        <w:contextualSpacing/>
        <w:rPr>
          <w:rFonts w:eastAsia="Times New Roman" w:cs="Times New Roman"/>
          <w:lang w:val="en-GB"/>
        </w:rPr>
      </w:pPr>
      <w:r w:rsidRPr="00F86DDD">
        <w:rPr>
          <w:rFonts w:eastAsia="Times New Roman" w:cs="Times New Roman"/>
          <w:lang w:val="en-GB"/>
        </w:rPr>
        <w:t>A recent study found approximately 793 gigagrams, or more than 15 million gallons, of mercury is frozen in northern permafrost soil. That is roughly 10 times the amount of all human-caused mercury emissions over the last 30 years, based on emissions estimates from 2016. Reference: Schuster, P. F. et al. (2018). Permafrost stores a globally significant amount of mercury. Geophysical Research Letters, 45, 1463–1471.</w:t>
      </w:r>
    </w:p>
    <w:p w14:paraId="1112B70D" w14:textId="77777777" w:rsidR="00F86DDD" w:rsidRPr="00201D09" w:rsidRDefault="00F86DDD" w:rsidP="00F86DDD">
      <w:pPr>
        <w:rPr>
          <w:rFonts w:cs="Times New Roman"/>
          <w:b/>
          <w:bCs/>
        </w:rPr>
      </w:pPr>
    </w:p>
    <w:p w14:paraId="7552786D" w14:textId="1F32FDD7" w:rsidR="00F86DDD" w:rsidRPr="00201D09" w:rsidRDefault="00201D09" w:rsidP="00201D09">
      <w:pPr>
        <w:spacing w:line="240" w:lineRule="auto"/>
        <w:rPr>
          <w:rFonts w:eastAsia="Times New Roman" w:cs="Times New Roman"/>
          <w:lang w:val="en"/>
        </w:rPr>
      </w:pPr>
      <w:r w:rsidRPr="00201D09">
        <w:rPr>
          <w:rFonts w:eastAsia="Times New Roman" w:cs="Times New Roman"/>
          <w:b/>
          <w:bCs/>
          <w:u w:val="single"/>
        </w:rPr>
        <w:t xml:space="preserve">USE OF MERCURY IN INDIGENOUS COMMUNITIES OF THE COCO RIVER (WANGKI) IN NICARAGUA </w:t>
      </w:r>
    </w:p>
    <w:p w14:paraId="0240DD47" w14:textId="77777777" w:rsidR="00201D09" w:rsidRPr="00201D09" w:rsidRDefault="00201D09" w:rsidP="00201D09">
      <w:pPr>
        <w:spacing w:line="240" w:lineRule="auto"/>
        <w:rPr>
          <w:rFonts w:eastAsia="Times New Roman" w:cs="Times New Roman"/>
          <w:lang w:val="en"/>
        </w:rPr>
      </w:pPr>
    </w:p>
    <w:p w14:paraId="52FE2A57" w14:textId="77777777" w:rsidR="00201D09" w:rsidRPr="00201D09" w:rsidRDefault="00201D09" w:rsidP="00201D09">
      <w:pPr>
        <w:spacing w:after="160" w:line="240" w:lineRule="auto"/>
        <w:rPr>
          <w:rFonts w:eastAsia="Times New Roman" w:cs="Times New Roman"/>
          <w:lang w:val="en"/>
        </w:rPr>
      </w:pPr>
      <w:r w:rsidRPr="00201D09">
        <w:rPr>
          <w:rFonts w:eastAsia="Times New Roman" w:cs="Times New Roman"/>
          <w:lang w:val="en"/>
        </w:rPr>
        <w:t xml:space="preserve">The Nicaraguan government has ratified the Minamata Convention and as of 2021 has begun cleaning up mercury in traditionally mining areas. However, Indigenous communities located on the banks of the Rio Coco or </w:t>
      </w:r>
      <w:proofErr w:type="spellStart"/>
      <w:r w:rsidRPr="00201D09">
        <w:rPr>
          <w:rFonts w:eastAsia="Times New Roman" w:cs="Times New Roman"/>
          <w:lang w:val="en"/>
        </w:rPr>
        <w:t>Wangki</w:t>
      </w:r>
      <w:proofErr w:type="spellEnd"/>
      <w:r w:rsidRPr="00201D09">
        <w:rPr>
          <w:rFonts w:eastAsia="Times New Roman" w:cs="Times New Roman"/>
          <w:lang w:val="en"/>
        </w:rPr>
        <w:t xml:space="preserve">, have experienced in recent years an increase in mining exploitation both in previously abandoned mining sites or with little productivity and on the banks of the river in the dry season months. The gold is sold in Honduras and Nicaragua, mainly as exchange for food products. </w:t>
      </w:r>
    </w:p>
    <w:p w14:paraId="7BAB3134" w14:textId="77777777" w:rsidR="00201D09" w:rsidRPr="00201D09" w:rsidRDefault="00201D09" w:rsidP="00201D09">
      <w:pPr>
        <w:spacing w:after="160" w:line="240" w:lineRule="auto"/>
        <w:rPr>
          <w:rFonts w:eastAsia="Times New Roman" w:cs="Times New Roman"/>
          <w:lang w:val="en"/>
        </w:rPr>
      </w:pPr>
      <w:r w:rsidRPr="00201D09">
        <w:rPr>
          <w:rFonts w:eastAsia="Times New Roman" w:cs="Times New Roman"/>
          <w:lang w:val="en"/>
        </w:rPr>
        <w:t>The organized women of the communities conducted research in 2018 and identified health impacts, such as bone pain, abdominal pain, respiratory problems, eye problems, and digestive system problems. They have also identified an increase in cases of abortions. Other problems are the increase in alcohol and drug consumption, since "they exchange gold for drugs with Hondurans.”</w:t>
      </w:r>
    </w:p>
    <w:p w14:paraId="718BA3C7" w14:textId="77777777" w:rsidR="00201D09" w:rsidRPr="00201D09" w:rsidRDefault="00201D09" w:rsidP="00201D09">
      <w:pPr>
        <w:spacing w:after="160" w:line="240" w:lineRule="auto"/>
        <w:rPr>
          <w:rFonts w:eastAsia="Times New Roman" w:cs="Times New Roman"/>
          <w:lang w:val="en"/>
        </w:rPr>
      </w:pPr>
      <w:r w:rsidRPr="00201D09">
        <w:rPr>
          <w:rFonts w:eastAsia="Times New Roman" w:cs="Times New Roman"/>
          <w:lang w:val="en"/>
        </w:rPr>
        <w:t>The situation has impacted on community cultural life and the reduction of community and territorial traditional governance practices.  The women recommend strengthening community governance standards, expansion of mercury-contaminated cleanup measures, and promotion of mercury-free artisanal gold mining techniques.</w:t>
      </w:r>
    </w:p>
    <w:p w14:paraId="629A91C0" w14:textId="77777777" w:rsidR="00201D09" w:rsidRPr="00D11B0D" w:rsidRDefault="00201D09" w:rsidP="00D11B0D">
      <w:pPr>
        <w:spacing w:after="160"/>
        <w:rPr>
          <w:rFonts w:ascii="Times New Roman" w:hAnsi="Times New Roman" w:cs="Times New Roman"/>
          <w:b/>
          <w:bCs/>
        </w:rPr>
      </w:pPr>
    </w:p>
    <w:sectPr w:rsidR="00201D09" w:rsidRPr="00D11B0D" w:rsidSect="00B2206A">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96F9" w14:textId="77777777" w:rsidR="00201D09" w:rsidRDefault="00201D09" w:rsidP="00201D09">
      <w:pPr>
        <w:spacing w:line="240" w:lineRule="auto"/>
      </w:pPr>
      <w:r>
        <w:separator/>
      </w:r>
    </w:p>
  </w:endnote>
  <w:endnote w:type="continuationSeparator" w:id="0">
    <w:p w14:paraId="34E4FCCA" w14:textId="77777777" w:rsidR="00201D09" w:rsidRDefault="00201D09" w:rsidP="00201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4009"/>
      <w:docPartObj>
        <w:docPartGallery w:val="Page Numbers (Bottom of Page)"/>
        <w:docPartUnique/>
      </w:docPartObj>
    </w:sdtPr>
    <w:sdtEndPr>
      <w:rPr>
        <w:noProof/>
      </w:rPr>
    </w:sdtEndPr>
    <w:sdtContent>
      <w:p w14:paraId="017013D1" w14:textId="125291C6" w:rsidR="00B2206A" w:rsidRDefault="00B22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807382" w14:textId="77777777" w:rsidR="00B2206A" w:rsidRDefault="00B22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2646" w14:textId="75275E24" w:rsidR="00201D09" w:rsidRDefault="00B2206A">
    <w:pPr>
      <w:pStyle w:val="Footer"/>
    </w:pPr>
    <w:r>
      <w:rPr>
        <w:noProof/>
      </w:rPr>
      <w:drawing>
        <wp:anchor distT="0" distB="0" distL="114300" distR="114300" simplePos="0" relativeHeight="251662336" behindDoc="0" locked="0" layoutInCell="1" allowOverlap="1" wp14:anchorId="02537CE6" wp14:editId="3B8F30E7">
          <wp:simplePos x="0" y="0"/>
          <wp:positionH relativeFrom="margin">
            <wp:align>center</wp:align>
          </wp:positionH>
          <wp:positionV relativeFrom="paragraph">
            <wp:posOffset>-19050</wp:posOffset>
          </wp:positionV>
          <wp:extent cx="5114925" cy="36576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657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9C7B" w14:textId="77777777" w:rsidR="00201D09" w:rsidRDefault="00201D09" w:rsidP="00201D09">
      <w:pPr>
        <w:spacing w:line="240" w:lineRule="auto"/>
      </w:pPr>
      <w:r>
        <w:separator/>
      </w:r>
    </w:p>
  </w:footnote>
  <w:footnote w:type="continuationSeparator" w:id="0">
    <w:p w14:paraId="375756B3" w14:textId="77777777" w:rsidR="00201D09" w:rsidRDefault="00201D09" w:rsidP="00201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1282" w14:textId="77777777" w:rsidR="00201D09" w:rsidRPr="00201D09" w:rsidRDefault="00201D09" w:rsidP="00201D09">
    <w:pPr>
      <w:tabs>
        <w:tab w:val="center" w:pos="4680"/>
        <w:tab w:val="right" w:pos="9360"/>
      </w:tabs>
      <w:spacing w:line="240" w:lineRule="auto"/>
      <w:ind w:right="-1152"/>
      <w:jc w:val="center"/>
      <w:rPr>
        <w:rFonts w:asciiTheme="majorHAnsi" w:hAnsiTheme="majorHAnsi" w:cstheme="majorHAnsi"/>
      </w:rPr>
    </w:pPr>
    <w:r w:rsidRPr="00201D09">
      <w:rPr>
        <w:rFonts w:asciiTheme="majorHAnsi" w:hAnsiTheme="majorHAnsi" w:cstheme="majorHAnsi"/>
        <w:noProof/>
      </w:rPr>
      <w:drawing>
        <wp:anchor distT="0" distB="0" distL="114300" distR="114300" simplePos="0" relativeHeight="251659264" behindDoc="1" locked="0" layoutInCell="1" allowOverlap="1" wp14:anchorId="26073A6F" wp14:editId="7E596E3E">
          <wp:simplePos x="0" y="0"/>
          <wp:positionH relativeFrom="column">
            <wp:posOffset>-428625</wp:posOffset>
          </wp:positionH>
          <wp:positionV relativeFrom="paragraph">
            <wp:posOffset>179070</wp:posOffset>
          </wp:positionV>
          <wp:extent cx="847725" cy="828629"/>
          <wp:effectExtent l="0" t="0" r="0" b="0"/>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1647" cy="871562"/>
                  </a:xfrm>
                  <a:prstGeom prst="rect">
                    <a:avLst/>
                  </a:prstGeom>
                </pic:spPr>
              </pic:pic>
            </a:graphicData>
          </a:graphic>
          <wp14:sizeRelH relativeFrom="margin">
            <wp14:pctWidth>0</wp14:pctWidth>
          </wp14:sizeRelH>
          <wp14:sizeRelV relativeFrom="margin">
            <wp14:pctHeight>0</wp14:pctHeight>
          </wp14:sizeRelV>
        </wp:anchor>
      </w:drawing>
    </w:r>
    <w:r w:rsidRPr="00201D09">
      <w:rPr>
        <w:rFonts w:asciiTheme="majorHAnsi" w:hAnsiTheme="majorHAnsi" w:cstheme="majorHAnsi"/>
      </w:rPr>
      <w:t xml:space="preserve">                                                                                                                                                                100 E. Ajo Way</w:t>
    </w:r>
  </w:p>
  <w:p w14:paraId="4E14C67D" w14:textId="77777777" w:rsidR="00201D09" w:rsidRPr="00201D09" w:rsidRDefault="00201D09" w:rsidP="00201D09">
    <w:pPr>
      <w:tabs>
        <w:tab w:val="center" w:pos="4680"/>
        <w:tab w:val="right" w:pos="9360"/>
      </w:tabs>
      <w:spacing w:line="240" w:lineRule="auto"/>
      <w:ind w:right="-1152"/>
      <w:jc w:val="center"/>
      <w:rPr>
        <w:rFonts w:asciiTheme="majorHAnsi" w:hAnsiTheme="majorHAnsi" w:cstheme="majorHAnsi"/>
      </w:rPr>
    </w:pPr>
    <w:r w:rsidRPr="00201D09">
      <w:rPr>
        <w:rFonts w:asciiTheme="majorHAnsi" w:hAnsiTheme="majorHAnsi" w:cstheme="majorHAnsi"/>
      </w:rPr>
      <w:t xml:space="preserve">                                                                                                                                                            Tucson, AZ 85713</w:t>
    </w:r>
  </w:p>
  <w:p w14:paraId="0E0F8B45" w14:textId="77777777" w:rsidR="00201D09" w:rsidRPr="00201D09" w:rsidRDefault="00201D09" w:rsidP="00201D09">
    <w:pPr>
      <w:tabs>
        <w:tab w:val="center" w:pos="4680"/>
        <w:tab w:val="right" w:pos="9360"/>
      </w:tabs>
      <w:spacing w:line="240" w:lineRule="auto"/>
      <w:ind w:right="-1152"/>
      <w:rPr>
        <w:rFonts w:asciiTheme="minorHAnsi" w:hAnsiTheme="minorHAnsi"/>
        <w:sz w:val="22"/>
        <w:szCs w:val="22"/>
      </w:rPr>
    </w:pPr>
    <w:r w:rsidRPr="00201D09">
      <w:rPr>
        <w:rFonts w:asciiTheme="minorHAnsi" w:hAnsiTheme="minorHAnsi"/>
        <w:sz w:val="22"/>
        <w:szCs w:val="22"/>
      </w:rPr>
      <w:t xml:space="preserve">                </w:t>
    </w:r>
    <w:r w:rsidRPr="00201D09">
      <w:rPr>
        <w:rFonts w:asciiTheme="minorHAnsi" w:hAnsiTheme="minorHAnsi"/>
        <w:b/>
        <w:sz w:val="28"/>
        <w:szCs w:val="28"/>
      </w:rPr>
      <w:t>International Indian Treaty Council</w:t>
    </w:r>
    <w:r w:rsidRPr="00201D09">
      <w:rPr>
        <w:rFonts w:asciiTheme="minorHAnsi" w:hAnsiTheme="minorHAnsi"/>
        <w:sz w:val="22"/>
        <w:szCs w:val="22"/>
      </w:rPr>
      <w:t xml:space="preserve">                                                                  </w:t>
    </w:r>
    <w:r w:rsidRPr="00201D09">
      <w:rPr>
        <w:rFonts w:asciiTheme="majorHAnsi" w:hAnsiTheme="majorHAnsi" w:cstheme="majorHAnsi"/>
      </w:rPr>
      <w:t>Phone: (520) 833-9797</w:t>
    </w:r>
  </w:p>
  <w:p w14:paraId="055E9216" w14:textId="77777777" w:rsidR="00201D09" w:rsidRPr="00201D09" w:rsidRDefault="00201D09" w:rsidP="00201D09">
    <w:pPr>
      <w:tabs>
        <w:tab w:val="center" w:pos="4680"/>
        <w:tab w:val="right" w:pos="9360"/>
      </w:tabs>
      <w:spacing w:line="240" w:lineRule="auto"/>
      <w:ind w:right="-1152"/>
      <w:rPr>
        <w:rFonts w:asciiTheme="minorHAnsi" w:hAnsiTheme="minorHAnsi"/>
        <w:sz w:val="22"/>
        <w:szCs w:val="22"/>
        <w:lang w:val="es-MX"/>
      </w:rPr>
    </w:pPr>
    <w:r w:rsidRPr="00201D09">
      <w:rPr>
        <w:rFonts w:asciiTheme="minorHAnsi" w:hAnsiTheme="minorHAnsi"/>
        <w:sz w:val="22"/>
        <w:szCs w:val="22"/>
      </w:rPr>
      <w:t xml:space="preserve">                </w:t>
    </w:r>
    <w:r w:rsidRPr="00201D09">
      <w:rPr>
        <w:rFonts w:asciiTheme="minorHAnsi" w:hAnsiTheme="minorHAnsi" w:cstheme="minorHAnsi"/>
        <w:i/>
        <w:sz w:val="28"/>
        <w:szCs w:val="28"/>
        <w:lang w:val="es-MX"/>
      </w:rPr>
      <w:t>Consejo Internacional de Tratados Indios</w:t>
    </w:r>
    <w:r w:rsidRPr="00201D09">
      <w:rPr>
        <w:rFonts w:asciiTheme="minorHAnsi" w:hAnsiTheme="minorHAnsi"/>
        <w:sz w:val="22"/>
        <w:szCs w:val="22"/>
        <w:lang w:val="es-MX"/>
      </w:rPr>
      <w:t xml:space="preserve">                                                             </w:t>
    </w:r>
    <w:r w:rsidRPr="00201D09">
      <w:rPr>
        <w:rFonts w:asciiTheme="majorHAnsi" w:hAnsiTheme="majorHAnsi" w:cstheme="majorHAnsi"/>
        <w:lang w:val="es-MX"/>
      </w:rPr>
      <w:t>Fax: (520) 833-9799</w:t>
    </w:r>
  </w:p>
  <w:p w14:paraId="18171C6D" w14:textId="77777777" w:rsidR="00201D09" w:rsidRPr="00201D09" w:rsidRDefault="00201D09" w:rsidP="00201D09">
    <w:pPr>
      <w:tabs>
        <w:tab w:val="center" w:pos="4680"/>
        <w:tab w:val="right" w:pos="9360"/>
      </w:tabs>
      <w:spacing w:line="240" w:lineRule="auto"/>
      <w:ind w:right="-1152"/>
      <w:jc w:val="center"/>
      <w:rPr>
        <w:rFonts w:asciiTheme="majorHAnsi" w:hAnsiTheme="majorHAnsi" w:cstheme="majorHAnsi"/>
      </w:rPr>
    </w:pPr>
    <w:r w:rsidRPr="00201D09">
      <w:rPr>
        <w:rFonts w:asciiTheme="majorHAnsi" w:hAnsiTheme="majorHAnsi" w:cstheme="majorHAnsi"/>
      </w:rPr>
      <w:t xml:space="preserve">                                                                                                                                         Email: info@treatycouncil.org</w:t>
    </w:r>
  </w:p>
  <w:p w14:paraId="49AA518C" w14:textId="77777777" w:rsidR="00201D09" w:rsidRPr="00201D09" w:rsidRDefault="00201D09" w:rsidP="00201D09">
    <w:pPr>
      <w:tabs>
        <w:tab w:val="center" w:pos="4680"/>
        <w:tab w:val="right" w:pos="9360"/>
      </w:tabs>
      <w:spacing w:line="240" w:lineRule="auto"/>
      <w:ind w:right="-1152"/>
      <w:jc w:val="center"/>
      <w:rPr>
        <w:rFonts w:asciiTheme="majorHAnsi" w:hAnsiTheme="majorHAnsi" w:cstheme="majorHAnsi"/>
      </w:rPr>
    </w:pPr>
    <w:r w:rsidRPr="00201D09">
      <w:rPr>
        <w:rFonts w:asciiTheme="majorHAnsi" w:hAnsiTheme="majorHAnsi" w:cstheme="majorHAnsi"/>
        <w:noProof/>
        <w:color w:val="7B7B7B" w:themeColor="accent3" w:themeShade="BF"/>
      </w:rPr>
      <mc:AlternateContent>
        <mc:Choice Requires="wps">
          <w:drawing>
            <wp:anchor distT="0" distB="0" distL="114300" distR="114300" simplePos="0" relativeHeight="251660288" behindDoc="0" locked="0" layoutInCell="1" allowOverlap="1" wp14:anchorId="47E72A06" wp14:editId="0A43F86E">
              <wp:simplePos x="0" y="0"/>
              <wp:positionH relativeFrom="column">
                <wp:posOffset>-676276</wp:posOffset>
              </wp:positionH>
              <wp:positionV relativeFrom="paragraph">
                <wp:posOffset>276225</wp:posOffset>
              </wp:positionV>
              <wp:extent cx="728662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7286625" cy="0"/>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306C79"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1.75pt" to="52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" strokecolor="#c00000" strokeweight="1.5pt">
              <v:stroke joinstyle="miter"/>
            </v:line>
          </w:pict>
        </mc:Fallback>
      </mc:AlternateContent>
    </w:r>
    <w:r w:rsidRPr="00201D09">
      <w:rPr>
        <w:rFonts w:asciiTheme="majorHAnsi" w:hAnsiTheme="majorHAnsi" w:cstheme="majorHAnsi"/>
      </w:rPr>
      <w:t xml:space="preserve">                                                                                                                                                    www.treatycouncil.org</w:t>
    </w:r>
  </w:p>
  <w:p w14:paraId="2545D96E" w14:textId="77777777" w:rsidR="00201D09" w:rsidRDefault="0020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641"/>
    <w:multiLevelType w:val="hybridMultilevel"/>
    <w:tmpl w:val="2502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3DFE"/>
    <w:multiLevelType w:val="hybridMultilevel"/>
    <w:tmpl w:val="053E995E"/>
    <w:lvl w:ilvl="0" w:tplc="A45E38FE">
      <w:start w:val="1"/>
      <w:numFmt w:val="bullet"/>
      <w:lvlText w:val="▪"/>
      <w:lvlJc w:val="left"/>
      <w:pPr>
        <w:tabs>
          <w:tab w:val="num" w:pos="720"/>
        </w:tabs>
        <w:ind w:left="720" w:hanging="360"/>
      </w:pPr>
      <w:rPr>
        <w:rFonts w:ascii="Noto Sans Symbols" w:hAnsi="Noto Sans Symbols" w:hint="default"/>
      </w:rPr>
    </w:lvl>
    <w:lvl w:ilvl="1" w:tplc="D75ED0BA" w:tentative="1">
      <w:start w:val="1"/>
      <w:numFmt w:val="bullet"/>
      <w:lvlText w:val="▪"/>
      <w:lvlJc w:val="left"/>
      <w:pPr>
        <w:tabs>
          <w:tab w:val="num" w:pos="1440"/>
        </w:tabs>
        <w:ind w:left="1440" w:hanging="360"/>
      </w:pPr>
      <w:rPr>
        <w:rFonts w:ascii="Noto Sans Symbols" w:hAnsi="Noto Sans Symbols" w:hint="default"/>
      </w:rPr>
    </w:lvl>
    <w:lvl w:ilvl="2" w:tplc="E7322D44" w:tentative="1">
      <w:start w:val="1"/>
      <w:numFmt w:val="bullet"/>
      <w:lvlText w:val="▪"/>
      <w:lvlJc w:val="left"/>
      <w:pPr>
        <w:tabs>
          <w:tab w:val="num" w:pos="2160"/>
        </w:tabs>
        <w:ind w:left="2160" w:hanging="360"/>
      </w:pPr>
      <w:rPr>
        <w:rFonts w:ascii="Noto Sans Symbols" w:hAnsi="Noto Sans Symbols" w:hint="default"/>
      </w:rPr>
    </w:lvl>
    <w:lvl w:ilvl="3" w:tplc="0C322984" w:tentative="1">
      <w:start w:val="1"/>
      <w:numFmt w:val="bullet"/>
      <w:lvlText w:val="▪"/>
      <w:lvlJc w:val="left"/>
      <w:pPr>
        <w:tabs>
          <w:tab w:val="num" w:pos="2880"/>
        </w:tabs>
        <w:ind w:left="2880" w:hanging="360"/>
      </w:pPr>
      <w:rPr>
        <w:rFonts w:ascii="Noto Sans Symbols" w:hAnsi="Noto Sans Symbols" w:hint="default"/>
      </w:rPr>
    </w:lvl>
    <w:lvl w:ilvl="4" w:tplc="F732D832" w:tentative="1">
      <w:start w:val="1"/>
      <w:numFmt w:val="bullet"/>
      <w:lvlText w:val="▪"/>
      <w:lvlJc w:val="left"/>
      <w:pPr>
        <w:tabs>
          <w:tab w:val="num" w:pos="3600"/>
        </w:tabs>
        <w:ind w:left="3600" w:hanging="360"/>
      </w:pPr>
      <w:rPr>
        <w:rFonts w:ascii="Noto Sans Symbols" w:hAnsi="Noto Sans Symbols" w:hint="default"/>
      </w:rPr>
    </w:lvl>
    <w:lvl w:ilvl="5" w:tplc="96A0E7EC" w:tentative="1">
      <w:start w:val="1"/>
      <w:numFmt w:val="bullet"/>
      <w:lvlText w:val="▪"/>
      <w:lvlJc w:val="left"/>
      <w:pPr>
        <w:tabs>
          <w:tab w:val="num" w:pos="4320"/>
        </w:tabs>
        <w:ind w:left="4320" w:hanging="360"/>
      </w:pPr>
      <w:rPr>
        <w:rFonts w:ascii="Noto Sans Symbols" w:hAnsi="Noto Sans Symbols" w:hint="default"/>
      </w:rPr>
    </w:lvl>
    <w:lvl w:ilvl="6" w:tplc="D45EAD54" w:tentative="1">
      <w:start w:val="1"/>
      <w:numFmt w:val="bullet"/>
      <w:lvlText w:val="▪"/>
      <w:lvlJc w:val="left"/>
      <w:pPr>
        <w:tabs>
          <w:tab w:val="num" w:pos="5040"/>
        </w:tabs>
        <w:ind w:left="5040" w:hanging="360"/>
      </w:pPr>
      <w:rPr>
        <w:rFonts w:ascii="Noto Sans Symbols" w:hAnsi="Noto Sans Symbols" w:hint="default"/>
      </w:rPr>
    </w:lvl>
    <w:lvl w:ilvl="7" w:tplc="EE548CF2" w:tentative="1">
      <w:start w:val="1"/>
      <w:numFmt w:val="bullet"/>
      <w:lvlText w:val="▪"/>
      <w:lvlJc w:val="left"/>
      <w:pPr>
        <w:tabs>
          <w:tab w:val="num" w:pos="5760"/>
        </w:tabs>
        <w:ind w:left="5760" w:hanging="360"/>
      </w:pPr>
      <w:rPr>
        <w:rFonts w:ascii="Noto Sans Symbols" w:hAnsi="Noto Sans Symbols" w:hint="default"/>
      </w:rPr>
    </w:lvl>
    <w:lvl w:ilvl="8" w:tplc="B42A6214" w:tentative="1">
      <w:start w:val="1"/>
      <w:numFmt w:val="bullet"/>
      <w:lvlText w:val="▪"/>
      <w:lvlJc w:val="left"/>
      <w:pPr>
        <w:tabs>
          <w:tab w:val="num" w:pos="6480"/>
        </w:tabs>
        <w:ind w:left="6480" w:hanging="360"/>
      </w:pPr>
      <w:rPr>
        <w:rFonts w:ascii="Noto Sans Symbols" w:hAnsi="Noto Sans Symbols" w:hint="default"/>
      </w:rPr>
    </w:lvl>
  </w:abstractNum>
  <w:abstractNum w:abstractNumId="2" w15:restartNumberingAfterBreak="0">
    <w:nsid w:val="59195BB1"/>
    <w:multiLevelType w:val="hybridMultilevel"/>
    <w:tmpl w:val="AB8239EC"/>
    <w:lvl w:ilvl="0" w:tplc="88AE1120">
      <w:start w:val="1"/>
      <w:numFmt w:val="bullet"/>
      <w:lvlText w:val=""/>
      <w:lvlJc w:val="left"/>
      <w:pPr>
        <w:tabs>
          <w:tab w:val="num" w:pos="720"/>
        </w:tabs>
        <w:ind w:left="720" w:hanging="360"/>
      </w:pPr>
      <w:rPr>
        <w:rFonts w:ascii="Wingdings" w:hAnsi="Wingdings" w:hint="default"/>
      </w:rPr>
    </w:lvl>
    <w:lvl w:ilvl="1" w:tplc="4B66F6A2" w:tentative="1">
      <w:start w:val="1"/>
      <w:numFmt w:val="bullet"/>
      <w:lvlText w:val=""/>
      <w:lvlJc w:val="left"/>
      <w:pPr>
        <w:tabs>
          <w:tab w:val="num" w:pos="1440"/>
        </w:tabs>
        <w:ind w:left="1440" w:hanging="360"/>
      </w:pPr>
      <w:rPr>
        <w:rFonts w:ascii="Wingdings" w:hAnsi="Wingdings" w:hint="default"/>
      </w:rPr>
    </w:lvl>
    <w:lvl w:ilvl="2" w:tplc="4962B9FC" w:tentative="1">
      <w:start w:val="1"/>
      <w:numFmt w:val="bullet"/>
      <w:lvlText w:val=""/>
      <w:lvlJc w:val="left"/>
      <w:pPr>
        <w:tabs>
          <w:tab w:val="num" w:pos="2160"/>
        </w:tabs>
        <w:ind w:left="2160" w:hanging="360"/>
      </w:pPr>
      <w:rPr>
        <w:rFonts w:ascii="Wingdings" w:hAnsi="Wingdings" w:hint="default"/>
      </w:rPr>
    </w:lvl>
    <w:lvl w:ilvl="3" w:tplc="85C8CCA4" w:tentative="1">
      <w:start w:val="1"/>
      <w:numFmt w:val="bullet"/>
      <w:lvlText w:val=""/>
      <w:lvlJc w:val="left"/>
      <w:pPr>
        <w:tabs>
          <w:tab w:val="num" w:pos="2880"/>
        </w:tabs>
        <w:ind w:left="2880" w:hanging="360"/>
      </w:pPr>
      <w:rPr>
        <w:rFonts w:ascii="Wingdings" w:hAnsi="Wingdings" w:hint="default"/>
      </w:rPr>
    </w:lvl>
    <w:lvl w:ilvl="4" w:tplc="443C0BA4" w:tentative="1">
      <w:start w:val="1"/>
      <w:numFmt w:val="bullet"/>
      <w:lvlText w:val=""/>
      <w:lvlJc w:val="left"/>
      <w:pPr>
        <w:tabs>
          <w:tab w:val="num" w:pos="3600"/>
        </w:tabs>
        <w:ind w:left="3600" w:hanging="360"/>
      </w:pPr>
      <w:rPr>
        <w:rFonts w:ascii="Wingdings" w:hAnsi="Wingdings" w:hint="default"/>
      </w:rPr>
    </w:lvl>
    <w:lvl w:ilvl="5" w:tplc="D8FA76D2" w:tentative="1">
      <w:start w:val="1"/>
      <w:numFmt w:val="bullet"/>
      <w:lvlText w:val=""/>
      <w:lvlJc w:val="left"/>
      <w:pPr>
        <w:tabs>
          <w:tab w:val="num" w:pos="4320"/>
        </w:tabs>
        <w:ind w:left="4320" w:hanging="360"/>
      </w:pPr>
      <w:rPr>
        <w:rFonts w:ascii="Wingdings" w:hAnsi="Wingdings" w:hint="default"/>
      </w:rPr>
    </w:lvl>
    <w:lvl w:ilvl="6" w:tplc="E9EA7DE4" w:tentative="1">
      <w:start w:val="1"/>
      <w:numFmt w:val="bullet"/>
      <w:lvlText w:val=""/>
      <w:lvlJc w:val="left"/>
      <w:pPr>
        <w:tabs>
          <w:tab w:val="num" w:pos="5040"/>
        </w:tabs>
        <w:ind w:left="5040" w:hanging="360"/>
      </w:pPr>
      <w:rPr>
        <w:rFonts w:ascii="Wingdings" w:hAnsi="Wingdings" w:hint="default"/>
      </w:rPr>
    </w:lvl>
    <w:lvl w:ilvl="7" w:tplc="124EC00A" w:tentative="1">
      <w:start w:val="1"/>
      <w:numFmt w:val="bullet"/>
      <w:lvlText w:val=""/>
      <w:lvlJc w:val="left"/>
      <w:pPr>
        <w:tabs>
          <w:tab w:val="num" w:pos="5760"/>
        </w:tabs>
        <w:ind w:left="5760" w:hanging="360"/>
      </w:pPr>
      <w:rPr>
        <w:rFonts w:ascii="Wingdings" w:hAnsi="Wingdings" w:hint="default"/>
      </w:rPr>
    </w:lvl>
    <w:lvl w:ilvl="8" w:tplc="D1E833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8F4AAB"/>
    <w:multiLevelType w:val="hybridMultilevel"/>
    <w:tmpl w:val="8C56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7071">
    <w:abstractNumId w:val="3"/>
  </w:num>
  <w:num w:numId="2" w16cid:durableId="1078475338">
    <w:abstractNumId w:val="1"/>
  </w:num>
  <w:num w:numId="3" w16cid:durableId="1265261885">
    <w:abstractNumId w:val="2"/>
  </w:num>
  <w:num w:numId="4" w16cid:durableId="168933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07"/>
    <w:rsid w:val="0002366E"/>
    <w:rsid w:val="00090E61"/>
    <w:rsid w:val="00092840"/>
    <w:rsid w:val="000C454D"/>
    <w:rsid w:val="00147FFB"/>
    <w:rsid w:val="0018215E"/>
    <w:rsid w:val="00182F88"/>
    <w:rsid w:val="00201D09"/>
    <w:rsid w:val="00231139"/>
    <w:rsid w:val="002409A3"/>
    <w:rsid w:val="00256A83"/>
    <w:rsid w:val="00280DAD"/>
    <w:rsid w:val="002B7AB2"/>
    <w:rsid w:val="003E7580"/>
    <w:rsid w:val="00446F2A"/>
    <w:rsid w:val="0046235C"/>
    <w:rsid w:val="005539C4"/>
    <w:rsid w:val="00757FC7"/>
    <w:rsid w:val="007662F3"/>
    <w:rsid w:val="007E02FC"/>
    <w:rsid w:val="007F2B5A"/>
    <w:rsid w:val="008A3846"/>
    <w:rsid w:val="008C5A9D"/>
    <w:rsid w:val="008F3579"/>
    <w:rsid w:val="00910C4F"/>
    <w:rsid w:val="00966B11"/>
    <w:rsid w:val="00B2206A"/>
    <w:rsid w:val="00BF5FE9"/>
    <w:rsid w:val="00C02CD1"/>
    <w:rsid w:val="00D003D7"/>
    <w:rsid w:val="00D11B0D"/>
    <w:rsid w:val="00DC2A08"/>
    <w:rsid w:val="00E03318"/>
    <w:rsid w:val="00F86DDD"/>
    <w:rsid w:val="00FD2167"/>
    <w:rsid w:val="00FF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E51F"/>
  <w15:chartTrackingRefBased/>
  <w15:docId w15:val="{9D8F5F23-B2ED-4B12-979F-E2F982FE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139"/>
    <w:rPr>
      <w:color w:val="0563C1" w:themeColor="hyperlink"/>
      <w:u w:val="single"/>
    </w:rPr>
  </w:style>
  <w:style w:type="character" w:styleId="UnresolvedMention">
    <w:name w:val="Unresolved Mention"/>
    <w:basedOn w:val="DefaultParagraphFont"/>
    <w:uiPriority w:val="99"/>
    <w:semiHidden/>
    <w:unhideWhenUsed/>
    <w:rsid w:val="00231139"/>
    <w:rPr>
      <w:color w:val="605E5C"/>
      <w:shd w:val="clear" w:color="auto" w:fill="E1DFDD"/>
    </w:rPr>
  </w:style>
  <w:style w:type="paragraph" w:styleId="ListParagraph">
    <w:name w:val="List Paragraph"/>
    <w:basedOn w:val="Normal"/>
    <w:uiPriority w:val="34"/>
    <w:qFormat/>
    <w:rsid w:val="008A3846"/>
    <w:pPr>
      <w:ind w:left="720"/>
      <w:contextualSpacing/>
    </w:pPr>
  </w:style>
  <w:style w:type="paragraph" w:styleId="Header">
    <w:name w:val="header"/>
    <w:basedOn w:val="Normal"/>
    <w:link w:val="HeaderChar"/>
    <w:uiPriority w:val="99"/>
    <w:unhideWhenUsed/>
    <w:rsid w:val="00201D09"/>
    <w:pPr>
      <w:tabs>
        <w:tab w:val="center" w:pos="4680"/>
        <w:tab w:val="right" w:pos="9360"/>
      </w:tabs>
      <w:spacing w:line="240" w:lineRule="auto"/>
    </w:pPr>
  </w:style>
  <w:style w:type="character" w:customStyle="1" w:styleId="HeaderChar">
    <w:name w:val="Header Char"/>
    <w:basedOn w:val="DefaultParagraphFont"/>
    <w:link w:val="Header"/>
    <w:uiPriority w:val="99"/>
    <w:rsid w:val="00201D09"/>
  </w:style>
  <w:style w:type="paragraph" w:styleId="Footer">
    <w:name w:val="footer"/>
    <w:basedOn w:val="Normal"/>
    <w:link w:val="FooterChar"/>
    <w:uiPriority w:val="99"/>
    <w:unhideWhenUsed/>
    <w:rsid w:val="00201D09"/>
    <w:pPr>
      <w:tabs>
        <w:tab w:val="center" w:pos="4680"/>
        <w:tab w:val="right" w:pos="9360"/>
      </w:tabs>
      <w:spacing w:line="240" w:lineRule="auto"/>
    </w:pPr>
  </w:style>
  <w:style w:type="character" w:customStyle="1" w:styleId="FooterChar">
    <w:name w:val="Footer Char"/>
    <w:basedOn w:val="DefaultParagraphFont"/>
    <w:link w:val="Footer"/>
    <w:uiPriority w:val="99"/>
    <w:rsid w:val="0020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8128">
      <w:bodyDiv w:val="1"/>
      <w:marLeft w:val="0"/>
      <w:marRight w:val="0"/>
      <w:marTop w:val="0"/>
      <w:marBottom w:val="0"/>
      <w:divBdr>
        <w:top w:val="none" w:sz="0" w:space="0" w:color="auto"/>
        <w:left w:val="none" w:sz="0" w:space="0" w:color="auto"/>
        <w:bottom w:val="none" w:sz="0" w:space="0" w:color="auto"/>
        <w:right w:val="none" w:sz="0" w:space="0" w:color="auto"/>
      </w:divBdr>
    </w:div>
    <w:div w:id="6879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po@treatycounci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hchr-srtoxicshr@un.org"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mmer@treatycouncil.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E967BDFB-1F65-4AB7-954B-D788C638A1B9}"/>
</file>

<file path=customXml/itemProps2.xml><?xml version="1.0" encoding="utf-8"?>
<ds:datastoreItem xmlns:ds="http://schemas.openxmlformats.org/officeDocument/2006/customXml" ds:itemID="{A2D0439E-E737-4AB1-8986-6809FC496BE9}"/>
</file>

<file path=customXml/itemProps3.xml><?xml version="1.0" encoding="utf-8"?>
<ds:datastoreItem xmlns:ds="http://schemas.openxmlformats.org/officeDocument/2006/customXml" ds:itemID="{8F499289-3365-4C88-8DE9-68F974490C3B}"/>
</file>

<file path=docProps/app.xml><?xml version="1.0" encoding="utf-8"?>
<Properties xmlns="http://schemas.openxmlformats.org/officeDocument/2006/extended-properties" xmlns:vt="http://schemas.openxmlformats.org/officeDocument/2006/docPropsVTypes">
  <Template>Normal</Template>
  <TotalTime>219</TotalTime>
  <Pages>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Blaze Aubrey</dc:creator>
  <cp:keywords/>
  <dc:description/>
  <cp:lastModifiedBy>Summer Blaze Aubrey</cp:lastModifiedBy>
  <cp:revision>1</cp:revision>
  <dcterms:created xsi:type="dcterms:W3CDTF">2022-04-26T01:15:00Z</dcterms:created>
  <dcterms:modified xsi:type="dcterms:W3CDTF">2022-04-26T05:25:00Z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