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615F34" w:rsidRDefault="00446DE4" w:rsidP="00615F34">
            <w:pPr>
              <w:tabs>
                <w:tab w:val="right" w:pos="850"/>
                <w:tab w:val="left" w:pos="1134"/>
                <w:tab w:val="right" w:leader="dot" w:pos="8504"/>
              </w:tabs>
              <w:spacing w:line="20" w:lineRule="exact"/>
              <w:rPr>
                <w:sz w:val="2"/>
              </w:rPr>
            </w:pPr>
            <w:bookmarkStart w:id="0" w:name="_GoBack"/>
            <w:bookmarkEnd w:id="0"/>
          </w:p>
          <w:p w:rsidR="00615F34" w:rsidRPr="00E806EE" w:rsidRDefault="00615F3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BD6537" w:rsidP="00BD6537">
            <w:pPr>
              <w:jc w:val="right"/>
            </w:pPr>
            <w:r w:rsidRPr="00BD6537">
              <w:rPr>
                <w:sz w:val="40"/>
              </w:rPr>
              <w:t>A</w:t>
            </w:r>
            <w:r>
              <w:t>/HRC/30/5/Add.1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9E2581"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BD6537" w:rsidP="00BD6537">
            <w:pPr>
              <w:spacing w:before="240" w:line="240" w:lineRule="exact"/>
            </w:pPr>
            <w:r>
              <w:t>Distr.: General</w:t>
            </w:r>
          </w:p>
          <w:p w:rsidR="00BD6537" w:rsidRDefault="009E2581" w:rsidP="00BD6537">
            <w:pPr>
              <w:spacing w:line="240" w:lineRule="exact"/>
            </w:pPr>
            <w:r>
              <w:t>7</w:t>
            </w:r>
            <w:r w:rsidR="00BD6537">
              <w:t xml:space="preserve"> September 2015</w:t>
            </w:r>
          </w:p>
          <w:p w:rsidR="00BD6537" w:rsidRDefault="00BD6537" w:rsidP="00BD6537">
            <w:pPr>
              <w:spacing w:line="240" w:lineRule="exact"/>
            </w:pPr>
          </w:p>
          <w:p w:rsidR="00BD6537" w:rsidRDefault="00BD6537" w:rsidP="00BD6537">
            <w:pPr>
              <w:spacing w:line="240" w:lineRule="exact"/>
            </w:pPr>
            <w:r>
              <w:t>Original: English</w:t>
            </w:r>
          </w:p>
        </w:tc>
      </w:tr>
    </w:tbl>
    <w:p w:rsidR="00BD6537" w:rsidRPr="00772BB5" w:rsidRDefault="00BD6537" w:rsidP="00BD6537">
      <w:pPr>
        <w:spacing w:before="120"/>
        <w:rPr>
          <w:b/>
          <w:bCs/>
          <w:sz w:val="24"/>
          <w:szCs w:val="24"/>
        </w:rPr>
      </w:pPr>
      <w:r w:rsidRPr="00772BB5">
        <w:rPr>
          <w:b/>
          <w:bCs/>
          <w:sz w:val="24"/>
          <w:szCs w:val="24"/>
        </w:rPr>
        <w:t>Human Rights Council</w:t>
      </w:r>
    </w:p>
    <w:p w:rsidR="00BD6537" w:rsidRPr="00772BB5" w:rsidRDefault="00BD6537" w:rsidP="00BD6537">
      <w:pPr>
        <w:rPr>
          <w:b/>
          <w:bCs/>
        </w:rPr>
      </w:pPr>
      <w:r>
        <w:rPr>
          <w:b/>
          <w:bCs/>
        </w:rPr>
        <w:t>Thirtieth</w:t>
      </w:r>
      <w:r w:rsidRPr="00772BB5">
        <w:rPr>
          <w:b/>
          <w:bCs/>
        </w:rPr>
        <w:t xml:space="preserve"> session</w:t>
      </w:r>
    </w:p>
    <w:p w:rsidR="00BD6537" w:rsidRDefault="00BD6537" w:rsidP="00BD6537">
      <w:r>
        <w:t>Agenda item 6</w:t>
      </w:r>
    </w:p>
    <w:p w:rsidR="00BD6537" w:rsidRPr="00B2636A" w:rsidRDefault="00BD6537" w:rsidP="00BD6537">
      <w:pPr>
        <w:rPr>
          <w:b/>
        </w:rPr>
      </w:pPr>
      <w:r>
        <w:rPr>
          <w:b/>
        </w:rPr>
        <w:t>Universal Periodic Review</w:t>
      </w:r>
    </w:p>
    <w:p w:rsidR="00BD6537" w:rsidRPr="00772BB5" w:rsidRDefault="00BD6537" w:rsidP="00BD6537">
      <w:pPr>
        <w:pStyle w:val="HChG"/>
      </w:pPr>
      <w:r w:rsidRPr="00772BB5">
        <w:tab/>
      </w:r>
      <w:r w:rsidRPr="00772BB5">
        <w:tab/>
      </w:r>
      <w:r>
        <w:t>R</w:t>
      </w:r>
      <w:r w:rsidRPr="00772BB5">
        <w:t>eport of the Working Group on the Universal Periodic Review</w:t>
      </w:r>
      <w:r w:rsidRPr="00AC130F">
        <w:rPr>
          <w:b w:val="0"/>
          <w:sz w:val="20"/>
          <w:vertAlign w:val="superscript"/>
        </w:rPr>
        <w:footnoteReference w:customMarkFollows="1" w:id="2"/>
        <w:t>*</w:t>
      </w:r>
    </w:p>
    <w:p w:rsidR="00BD6537" w:rsidRPr="00D053C7" w:rsidRDefault="00BD6537" w:rsidP="00BD6537">
      <w:pPr>
        <w:pStyle w:val="HChG"/>
      </w:pPr>
      <w:r w:rsidRPr="00772BB5">
        <w:tab/>
      </w:r>
      <w:r w:rsidRPr="00772BB5">
        <w:tab/>
      </w:r>
      <w:r>
        <w:t>Malawi</w:t>
      </w:r>
    </w:p>
    <w:p w:rsidR="00BD6537" w:rsidRDefault="00BD6537" w:rsidP="00BD6537">
      <w:pPr>
        <w:pStyle w:val="H1G"/>
      </w:pPr>
      <w:r>
        <w:tab/>
      </w:r>
      <w:r>
        <w:tab/>
        <w:t>Addendum</w:t>
      </w:r>
    </w:p>
    <w:p w:rsidR="00BD6537" w:rsidRDefault="00BD6537" w:rsidP="00BD6537">
      <w:pPr>
        <w:pStyle w:val="H1G"/>
      </w:pPr>
      <w:r>
        <w:tab/>
      </w:r>
      <w:r>
        <w:tab/>
      </w:r>
      <w:r w:rsidRPr="00F01A87">
        <w:t>Views on conclusions and/or recommendations, voluntary commitments and replies presented by the State under review</w:t>
      </w:r>
    </w:p>
    <w:p w:rsidR="00B95649" w:rsidRPr="00B95649" w:rsidRDefault="00BD6537" w:rsidP="00B95649">
      <w:pPr>
        <w:pStyle w:val="SingleTxtG"/>
        <w:ind w:firstLine="567"/>
        <w:rPr>
          <w:lang w:val="en-ZA"/>
        </w:rPr>
      </w:pPr>
      <w:r>
        <w:br w:type="page"/>
      </w:r>
      <w:r w:rsidR="00B95649" w:rsidRPr="00B95649">
        <w:rPr>
          <w:lang w:val="en-ZA"/>
        </w:rPr>
        <w:lastRenderedPageBreak/>
        <w:t>The Malawi Government hereby presents its position on the thirteen (13) recommendations which were pended at the May 2015 session:</w:t>
      </w:r>
    </w:p>
    <w:p w:rsidR="00B95649" w:rsidRDefault="00B95649" w:rsidP="00B95649">
      <w:pPr>
        <w:pStyle w:val="SingleTxtG"/>
        <w:tabs>
          <w:tab w:val="left" w:pos="2552"/>
        </w:tabs>
        <w:ind w:firstLine="567"/>
      </w:pPr>
      <w:r w:rsidRPr="00B95649">
        <w:t>112.1.</w:t>
      </w:r>
      <w:r w:rsidRPr="00B95649">
        <w:tab/>
        <w:t>Ratify the Convention on the Protection of the Rights of All Migrant Workers and Members of their Families (Ghana)</w:t>
      </w:r>
      <w:r w:rsidR="00CF3DD3">
        <w:t xml:space="preserve"> – </w:t>
      </w:r>
      <w:r w:rsidRPr="00B95649">
        <w:t>NOTED</w:t>
      </w:r>
      <w:r w:rsidR="00CF3DD3">
        <w:t>;</w:t>
      </w:r>
    </w:p>
    <w:p w:rsidR="00B95649" w:rsidRDefault="00B95649" w:rsidP="00B95649">
      <w:pPr>
        <w:pStyle w:val="SingleTxtG"/>
        <w:tabs>
          <w:tab w:val="left" w:pos="2552"/>
        </w:tabs>
        <w:ind w:firstLine="567"/>
      </w:pPr>
      <w:r w:rsidRPr="00B95649">
        <w:t>112.2.</w:t>
      </w:r>
      <w:r w:rsidRPr="00B95649">
        <w:tab/>
        <w:t>Strengthen its legal framework by considering signing and ratifying the International Convention on the Protection of the Rights of All Migrant Workers and Members of their Families (Indonesia)</w:t>
      </w:r>
      <w:r w:rsidR="00CF3DD3">
        <w:t xml:space="preserve"> – </w:t>
      </w:r>
      <w:r w:rsidRPr="00B95649">
        <w:t>NOTED</w:t>
      </w:r>
      <w:r w:rsidR="00CF3DD3">
        <w:t>;</w:t>
      </w:r>
    </w:p>
    <w:p w:rsidR="00B95649" w:rsidRDefault="00B95649" w:rsidP="00B95649">
      <w:pPr>
        <w:pStyle w:val="SingleTxtG"/>
        <w:tabs>
          <w:tab w:val="left" w:pos="2552"/>
        </w:tabs>
        <w:ind w:firstLine="567"/>
      </w:pPr>
      <w:r>
        <w:t>112.3.</w:t>
      </w:r>
      <w:r w:rsidRPr="00B95649">
        <w:tab/>
        <w:t>Consider ratifying ICRMW (Philippines)</w:t>
      </w:r>
      <w:r w:rsidR="00CF3DD3">
        <w:t xml:space="preserve"> – </w:t>
      </w:r>
      <w:r w:rsidRPr="00B95649">
        <w:t>NOTED</w:t>
      </w:r>
      <w:r w:rsidR="00CF3DD3">
        <w:t>;</w:t>
      </w:r>
    </w:p>
    <w:p w:rsidR="00B95649" w:rsidRDefault="00B95649" w:rsidP="00B95649">
      <w:pPr>
        <w:pStyle w:val="SingleTxtG"/>
        <w:tabs>
          <w:tab w:val="left" w:pos="2552"/>
        </w:tabs>
        <w:ind w:firstLine="567"/>
      </w:pPr>
      <w:r w:rsidRPr="00B95649">
        <w:t>112.4.</w:t>
      </w:r>
      <w:r w:rsidRPr="00B95649">
        <w:tab/>
        <w:t xml:space="preserve">Urgently address the inconsistency in the age of marriage in the Marriage Act and the Constitution (United Kingdom of Great Britain and Northern Ireland)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112.5.</w:t>
      </w:r>
      <w:r w:rsidRPr="00B95649">
        <w:tab/>
        <w:t xml:space="preserve">Decriminalize defamation and incorporate into the Civil Code (Ghana) </w:t>
      </w:r>
      <w:r w:rsidR="00CF3DD3">
        <w:t xml:space="preserve">– </w:t>
      </w:r>
      <w:r w:rsidRPr="00B95649">
        <w:t>NOTED</w:t>
      </w:r>
      <w:r w:rsidR="00CF3DD3">
        <w:t>;</w:t>
      </w:r>
    </w:p>
    <w:p w:rsidR="00B95649" w:rsidRDefault="00B95649" w:rsidP="00B95649">
      <w:pPr>
        <w:pStyle w:val="SingleTxtG"/>
        <w:tabs>
          <w:tab w:val="left" w:pos="2552"/>
        </w:tabs>
        <w:ind w:firstLine="567"/>
      </w:pPr>
      <w:r w:rsidRPr="00B95649">
        <w:t>112.6.</w:t>
      </w:r>
      <w:r w:rsidRPr="00B95649">
        <w:tab/>
        <w:t>Harmonise laws on abortion with maternal health and chil</w:t>
      </w:r>
      <w:r>
        <w:t>d marriage (Republic of Congo)</w:t>
      </w:r>
      <w:r w:rsidR="00CF3DD3">
        <w:t xml:space="preserve"> – </w:t>
      </w:r>
      <w:r w:rsidRPr="00B95649">
        <w:t>SUPPORTED</w:t>
      </w:r>
      <w:r w:rsidR="00CF3DD3">
        <w:t>;</w:t>
      </w:r>
    </w:p>
    <w:p w:rsidR="00B95649" w:rsidRDefault="00B95649" w:rsidP="00B95649">
      <w:pPr>
        <w:pStyle w:val="SingleTxtG"/>
        <w:tabs>
          <w:tab w:val="left" w:pos="2552"/>
        </w:tabs>
        <w:ind w:firstLine="567"/>
      </w:pPr>
      <w:r w:rsidRPr="00B95649">
        <w:t>112.7.</w:t>
      </w:r>
      <w:r w:rsidRPr="00B95649">
        <w:tab/>
        <w:t>Issue standing invitations to all special procedures (Ghana)</w:t>
      </w:r>
      <w:r>
        <w:t xml:space="preserve">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112.8.</w:t>
      </w:r>
      <w:r w:rsidRPr="00B95649">
        <w:tab/>
        <w:t>Issue a standing invitation to the Special Procedures of the Human Rights Council and ensure an enabling environment for the activities of journalists, human rights defenders and other civil society actors (Tunisia)</w:t>
      </w:r>
      <w:r>
        <w:t xml:space="preserve">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112.9.</w:t>
      </w:r>
      <w:r w:rsidRPr="00B95649">
        <w:tab/>
        <w:t>Extend a standing invitation to the special pro</w:t>
      </w:r>
      <w:r>
        <w:t xml:space="preserve">cedures mandate holders (Chad)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112.10.</w:t>
      </w:r>
      <w:r w:rsidRPr="00B95649">
        <w:tab/>
        <w:t>Consider extending a standing invitation to the Special Proc</w:t>
      </w:r>
      <w:r>
        <w:t xml:space="preserve">edures mandate holders (Kenya)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112.11.</w:t>
      </w:r>
      <w:r w:rsidRPr="00B95649">
        <w:tab/>
        <w:t>Issue a standing invitation to all mandate holders of the s</w:t>
      </w:r>
      <w:r>
        <w:t xml:space="preserve">pecial procedures (Madagascar) </w:t>
      </w:r>
      <w:r w:rsidR="00CF3DD3">
        <w:t xml:space="preserve">– </w:t>
      </w:r>
      <w:r w:rsidRPr="00B95649">
        <w:t>SUPPORTED</w:t>
      </w:r>
      <w:r w:rsidR="00CF3DD3">
        <w:t>;</w:t>
      </w:r>
    </w:p>
    <w:p w:rsidR="00B95649" w:rsidRDefault="00B95649" w:rsidP="00B95649">
      <w:pPr>
        <w:pStyle w:val="SingleTxtG"/>
        <w:tabs>
          <w:tab w:val="left" w:pos="2552"/>
        </w:tabs>
        <w:ind w:firstLine="567"/>
      </w:pPr>
      <w:r w:rsidRPr="00B95649">
        <w:t>112.12.</w:t>
      </w:r>
      <w:r w:rsidRPr="00B95649">
        <w:tab/>
        <w:t>Strengthen efforts to reduce maternal mortality, including by reviewing the legislation on abortion (Slovenia)</w:t>
      </w:r>
      <w:r>
        <w:t xml:space="preserve"> </w:t>
      </w:r>
      <w:r w:rsidR="00CF3DD3">
        <w:t xml:space="preserve">– </w:t>
      </w:r>
      <w:r w:rsidRPr="00B95649">
        <w:t>SUPPORTED</w:t>
      </w:r>
      <w:r w:rsidR="00CF3DD3">
        <w:t>;</w:t>
      </w:r>
    </w:p>
    <w:p w:rsidR="00B95649" w:rsidRPr="00B95649" w:rsidRDefault="00B95649" w:rsidP="00B95649">
      <w:pPr>
        <w:pStyle w:val="SingleTxtG"/>
        <w:tabs>
          <w:tab w:val="left" w:pos="2552"/>
        </w:tabs>
        <w:ind w:firstLine="567"/>
      </w:pPr>
      <w:r w:rsidRPr="00B95649">
        <w:t>112.13.</w:t>
      </w:r>
      <w:r w:rsidRPr="00B95649">
        <w:tab/>
        <w:t>Implement, as a party to the Maputo protocol, the provisions related to medical abortion in cases of sexual assault, rape, incest and where the continued pregnancy endangers the mental and physical health of the mother or the life of the mother or the foetus (Norway)</w:t>
      </w:r>
      <w:r>
        <w:t xml:space="preserve"> </w:t>
      </w:r>
      <w:r w:rsidR="00CF3DD3">
        <w:t xml:space="preserve">– </w:t>
      </w:r>
      <w:r w:rsidRPr="00B95649">
        <w:t>SUPPORTED</w:t>
      </w:r>
      <w:r w:rsidR="00CF3DD3">
        <w:t>.</w:t>
      </w:r>
    </w:p>
    <w:p w:rsidR="00B95649" w:rsidRPr="00B95649" w:rsidRDefault="00B95649" w:rsidP="00B95649">
      <w:pPr>
        <w:pStyle w:val="SingleTxtG"/>
        <w:spacing w:before="240" w:after="0"/>
        <w:jc w:val="center"/>
        <w:rPr>
          <w:u w:val="single"/>
        </w:rPr>
      </w:pPr>
      <w:r>
        <w:rPr>
          <w:u w:val="single"/>
        </w:rPr>
        <w:tab/>
      </w:r>
      <w:r>
        <w:rPr>
          <w:u w:val="single"/>
        </w:rPr>
        <w:tab/>
      </w:r>
      <w:r>
        <w:rPr>
          <w:u w:val="single"/>
        </w:rPr>
        <w:tab/>
      </w:r>
    </w:p>
    <w:sectPr w:rsidR="00B95649" w:rsidRPr="00B95649" w:rsidSect="00615F34">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F2" w:rsidRDefault="00961FF2"/>
  </w:endnote>
  <w:endnote w:type="continuationSeparator" w:id="0">
    <w:p w:rsidR="00961FF2" w:rsidRDefault="00961FF2"/>
  </w:endnote>
  <w:endnote w:type="continuationNotice" w:id="1">
    <w:p w:rsidR="00961FF2" w:rsidRDefault="00961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37" w:rsidRPr="00BD6537" w:rsidRDefault="00BD6537" w:rsidP="00BD6537">
    <w:pPr>
      <w:pStyle w:val="Footer"/>
      <w:tabs>
        <w:tab w:val="right" w:pos="9638"/>
      </w:tabs>
    </w:pPr>
    <w:r w:rsidRPr="00BD6537">
      <w:rPr>
        <w:b/>
        <w:sz w:val="18"/>
      </w:rPr>
      <w:fldChar w:fldCharType="begin"/>
    </w:r>
    <w:r w:rsidRPr="00BD6537">
      <w:rPr>
        <w:b/>
        <w:sz w:val="18"/>
      </w:rPr>
      <w:instrText xml:space="preserve"> PAGE  \* MERGEFORMAT </w:instrText>
    </w:r>
    <w:r w:rsidRPr="00BD6537">
      <w:rPr>
        <w:b/>
        <w:sz w:val="18"/>
      </w:rPr>
      <w:fldChar w:fldCharType="separate"/>
    </w:r>
    <w:r w:rsidR="00005A54">
      <w:rPr>
        <w:b/>
        <w:noProof/>
        <w:sz w:val="18"/>
      </w:rPr>
      <w:t>2</w:t>
    </w:r>
    <w:r w:rsidRPr="00BD6537">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37" w:rsidRPr="00BD6537" w:rsidRDefault="00BD6537" w:rsidP="00BD6537">
    <w:pPr>
      <w:pStyle w:val="Footer"/>
      <w:tabs>
        <w:tab w:val="right" w:pos="9638"/>
      </w:tabs>
      <w:rPr>
        <w:b/>
        <w:sz w:val="18"/>
      </w:rPr>
    </w:pPr>
    <w:r>
      <w:tab/>
    </w:r>
    <w:r w:rsidRPr="00BD6537">
      <w:rPr>
        <w:b/>
        <w:sz w:val="18"/>
      </w:rPr>
      <w:fldChar w:fldCharType="begin"/>
    </w:r>
    <w:r w:rsidRPr="00BD6537">
      <w:rPr>
        <w:b/>
        <w:sz w:val="18"/>
      </w:rPr>
      <w:instrText xml:space="preserve"> PAGE  \* MERGEFORMAT </w:instrText>
    </w:r>
    <w:r w:rsidRPr="00BD6537">
      <w:rPr>
        <w:b/>
        <w:sz w:val="18"/>
      </w:rPr>
      <w:fldChar w:fldCharType="separate"/>
    </w:r>
    <w:r>
      <w:rPr>
        <w:b/>
        <w:noProof/>
        <w:sz w:val="18"/>
      </w:rPr>
      <w:t>3</w:t>
    </w:r>
    <w:r w:rsidRPr="00BD6537">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15F34" w:rsidTr="00615F34">
      <w:tc>
        <w:tcPr>
          <w:tcW w:w="3614" w:type="dxa"/>
          <w:shd w:val="clear" w:color="auto" w:fill="auto"/>
        </w:tcPr>
        <w:p w:rsidR="00615F34" w:rsidRDefault="00615F34" w:rsidP="00615F34">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GE.15-15089(E)</w:t>
          </w:r>
        </w:p>
        <w:p w:rsidR="00615F34" w:rsidRPr="00615F34" w:rsidRDefault="00615F34" w:rsidP="00615F34">
          <w:pPr>
            <w:pStyle w:val="Footer"/>
            <w:rPr>
              <w:rFonts w:ascii="Barcode 3 of 9 by request" w:hAnsi="Barcode 3 of 9 by request"/>
              <w:sz w:val="24"/>
            </w:rPr>
          </w:pPr>
          <w:r>
            <w:rPr>
              <w:rFonts w:ascii="Barcode 3 of 9 by request" w:hAnsi="Barcode 3 of 9 by request"/>
              <w:sz w:val="24"/>
            </w:rPr>
            <w:t>*1515089*</w:t>
          </w:r>
        </w:p>
      </w:tc>
      <w:tc>
        <w:tcPr>
          <w:tcW w:w="4752" w:type="dxa"/>
          <w:shd w:val="clear" w:color="auto" w:fill="auto"/>
        </w:tcPr>
        <w:p w:rsidR="00615F34" w:rsidRDefault="00615F34" w:rsidP="00615F34">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615F34" w:rsidRPr="00615F34" w:rsidRDefault="00615F34" w:rsidP="00615F3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F2" w:rsidRPr="000B175B" w:rsidRDefault="00961FF2" w:rsidP="000B175B">
      <w:pPr>
        <w:tabs>
          <w:tab w:val="right" w:pos="2155"/>
        </w:tabs>
        <w:spacing w:after="80"/>
        <w:ind w:left="680"/>
        <w:rPr>
          <w:u w:val="single"/>
        </w:rPr>
      </w:pPr>
      <w:r>
        <w:rPr>
          <w:u w:val="single"/>
        </w:rPr>
        <w:tab/>
      </w:r>
    </w:p>
  </w:footnote>
  <w:footnote w:type="continuationSeparator" w:id="0">
    <w:p w:rsidR="00961FF2" w:rsidRPr="00FC68B7" w:rsidRDefault="00961FF2" w:rsidP="00FC68B7">
      <w:pPr>
        <w:tabs>
          <w:tab w:val="left" w:pos="2155"/>
        </w:tabs>
        <w:spacing w:after="80"/>
        <w:ind w:left="680"/>
        <w:rPr>
          <w:u w:val="single"/>
        </w:rPr>
      </w:pPr>
      <w:r>
        <w:rPr>
          <w:u w:val="single"/>
        </w:rPr>
        <w:tab/>
      </w:r>
    </w:p>
  </w:footnote>
  <w:footnote w:type="continuationNotice" w:id="1">
    <w:p w:rsidR="00961FF2" w:rsidRDefault="00961FF2"/>
  </w:footnote>
  <w:footnote w:id="2">
    <w:p w:rsidR="00BD6537" w:rsidRPr="00C1236E" w:rsidRDefault="00BD6537" w:rsidP="00BD6537">
      <w:pPr>
        <w:pStyle w:val="FootnoteText"/>
        <w:rPr>
          <w:szCs w:val="18"/>
        </w:rPr>
      </w:pPr>
      <w:r>
        <w:tab/>
      </w:r>
      <w:r w:rsidRPr="00AC130F">
        <w:rPr>
          <w:rStyle w:val="FootnoteReference"/>
          <w:sz w:val="20"/>
        </w:rPr>
        <w:t>*</w:t>
      </w:r>
      <w:r>
        <w:rPr>
          <w:sz w:val="20"/>
        </w:rPr>
        <w:tab/>
      </w:r>
      <w:r w:rsidRPr="00C1236E">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37" w:rsidRPr="00BD6537" w:rsidRDefault="00BD6537">
    <w:pPr>
      <w:pStyle w:val="Header"/>
    </w:pPr>
    <w:r>
      <w:t>A/HRC/30/5/Add.1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37" w:rsidRPr="00BD6537" w:rsidRDefault="00BD6537" w:rsidP="00BD6537">
    <w:pPr>
      <w:pStyle w:val="Header"/>
      <w:jc w:val="right"/>
    </w:pPr>
    <w:r>
      <w:t>A/HRC/30/5/Add.1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ctiveWritingStyle w:appName="MSWord" w:lang="en-GB" w:vendorID="64" w:dllVersion="131077" w:nlCheck="1" w:checkStyle="1"/>
  <w:activeWritingStyle w:appName="MSWord" w:lang="en-GB" w:vendorID="64" w:dllVersion="131078" w:nlCheck="1" w:checkStyle="1"/>
  <w:activeWritingStyle w:appName="MSWord" w:lang="en-ZA"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37"/>
    <w:rsid w:val="00005A54"/>
    <w:rsid w:val="00007F7F"/>
    <w:rsid w:val="00022DB5"/>
    <w:rsid w:val="000403D1"/>
    <w:rsid w:val="000449AA"/>
    <w:rsid w:val="00050F6B"/>
    <w:rsid w:val="00072C8C"/>
    <w:rsid w:val="00073E70"/>
    <w:rsid w:val="000876EB"/>
    <w:rsid w:val="00091419"/>
    <w:rsid w:val="000931C0"/>
    <w:rsid w:val="000B01BD"/>
    <w:rsid w:val="000B175B"/>
    <w:rsid w:val="000B3A0F"/>
    <w:rsid w:val="000B4A3B"/>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822F3"/>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E333B"/>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5F34"/>
    <w:rsid w:val="006176FB"/>
    <w:rsid w:val="00640B26"/>
    <w:rsid w:val="00670741"/>
    <w:rsid w:val="00696BD6"/>
    <w:rsid w:val="006A6B9D"/>
    <w:rsid w:val="006A7392"/>
    <w:rsid w:val="006B3189"/>
    <w:rsid w:val="006B7D65"/>
    <w:rsid w:val="006D6DA6"/>
    <w:rsid w:val="006E564B"/>
    <w:rsid w:val="006F13F0"/>
    <w:rsid w:val="006F5035"/>
    <w:rsid w:val="007065EB"/>
    <w:rsid w:val="007114F4"/>
    <w:rsid w:val="00720183"/>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90452C"/>
    <w:rsid w:val="00907C3F"/>
    <w:rsid w:val="0092237C"/>
    <w:rsid w:val="0093707B"/>
    <w:rsid w:val="009400EB"/>
    <w:rsid w:val="009427E3"/>
    <w:rsid w:val="00956D9B"/>
    <w:rsid w:val="00961FF2"/>
    <w:rsid w:val="00963CBA"/>
    <w:rsid w:val="009654B7"/>
    <w:rsid w:val="00991261"/>
    <w:rsid w:val="009A0B83"/>
    <w:rsid w:val="009B3800"/>
    <w:rsid w:val="009D22AC"/>
    <w:rsid w:val="009D50DB"/>
    <w:rsid w:val="009E1C4E"/>
    <w:rsid w:val="009E2581"/>
    <w:rsid w:val="00A05E0B"/>
    <w:rsid w:val="00A1427D"/>
    <w:rsid w:val="00A24DC4"/>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5649"/>
    <w:rsid w:val="00B97FA8"/>
    <w:rsid w:val="00BC1385"/>
    <w:rsid w:val="00BC74E9"/>
    <w:rsid w:val="00BD6537"/>
    <w:rsid w:val="00BE618E"/>
    <w:rsid w:val="00C24693"/>
    <w:rsid w:val="00C35F0B"/>
    <w:rsid w:val="00C463DD"/>
    <w:rsid w:val="00C64458"/>
    <w:rsid w:val="00C745C3"/>
    <w:rsid w:val="00CA2A58"/>
    <w:rsid w:val="00CC0B55"/>
    <w:rsid w:val="00CD6995"/>
    <w:rsid w:val="00CE4A8F"/>
    <w:rsid w:val="00CF0214"/>
    <w:rsid w:val="00CF3DD3"/>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D6537"/>
    <w:rPr>
      <w:sz w:val="18"/>
      <w:lang w:eastAsia="en-US"/>
    </w:rPr>
  </w:style>
  <w:style w:type="paragraph" w:styleId="BalloonText">
    <w:name w:val="Balloon Text"/>
    <w:basedOn w:val="Normal"/>
    <w:link w:val="BalloonTextChar"/>
    <w:rsid w:val="000B01B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01BD"/>
    <w:rPr>
      <w:rFonts w:ascii="Tahoma" w:hAnsi="Tahoma" w:cs="Tahoma"/>
      <w:sz w:val="16"/>
      <w:szCs w:val="16"/>
      <w:lang w:eastAsia="en-US"/>
    </w:rPr>
  </w:style>
  <w:style w:type="character" w:styleId="CommentReference">
    <w:name w:val="annotation reference"/>
    <w:basedOn w:val="DefaultParagraphFont"/>
    <w:rsid w:val="00615F34"/>
    <w:rPr>
      <w:sz w:val="16"/>
      <w:szCs w:val="16"/>
    </w:rPr>
  </w:style>
  <w:style w:type="paragraph" w:styleId="CommentText">
    <w:name w:val="annotation text"/>
    <w:basedOn w:val="Normal"/>
    <w:link w:val="CommentTextChar"/>
    <w:rsid w:val="00615F34"/>
    <w:pPr>
      <w:spacing w:line="240" w:lineRule="auto"/>
    </w:pPr>
  </w:style>
  <w:style w:type="character" w:customStyle="1" w:styleId="CommentTextChar">
    <w:name w:val="Comment Text Char"/>
    <w:basedOn w:val="DefaultParagraphFont"/>
    <w:link w:val="CommentText"/>
    <w:rsid w:val="00615F34"/>
    <w:rPr>
      <w:lang w:eastAsia="en-US"/>
    </w:rPr>
  </w:style>
  <w:style w:type="paragraph" w:styleId="CommentSubject">
    <w:name w:val="annotation subject"/>
    <w:basedOn w:val="CommentText"/>
    <w:next w:val="CommentText"/>
    <w:link w:val="CommentSubjectChar"/>
    <w:rsid w:val="00615F34"/>
    <w:rPr>
      <w:b/>
      <w:bCs/>
    </w:rPr>
  </w:style>
  <w:style w:type="character" w:customStyle="1" w:styleId="CommentSubjectChar">
    <w:name w:val="Comment Subject Char"/>
    <w:basedOn w:val="CommentTextChar"/>
    <w:link w:val="CommentSubject"/>
    <w:rsid w:val="00615F3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BD6537"/>
    <w:rPr>
      <w:sz w:val="18"/>
      <w:lang w:eastAsia="en-US"/>
    </w:rPr>
  </w:style>
  <w:style w:type="paragraph" w:styleId="BalloonText">
    <w:name w:val="Balloon Text"/>
    <w:basedOn w:val="Normal"/>
    <w:link w:val="BalloonTextChar"/>
    <w:rsid w:val="000B01B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B01BD"/>
    <w:rPr>
      <w:rFonts w:ascii="Tahoma" w:hAnsi="Tahoma" w:cs="Tahoma"/>
      <w:sz w:val="16"/>
      <w:szCs w:val="16"/>
      <w:lang w:eastAsia="en-US"/>
    </w:rPr>
  </w:style>
  <w:style w:type="character" w:styleId="CommentReference">
    <w:name w:val="annotation reference"/>
    <w:basedOn w:val="DefaultParagraphFont"/>
    <w:rsid w:val="00615F34"/>
    <w:rPr>
      <w:sz w:val="16"/>
      <w:szCs w:val="16"/>
    </w:rPr>
  </w:style>
  <w:style w:type="paragraph" w:styleId="CommentText">
    <w:name w:val="annotation text"/>
    <w:basedOn w:val="Normal"/>
    <w:link w:val="CommentTextChar"/>
    <w:rsid w:val="00615F34"/>
    <w:pPr>
      <w:spacing w:line="240" w:lineRule="auto"/>
    </w:pPr>
  </w:style>
  <w:style w:type="character" w:customStyle="1" w:styleId="CommentTextChar">
    <w:name w:val="Comment Text Char"/>
    <w:basedOn w:val="DefaultParagraphFont"/>
    <w:link w:val="CommentText"/>
    <w:rsid w:val="00615F34"/>
    <w:rPr>
      <w:lang w:eastAsia="en-US"/>
    </w:rPr>
  </w:style>
  <w:style w:type="paragraph" w:styleId="CommentSubject">
    <w:name w:val="annotation subject"/>
    <w:basedOn w:val="CommentText"/>
    <w:next w:val="CommentText"/>
    <w:link w:val="CommentSubjectChar"/>
    <w:rsid w:val="00615F34"/>
    <w:rPr>
      <w:b/>
      <w:bCs/>
    </w:rPr>
  </w:style>
  <w:style w:type="character" w:customStyle="1" w:styleId="CommentSubjectChar">
    <w:name w:val="Comment Subject Char"/>
    <w:basedOn w:val="CommentTextChar"/>
    <w:link w:val="CommentSubject"/>
    <w:rsid w:val="00615F3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A4971-5319-4F42-BE88-B686532D4C26}"/>
</file>

<file path=customXml/itemProps2.xml><?xml version="1.0" encoding="utf-8"?>
<ds:datastoreItem xmlns:ds="http://schemas.openxmlformats.org/officeDocument/2006/customXml" ds:itemID="{95EC4762-5707-4091-8821-E90EE6F6B3B1}"/>
</file>

<file path=customXml/itemProps3.xml><?xml version="1.0" encoding="utf-8"?>
<ds:datastoreItem xmlns:ds="http://schemas.openxmlformats.org/officeDocument/2006/customXml" ds:itemID="{2DBE9630-877E-466B-A3C2-8C9E2D470ADE}"/>
</file>

<file path=customXml/itemProps4.xml><?xml version="1.0" encoding="utf-8"?>
<ds:datastoreItem xmlns:ds="http://schemas.openxmlformats.org/officeDocument/2006/customXml" ds:itemID="{360E94B7-73FC-4516-AA5F-BDB9340C0BFA}"/>
</file>

<file path=docProps/app.xml><?xml version="1.0" encoding="utf-8"?>
<Properties xmlns="http://schemas.openxmlformats.org/officeDocument/2006/extended-properties" xmlns:vt="http://schemas.openxmlformats.org/officeDocument/2006/docPropsVTypes">
  <Template>A_E.dotm</Template>
  <TotalTime>1</TotalTime>
  <Pages>2</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in English</dc:title>
  <dc:creator>Sumiko IHARA</dc:creator>
  <cp:lastModifiedBy>veronique lanz</cp:lastModifiedBy>
  <cp:revision>2</cp:revision>
  <cp:lastPrinted>2015-09-21T11:25:00Z</cp:lastPrinted>
  <dcterms:created xsi:type="dcterms:W3CDTF">2015-09-24T07:30:00Z</dcterms:created>
  <dcterms:modified xsi:type="dcterms:W3CDTF">2015-09-24T07:30:00Z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