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6D1801" w:rsidRPr="006D1801" w:rsidTr="006D1801">
        <w:trPr>
          <w:cantSplit/>
          <w:trHeight w:val="400"/>
          <w:tblHeader/>
        </w:trPr>
        <w:tc>
          <w:tcPr>
            <w:tcW w:w="4520" w:type="dxa"/>
            <w:tcBorders>
              <w:bottom w:val="dotted" w:sz="4" w:space="0" w:color="auto"/>
            </w:tcBorders>
            <w:shd w:val="clear" w:color="auto" w:fill="auto"/>
          </w:tcPr>
          <w:p w:rsidR="006D1801" w:rsidRPr="006D1801" w:rsidRDefault="006D1801" w:rsidP="006D1801">
            <w:pPr>
              <w:suppressAutoHyphens w:val="0"/>
              <w:spacing w:before="40" w:after="40" w:line="240" w:lineRule="auto"/>
              <w:rPr>
                <w:b/>
                <w:color w:val="000000"/>
                <w:szCs w:val="22"/>
                <w:lang w:eastAsia="en-GB"/>
              </w:rPr>
            </w:pPr>
            <w:r w:rsidRPr="006D1801">
              <w:rPr>
                <w:b/>
                <w:color w:val="000000"/>
                <w:szCs w:val="22"/>
                <w:lang w:eastAsia="en-GB"/>
              </w:rPr>
              <w:t>Recommendation</w:t>
            </w:r>
          </w:p>
        </w:tc>
        <w:tc>
          <w:tcPr>
            <w:tcW w:w="1240" w:type="dxa"/>
            <w:tcBorders>
              <w:bottom w:val="dotted" w:sz="4" w:space="0" w:color="auto"/>
            </w:tcBorders>
            <w:shd w:val="clear" w:color="auto" w:fill="auto"/>
          </w:tcPr>
          <w:p w:rsidR="006D1801" w:rsidRPr="006D1801" w:rsidRDefault="006D1801" w:rsidP="006D1801">
            <w:pPr>
              <w:suppressAutoHyphens w:val="0"/>
              <w:spacing w:before="40" w:after="40" w:line="240" w:lineRule="auto"/>
              <w:rPr>
                <w:b/>
                <w:color w:val="000000"/>
                <w:szCs w:val="22"/>
                <w:lang w:eastAsia="en-GB"/>
              </w:rPr>
            </w:pPr>
            <w:r w:rsidRPr="006D1801">
              <w:rPr>
                <w:b/>
                <w:color w:val="000000"/>
                <w:szCs w:val="22"/>
                <w:lang w:eastAsia="en-GB"/>
              </w:rPr>
              <w:t>Recommending state/s</w:t>
            </w:r>
          </w:p>
        </w:tc>
        <w:tc>
          <w:tcPr>
            <w:tcW w:w="1400" w:type="dxa"/>
            <w:tcBorders>
              <w:bottom w:val="dotted" w:sz="4" w:space="0" w:color="auto"/>
            </w:tcBorders>
            <w:shd w:val="clear" w:color="auto" w:fill="auto"/>
          </w:tcPr>
          <w:p w:rsidR="006D1801" w:rsidRPr="006D1801" w:rsidRDefault="006D1801" w:rsidP="006D1801">
            <w:pPr>
              <w:suppressAutoHyphens w:val="0"/>
              <w:spacing w:before="40" w:after="40" w:line="240" w:lineRule="auto"/>
              <w:rPr>
                <w:b/>
                <w:color w:val="000000"/>
                <w:szCs w:val="22"/>
                <w:lang w:eastAsia="en-GB"/>
              </w:rPr>
            </w:pPr>
            <w:r w:rsidRPr="006D1801">
              <w:rPr>
                <w:b/>
                <w:color w:val="000000"/>
                <w:szCs w:val="22"/>
                <w:lang w:eastAsia="en-GB"/>
              </w:rPr>
              <w:t>Position</w:t>
            </w:r>
          </w:p>
        </w:tc>
        <w:tc>
          <w:tcPr>
            <w:tcW w:w="3700" w:type="dxa"/>
            <w:tcBorders>
              <w:bottom w:val="dotted" w:sz="4" w:space="0" w:color="auto"/>
            </w:tcBorders>
            <w:shd w:val="clear" w:color="auto" w:fill="auto"/>
          </w:tcPr>
          <w:p w:rsidR="006D1801" w:rsidRPr="006D1801" w:rsidRDefault="006D1801" w:rsidP="006D1801">
            <w:pPr>
              <w:suppressAutoHyphens w:val="0"/>
              <w:spacing w:before="40" w:after="40" w:line="240" w:lineRule="auto"/>
              <w:rPr>
                <w:b/>
                <w:color w:val="000000"/>
                <w:szCs w:val="22"/>
                <w:lang w:eastAsia="en-GB"/>
              </w:rPr>
            </w:pPr>
            <w:r>
              <w:rPr>
                <w:b/>
                <w:color w:val="000000"/>
                <w:szCs w:val="22"/>
                <w:lang w:eastAsia="en-GB"/>
              </w:rPr>
              <w:t>Full list of themes/affected persons</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A12 Acceptance of international norms</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 Ratify all international instruments concerning human rights (Congo);</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Congo</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80.2 Consider ratifying international human rights treaties that it is not yet a State party to (Philippines);</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Philippines</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80.9 Accede to the Second Optional Protocol to the International Covenant on Civil and Political Rights and abolish the death penalty in the domestic legislation (Mexico);</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Mexico</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D23 Death penalty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80.5 Accede to or ratify the Second Optional Protocol to the International Covenant on Civil and Political Rights, which promotes international commitment in abolishing the death penalty (Honduras);</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Honduras</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D23 Death penalty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80.7 Ratify the Second Optional Protocol to the International Covenant on Civil and Political Rights, aiming at the abolition of the death penalty (Montenegro) (Uruguay);</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Montenegro</w:t>
            </w:r>
          </w:p>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Uruguay</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D23 Death penalty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80.8 Ratify the Second Optional Protocol to the International Covenant on Civil and Political Rights, aiming at the formal abolition of the death penalty in the country (Portugal);</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Portugal</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D23 Death penalty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80.10 Consider ratifying the Second Optional Protocol to the International Covenant on Civil and Political Rights with a view to abolish the death penalty (Namibia);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Namibia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D23 Death penalty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80.78 Establish a formal moratorium on the death penalty with a view to ratifying the Second Optional Protocol to the International Covenant on Civil and Political Rights (Australia);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Australia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D23 Death penalty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80.6 Ratify the Second Optional Protocol to the International Covenant on Civil and Political Rights, aiming at the abolition of the death penalty, as to bring legislation into conformity with the de facto situation (Netherlands);</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Netherlands</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D23 Death penalty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80.73 Consider the abolition of the death penalty in its legal system and proceed with the ratification of the Second Optional Protocol to the International Covenant on Civil and Political Rights (Argentina);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Argentina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D23 Death penalty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lastRenderedPageBreak/>
              <w:t>80.74 Abolish in law the death penalty and ratify the Second Optional Protocol to the International Covenant on Civil and Political Rights, aiming at the abolition of the death penalty (France);</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France</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D23 Death penalty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80.81 Implement public awareness campaigns in regard to the absence of deterrent effects of the application of the death penalty and the progressive introduction of a moratorium aiming at the abolition of the death penalty and the ratification of the Second Optional Protocol to the International Covenant on Civil and Political Rights (Spain);</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Spain</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D23 Death penalty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A54 Awareness raising and dissemination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80.14 Sign and ratify the Optional Protocol to the Convention against Torture and other Cruel, Inhuman or Degrading Treatment or Punishment (Spain);</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Spain</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D25 Prohibition of torture and cruel, inhuman or degrading treatment</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persons deprived of their liberty</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 xml:space="preserve">80.15 Advance in the ratification of the Optional Protocol to the Convention against Torture (Chile); </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Chile</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D25 Prohibition of torture and cruel, inhuman or degrading treatment</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persons deprived of their liberty</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 xml:space="preserve">80.16 Ratify the Optional Protocol to the Convention against Torture (Costa Rica) (Denmark) (Ghana) (Guatemala) (Honduras) (Uruguay) (Portugal) (Italy); </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Default="006D1801" w:rsidP="006D1801">
            <w:pPr>
              <w:suppressAutoHyphens w:val="0"/>
              <w:spacing w:before="40" w:after="40" w:line="240" w:lineRule="auto"/>
              <w:rPr>
                <w:color w:val="000000"/>
                <w:szCs w:val="22"/>
                <w:lang w:val="es-ES" w:eastAsia="en-GB"/>
              </w:rPr>
            </w:pPr>
            <w:r w:rsidRPr="006D1801">
              <w:rPr>
                <w:color w:val="000000"/>
                <w:szCs w:val="22"/>
                <w:lang w:val="es-ES" w:eastAsia="en-GB"/>
              </w:rPr>
              <w:t>Costa Rica</w:t>
            </w:r>
          </w:p>
          <w:p w:rsidR="006D1801" w:rsidRDefault="006D1801" w:rsidP="006D1801">
            <w:pPr>
              <w:suppressAutoHyphens w:val="0"/>
              <w:spacing w:before="40" w:after="40" w:line="240" w:lineRule="auto"/>
              <w:rPr>
                <w:color w:val="000000"/>
                <w:szCs w:val="22"/>
                <w:lang w:val="es-ES" w:eastAsia="en-GB"/>
              </w:rPr>
            </w:pPr>
            <w:proofErr w:type="spellStart"/>
            <w:r w:rsidRPr="006D1801">
              <w:rPr>
                <w:color w:val="000000"/>
                <w:szCs w:val="22"/>
                <w:lang w:val="es-ES" w:eastAsia="en-GB"/>
              </w:rPr>
              <w:t>Denmark</w:t>
            </w:r>
            <w:proofErr w:type="spellEnd"/>
          </w:p>
          <w:p w:rsidR="006D1801" w:rsidRDefault="006D1801" w:rsidP="006D1801">
            <w:pPr>
              <w:suppressAutoHyphens w:val="0"/>
              <w:spacing w:before="40" w:after="40" w:line="240" w:lineRule="auto"/>
              <w:rPr>
                <w:color w:val="000000"/>
                <w:szCs w:val="22"/>
                <w:lang w:val="es-ES" w:eastAsia="en-GB"/>
              </w:rPr>
            </w:pPr>
            <w:r w:rsidRPr="006D1801">
              <w:rPr>
                <w:color w:val="000000"/>
                <w:szCs w:val="22"/>
                <w:lang w:val="es-ES" w:eastAsia="en-GB"/>
              </w:rPr>
              <w:t>Ghana</w:t>
            </w:r>
          </w:p>
          <w:p w:rsidR="006D1801" w:rsidRDefault="006D1801" w:rsidP="006D1801">
            <w:pPr>
              <w:suppressAutoHyphens w:val="0"/>
              <w:spacing w:before="40" w:after="40" w:line="240" w:lineRule="auto"/>
              <w:rPr>
                <w:color w:val="000000"/>
                <w:szCs w:val="22"/>
                <w:lang w:val="es-ES" w:eastAsia="en-GB"/>
              </w:rPr>
            </w:pPr>
            <w:r w:rsidRPr="006D1801">
              <w:rPr>
                <w:color w:val="000000"/>
                <w:szCs w:val="22"/>
                <w:lang w:val="es-ES" w:eastAsia="en-GB"/>
              </w:rPr>
              <w:t>Guatemala</w:t>
            </w:r>
          </w:p>
          <w:p w:rsidR="006D1801" w:rsidRDefault="006D1801" w:rsidP="006D1801">
            <w:pPr>
              <w:suppressAutoHyphens w:val="0"/>
              <w:spacing w:before="40" w:after="40" w:line="240" w:lineRule="auto"/>
              <w:rPr>
                <w:color w:val="000000"/>
                <w:szCs w:val="22"/>
                <w:lang w:val="es-ES" w:eastAsia="en-GB"/>
              </w:rPr>
            </w:pPr>
            <w:r w:rsidRPr="006D1801">
              <w:rPr>
                <w:color w:val="000000"/>
                <w:szCs w:val="22"/>
                <w:lang w:val="es-ES" w:eastAsia="en-GB"/>
              </w:rPr>
              <w:t>Honduras</w:t>
            </w:r>
          </w:p>
          <w:p w:rsidR="006D1801" w:rsidRDefault="006D1801" w:rsidP="006D1801">
            <w:pPr>
              <w:suppressAutoHyphens w:val="0"/>
              <w:spacing w:before="40" w:after="40" w:line="240" w:lineRule="auto"/>
              <w:rPr>
                <w:color w:val="000000"/>
                <w:szCs w:val="22"/>
                <w:lang w:val="es-ES" w:eastAsia="en-GB"/>
              </w:rPr>
            </w:pPr>
            <w:r w:rsidRPr="006D1801">
              <w:rPr>
                <w:color w:val="000000"/>
                <w:szCs w:val="22"/>
                <w:lang w:val="es-ES" w:eastAsia="en-GB"/>
              </w:rPr>
              <w:t>Uruguay</w:t>
            </w:r>
          </w:p>
          <w:p w:rsidR="006D1801" w:rsidRDefault="006D1801" w:rsidP="006D1801">
            <w:pPr>
              <w:suppressAutoHyphens w:val="0"/>
              <w:spacing w:before="40" w:after="40" w:line="240" w:lineRule="auto"/>
              <w:rPr>
                <w:color w:val="000000"/>
                <w:szCs w:val="22"/>
                <w:lang w:val="es-ES" w:eastAsia="en-GB"/>
              </w:rPr>
            </w:pPr>
            <w:r w:rsidRPr="006D1801">
              <w:rPr>
                <w:color w:val="000000"/>
                <w:szCs w:val="22"/>
                <w:lang w:val="es-ES" w:eastAsia="en-GB"/>
              </w:rPr>
              <w:t>Portugal</w:t>
            </w:r>
          </w:p>
          <w:p w:rsidR="006D1801" w:rsidRPr="006D1801" w:rsidRDefault="006D1801" w:rsidP="006D1801">
            <w:pPr>
              <w:suppressAutoHyphens w:val="0"/>
              <w:spacing w:before="40" w:after="40" w:line="240" w:lineRule="auto"/>
              <w:rPr>
                <w:color w:val="000000"/>
                <w:szCs w:val="22"/>
                <w:lang w:val="es-ES" w:eastAsia="en-GB"/>
              </w:rPr>
            </w:pPr>
            <w:proofErr w:type="spellStart"/>
            <w:r w:rsidRPr="006D1801">
              <w:rPr>
                <w:color w:val="000000"/>
                <w:szCs w:val="22"/>
                <w:lang w:val="es-ES" w:eastAsia="en-GB"/>
              </w:rPr>
              <w:t>Italy</w:t>
            </w:r>
            <w:proofErr w:type="spellEnd"/>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D25 Prohibition of torture and cruel, inhuman or degrading treatment</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persons deprived of their liberty</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80.19 Ratify the International Convention for the Protection of All Persons from Enforced Disappearance (Sierra Leone) (Ghana);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Sierra Leone</w:t>
            </w:r>
          </w:p>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Ghana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D32 Enforced disappearances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disappeared persons</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80.20 Ratify the already signed International Convention for the Protection of All Persons from Enforced Disappearance (Spain);</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Spain</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D32 Enforced disappearances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disappeared persons</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80.3 Sign and ratify the Optional Protocol to the International Covenant on Economic, Social and Cultural Rights (Portugal);</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Portugal</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E1 Economic, social &amp; cultural rights - general measures of implementation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80.4 Ratify the Optional Protocol to the International Covenant on Economic, Social and Cultural Rights (Italy);</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Italy</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E1 Economic, social &amp; cultural rights - general measures of implementation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B51 Right to an effective remedy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Pr="006D1801" w:rsidRDefault="006D1801" w:rsidP="006D1801">
            <w:pPr>
              <w:suppressAutoHyphens w:val="0"/>
              <w:spacing w:before="40" w:after="40" w:line="240" w:lineRule="auto"/>
              <w:rPr>
                <w:color w:val="000000"/>
                <w:szCs w:val="22"/>
                <w:lang w:val="es-ES" w:eastAsia="en-GB"/>
              </w:rPr>
            </w:pPr>
            <w:r w:rsidRPr="006D1801">
              <w:rPr>
                <w:color w:val="000000"/>
                <w:szCs w:val="22"/>
                <w:lang w:val="es-ES" w:eastAsia="en-GB"/>
              </w:rPr>
              <w:lastRenderedPageBreak/>
              <w:t>80.22 Ratify ILO Convention No. 189 (Sierra Leone);</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Sierra Leone</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E32 Right to just and favourable conditions of 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80.11 Sign and ratify the Optional Protocol to the Convention on the Elimination of All Forms of Discrimination against Women (Spain);</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Spain</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F12 Discrimination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B51 Right to an effective remedy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80.12 Ratify the Optional Protocol to the Convention on the Elimination of All Forms of Discrimination against Women (Ghana) (Portugal);</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Ghana</w:t>
            </w:r>
          </w:p>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Portugal</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F12 Discrimination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B51 Right to an effective remedy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 xml:space="preserve">80.13 Ratify the Convention on the Elimination of All Forms of Discrimination against Women, taking into account the situation of victims of domestic violence in the country (Brazil); </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Brazil</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F12 Discrimination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D29 Domestic violence</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80.17 Ratify the Optional Protocol to the Convention on the Rights of the Child (CRC) on a communications procedure (Uruguay) (Portugal);</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Uruguay</w:t>
            </w:r>
          </w:p>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Portugal</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F31 Children: definition; general principles; protection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B51 Right to an effective remedy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children</w:t>
            </w:r>
          </w:p>
        </w:tc>
      </w:tr>
      <w:tr w:rsidR="006D1801" w:rsidRPr="006D1801" w:rsidTr="006D1801">
        <w:trPr>
          <w:cantSplit/>
        </w:trPr>
        <w:tc>
          <w:tcPr>
            <w:tcW w:w="4520" w:type="dxa"/>
            <w:shd w:val="clear" w:color="auto" w:fill="auto"/>
            <w:hideMark/>
          </w:tcPr>
          <w:p w:rsidR="006D1801" w:rsidRPr="006D1801" w:rsidRDefault="006D1801" w:rsidP="006D1801">
            <w:pPr>
              <w:suppressAutoHyphens w:val="0"/>
              <w:spacing w:before="40" w:after="40" w:line="240" w:lineRule="auto"/>
              <w:rPr>
                <w:color w:val="000000"/>
                <w:szCs w:val="22"/>
                <w:lang w:val="es-ES" w:eastAsia="en-GB"/>
              </w:rPr>
            </w:pPr>
            <w:r w:rsidRPr="006D1801">
              <w:rPr>
                <w:color w:val="000000"/>
                <w:szCs w:val="22"/>
                <w:lang w:val="es-ES" w:eastAsia="en-GB"/>
              </w:rPr>
              <w:t>80.21 Ratify ILO Convention No. 169 (Sierra Leone);</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Sierra Leone</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G3 Indigenous peoples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indigenous peoples</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80.18 Accede to the 1990 International Convention on the Protection of the Rights of All Migrant Workers and Members of Their Families (Ecuador);</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4</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Ecuador</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A12 Acceptance of international norms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G4 Migrants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migrants</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A21 National Mechanisms for Reporting and Follow-up (NMRF)</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80.54 Establish a mechanism to monitor the implementation of recommendations of international human rights mechanisms (Guatemala);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10</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Guatemala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A21 National Mechanisms for Reporting and Follow-up (NMRF)</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80.55 Work on setting up a national mechanism for the reporting and the follow up in the framework of the international human rights instruments (Haiti);</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10</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Haiti</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A21 National Mechanisms for Reporting and Follow-up (NMRF)</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80.56 Accelerate the establishment of a National Mechanism for Reporting and Follow-up (Indonesia);</w:t>
            </w:r>
          </w:p>
          <w:p w:rsidR="00BD354B"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10</w:t>
            </w:r>
          </w:p>
          <w:p w:rsidR="00BD354B" w:rsidRDefault="00BD354B" w:rsidP="006D1801">
            <w:pPr>
              <w:suppressAutoHyphens w:val="0"/>
              <w:spacing w:before="40" w:after="40" w:line="240" w:lineRule="auto"/>
              <w:rPr>
                <w:color w:val="000000"/>
                <w:szCs w:val="22"/>
                <w:lang w:eastAsia="en-GB"/>
              </w:rPr>
            </w:pPr>
          </w:p>
          <w:p w:rsidR="00BD354B" w:rsidRDefault="00BD354B" w:rsidP="006D1801">
            <w:pPr>
              <w:suppressAutoHyphens w:val="0"/>
              <w:spacing w:before="40" w:after="40" w:line="240" w:lineRule="auto"/>
              <w:rPr>
                <w:color w:val="000000"/>
                <w:szCs w:val="22"/>
                <w:lang w:eastAsia="en-GB"/>
              </w:rPr>
            </w:pPr>
          </w:p>
          <w:p w:rsidR="00BD354B" w:rsidRDefault="00BD354B" w:rsidP="006D1801">
            <w:pPr>
              <w:suppressAutoHyphens w:val="0"/>
              <w:spacing w:before="40" w:after="40" w:line="240" w:lineRule="auto"/>
              <w:rPr>
                <w:color w:val="000000"/>
                <w:szCs w:val="22"/>
                <w:lang w:eastAsia="en-GB"/>
              </w:rPr>
            </w:pPr>
          </w:p>
          <w:p w:rsidR="00BD354B" w:rsidRDefault="00BD354B" w:rsidP="006D1801">
            <w:pPr>
              <w:suppressAutoHyphens w:val="0"/>
              <w:spacing w:before="40" w:after="40" w:line="240" w:lineRule="auto"/>
              <w:rPr>
                <w:color w:val="000000"/>
                <w:szCs w:val="22"/>
                <w:lang w:eastAsia="en-GB"/>
              </w:rPr>
            </w:pPr>
          </w:p>
          <w:p w:rsidR="00BD354B" w:rsidRDefault="00BD354B" w:rsidP="006D1801">
            <w:pPr>
              <w:suppressAutoHyphens w:val="0"/>
              <w:spacing w:before="40" w:after="40" w:line="240" w:lineRule="auto"/>
              <w:rPr>
                <w:color w:val="000000"/>
                <w:szCs w:val="22"/>
                <w:lang w:eastAsia="en-GB"/>
              </w:rPr>
            </w:pPr>
          </w:p>
          <w:p w:rsidR="00BD354B" w:rsidRDefault="00BD354B" w:rsidP="006D1801">
            <w:pPr>
              <w:suppressAutoHyphens w:val="0"/>
              <w:spacing w:before="40" w:after="40" w:line="240" w:lineRule="auto"/>
              <w:rPr>
                <w:color w:val="000000"/>
                <w:szCs w:val="22"/>
                <w:lang w:eastAsia="en-GB"/>
              </w:rPr>
            </w:pPr>
          </w:p>
          <w:p w:rsidR="006D1801" w:rsidRPr="006D1801" w:rsidRDefault="006D1801" w:rsidP="006D1801">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Indonesia</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A21 National Mechanisms for Reporting and Follow-up (NMRF)</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lastRenderedPageBreak/>
              <w:t xml:space="preserve">Theme: </w:t>
            </w:r>
            <w:r w:rsidRPr="006D1801">
              <w:rPr>
                <w:b/>
                <w:i/>
                <w:color w:val="000000"/>
                <w:sz w:val="28"/>
                <w:szCs w:val="22"/>
                <w:lang w:eastAsia="en-GB"/>
              </w:rPr>
              <w:t>A22 Cooperation with treaty bodies</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80.24 Submit long overdue reports to the Committee on Economic, Social and Cultural Rights, the Committee on the Elimination of Racial Discrimination, the Committee against Torture and the Committee on the Rights of Persons with Disabilities (Sierra Leone);</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Sierra Leone</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A22 Cooperation with treaty bodies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B32 Racial discrimination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D25 Prohibition of torture and cruel, inhuman or degrading treatment</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F4 Persons with disabilities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persons with disabilities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minorities/ racial, ethnic, linguistic, religious or descent-based groups</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80.23 Submit its first report to the Committee against Torture which is overdue since 2002 (Denmark);</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5</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Denmark</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A22 Cooperation with treaty bodies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D25 Prohibition of torture and cruel, inhuman or degrading treatment</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A24 Cooperation with special procedures</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80.25 Extend standing invitation to all special procedures mandate holders (Montenegro);</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6</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Montenegro</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A24 Cooperation with special procedures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80.26 Extend an open and standing invitation to Special Rapporteurs and Representatives with a view to making progress in the fulfilment of human rights commitments made (Panama);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6</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Panama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A24 Cooperation with special procedures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80.27 Consider issuing a standing invitation to the special procedures (Slovenia);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6</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Slovenia</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A24 Cooperation with special procedures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A28 Cooperation with other international mechanisms and institutions</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80.28 Continue to seek the needed technical assistance to enable it to meet its various human rights commitments (Sierra Leone);</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7</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Sierra Leone</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A28 Cooperation with other international mechanisms and institutions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 xml:space="preserve">80.62 Seek and avail itself of international technical assistance opportunities in training, data collection and analysis, to support national reporting under the international human rights instruments (Bahamas); </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12</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Bahamas</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A28 Cooperation with other international mechanisms and institutions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A62 Statistics and indicators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A22 Cooperation with treaty bodies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A41 Constitutional and legislative framework</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80.29 Pursue its efforts to harmonize its national legislation with international human rights standards (Morocco);</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7</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Morocco</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80.30 Harmonize its national legislation with the Rome Statute of the International Criminal Court, including measures of cooperation with the Court and to investigate the crime of genocide, crimes against humanity and war crimes (Costa Rica);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7</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Costa Rica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B11 International humanitarian law</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B13 Genocide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B52 Impunity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D51 Administration of justice &amp; fair trial</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lastRenderedPageBreak/>
              <w:t>80.35 Amend national legislation to grant women equal rights to men, in regard to passing citizenship to their foreign spouse (Panama);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7</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Panama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D6 Rights related to name, identity, nationality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F12 Discrimination against women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80.31 Take appropriate steps to facilitate the adoption of legislation on gender equality (Maldives);</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7</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Maldives</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F12 Discrimination against women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80.32 Adopt, without delay, a new legislation that fully incorporates the principle of equality of women and men as well as a prohibition of discrimination on the basis of gender in the public and private spheres (Germany);</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7</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Germany</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F12 Discrimination against women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80.33 Step up efforts towards the adoption of legislation fully in line with the principle of gender equality (Greece);</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7</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Greece</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F12 Discrimination against women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80.34 Consider adopting legislation that fully incorporates the principle of equality of women and men, as well as a definition and prohibition of discrimination on the basis of sex and gender in the public and private spheres (Namibia);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7</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Namibia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F12 Discrimination against women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80.71 Adopt legislation on gender equality that fully incorporates the principle of equality between women and men, as well as the definition and prohibition of discrimination based on sex and gender (Uruguay);</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12</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Uruguay</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F12 Discrimination against women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A45 National Human Rights Institution (NHRI)</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80.46 Establish a national human rights institution based on the Paris Principles (Algeria);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9</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Algeria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A45 National Human Rights Institution (NHRI)</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80.47 Act to establish a national human rights institution in accordance with the Paris Principles, as per the recommendations from its 2011 universal periodic review appearance (Australia);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9</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Australia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A45 National Human Rights Institution (NHRI)</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80.48 Advance in the establishment of a human rights institution in accordance with the Paris Principles (Chile);</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9</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Chile</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A45 National Human Rights Institution (NHRI)</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80.49 Establish a human rights institution (Guatemala);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9</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Guatemala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A45 National Human Rights Institution (NHRI)</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lastRenderedPageBreak/>
              <w:t>80.50 Continue its efforts to strengthen the current National Human Rights Association — established in 1986, in line with the Paris Principles (Indonesia);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9</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Indonesia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A45 National Human Rights Institution (NHRI)</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80.51 Step up, with the support of OHCHR and other international partners, the activities to establish a national human rights institution in conformity with the Paris Principles (Panama);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9</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Panama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A45 National Human Rights Institution (NHRI)</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80.52 Take the necessary measures in order to establish a National Human Rights Institution in accordance with the Paris Principles (Portugal);</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9</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Portugal</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A45 National Human Rights Institution (NHRI)</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80.53 Create a national human rights institution in conformity with the principles relating to the status of national human rights institutions for the promotion and protection of human rights (Paris Principles) (Uruguay);</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9</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Uruguay</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A45 National Human Rights Institution (NHRI)</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A46 National Plans of Action on Human Rights (or specific areas)</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80.57 Develop and implement a National Action Plan for Human Rights to further ensure systematic and comprehensive approach for the promotion and protection of human rights, with the full engagement of civil society (Indonesia);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11</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Indonesia</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A46 National Plans of Action on Human Rights (or specific areas)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A61 Cooperation with civil society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A53 Professional training in human rights</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80.60 Ensure comprehensive human rights training for teachers with a view to preventing any excessive use of force (South Africa);</w:t>
            </w:r>
          </w:p>
          <w:p w:rsid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12</w:t>
            </w:r>
          </w:p>
          <w:p w:rsidR="006D1801" w:rsidRPr="006D1801" w:rsidRDefault="006D1801" w:rsidP="006D1801">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South Africa</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A53 Professional training in human rights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D3 Liberty and security of the person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educational staff</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children</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B31 Equality &amp; non-discrimination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80.38 Enact legislation and take necessary measures to prohibit discrimination on the grounds of sexual orientation, gender identity and social status (Mexico);</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8</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Mexico</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B31 Equality &amp; non-discrimination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lesbian, gay, bisexual, transgender and intersex persons (LGBTI)</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80.39 Enact legislation prohibiting discrimination against lesbian, gay, bisexual, transgender and intersex persons, including removing laws criminalising consensual same sex activity (Australia);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8</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Australia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B31 Equality &amp; non-discrimination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xml:space="preserve">- lesbian, gay, bisexual, transgender and intersex persons (LGBTI) </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lastRenderedPageBreak/>
              <w:t>80.40 Decriminalize homosexuality and oppose all forms of discrimination and abuse against lesbian, gay, bisexual, transgender and intersex persons (Italy);</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8</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Italy</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B31 Equality &amp; non-discrimination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xml:space="preserve">- lesbian, gay, bisexual, transgender and intersex persons (LGBTI) </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80.43 Consider taking steps to decriminalize consensual same sex relations and abolish any discriminatory legislation and practices against lesbian, gay, bisexual, transgender and intersex people (Brazil);</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8</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Brazil</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B31 Equality &amp; non-discrimination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xml:space="preserve">- lesbian, gay, bisexual, transgender and intersex persons (LGBTI) </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80.44 Decriminalize homosexual relations between consenting adults (Spain);</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8</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Spain</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B31 Equality &amp; non-discrimination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xml:space="preserve">- lesbian, gay, bisexual, transgender and intersex persons (LGBTI) </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80.45 Abolish section 148 of the Criminal Code, which criminalizes consensual sexual practices between persons of the same sex, as a step towards decreasing discrimination of same-sex relationships (Netherlands);</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8</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Netherlands</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B31 Equality &amp; non-discrimination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xml:space="preserve">- lesbian, gay, bisexual, transgender and intersex persons (LGBTI) </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80.72 Take measures to prevent violence and discrimination against persons based on their sexual orientation and gender identity (Chile);</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12</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Chile</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B31 Equality &amp; non-discrimination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D31 Liberty and security - general</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xml:space="preserve">- Lesbian, gay, bisexual, transgender and intersex persons (LGBTI) </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B73 Human rights and climate change</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80.128 Promote strategies for the mitigation of climate change and disseminate those through school programs (Haiti).</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16</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Haiti</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B73 Human rights and climate change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A52 Human rights education - in schools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S13 SDG 13 - climate change</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D23 Death penalty</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80.77 Consider establishing a formal moratorium on death penalty (Slovenia);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Slovenia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D23 Death penalty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80.75 Step up efforts to abolish the death penalty (Panama);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Panama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D23 Death penalty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80.76 Consider the possibility of the abolition of the death penalty in its statutes (South Africa);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South Africa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D23 Death penalty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80.79 Consider taking all necessary steps to introduce a de jure moratorium of capital executions with a view to fully abolish the death penalty (Italy);</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Italy</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D23 Death penalty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80.80 Adopt an official moratorium aiming at the formal abolishment of the death penalty in the country (Portugal);</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Portugal</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D23 Death penalty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lastRenderedPageBreak/>
              <w:t xml:space="preserve">Theme: </w:t>
            </w:r>
            <w:r w:rsidRPr="006D1801">
              <w:rPr>
                <w:b/>
                <w:i/>
                <w:color w:val="000000"/>
                <w:sz w:val="28"/>
                <w:szCs w:val="22"/>
                <w:lang w:eastAsia="en-GB"/>
              </w:rPr>
              <w:t>D25 Prohibition of torture and cruel, inhuman or degrading treatment</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80.86 Adopt measures to combat the problem of police abuse, through norms aiming at sanctioning such conduct and to prevent such abuses, strengthening the training of law enforcement officials (Spain);</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Spain</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D25 Prohibition of torture and cruel, inhuman or degrading treatment</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B51 Right to an effective remedy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A53 Professional training in human rights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D26 Conditions of detention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80.85 Take the necessary steps to ensure the prison in Kingstown meets international minimum standards and adheres to the Mandela Rules (Australia);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Australia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D26 Conditions of detention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persons deprived of their liberty</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80.87 Take immediate steps to bring conditions at all detention facilities, including Her Majesty’s Prison and Fort Charlotte Prison, into line with the United Nations Standard Minimum Rules for the Treatment of Prisoners (Canada);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Canada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D26 Conditions of detention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persons deprived of their liberty</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80.88 Partner with appropriate international agencies to strengthen national capacities to collect, process, and analyse relevant human rights statistical information concerning police misconduct and prison conditions (United States of America);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United States of America</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D26 Conditions of detention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D31 Liberty and security - general</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persons deprived of their liberty</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D27 Prohibition of slavery, trafficking</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80.90 Collaborate with NGOs or other victim advocates to promote a victim-centred approach in the identification of trafficking victims (United States of America);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United States of America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D27 Prohibition of slavery, trafficking</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B53 Support to victims and witnesses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A61 Cooperation with civil society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80.89 Strengthen measures taken to combat human trafficking (Egypt);</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Egypt</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D27 Prohibition of slavery, trafficking</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S16 SDG 16 - peace, justice and strong institutions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D29 Domestic violence</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80.116 Take all necessary measures to promote the rights of women and to effectively combat domestic violence (France);</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France</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D29 Domestic violence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F12 Discrimination against women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80.115 Continue the actions taken to reduce domestic violence and violence against women in all its forms (Cuba);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Cuba</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D29 Domestic violence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F13 Violence against women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D51 Administration of justice &amp; fair trial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80.91 Take measures to reduce the backlog of cases before the courts in order to ensure that justice is served promptly and efficiently and that accused persons are guaranteed due process (Canada);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Canada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D51 Administration of justice &amp; fair trial</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lastRenderedPageBreak/>
              <w:t>80.93 Undertake actions to improve the competency and capacity of its judicial sector including sensitizing judicial personnel on issues concerning vulnerable groups (Malaysia);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Malaysia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D51 Administration of justice &amp; fair trial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A53 Professional training in human rights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judges, lawyers and prosecutors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vulnerable persons/groups</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 xml:space="preserve">80.92 Pursue efforts to reform the justice system with a view to guaranteeing access to justice to all, including through providing qualified staff (Egypt); </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Egypt</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D51 Administration of justice &amp; fair trial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B51 Right to an effective remedy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E1 Economic, social &amp; cultural rights - general measures of implementation</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80.96 Undertake socio-economic development programs that focus on education, job creation and poverty eradication under the National Economic and Social Development Plan 2013-2025 (Malaysia);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14</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Malaysia</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E1 Economic, social &amp; cultural rights - general measures of implementation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E21 Right to an adequate standard of living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E51 Right to education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E25 Human rights &amp; poverty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S04 SDG 4  - education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S01 SDG 1 - poverty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S10 SDG 10 - inequality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persons living in poverty</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vulnerable persons/groups</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E21 Right to an adequate standard of living -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80.95 Continue strengthening its successful social programs in favour of its people (Bolivarian Republic of Venezuela);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 xml:space="preserve">(Bolivarian Republic of Venezuela) </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E21 Right to an adequate standard of living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E24 Right to social security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S01 SDG 1 - poverty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S10 SDG 10 - inequality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80.59 Strengthen its commitment for implementing all its programs and policies in the social sector (Haiti);</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11</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Haiti</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E21 Right to an adequate standard of living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S01 SDG 1 - poverty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E22 Right to food</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80.98 Effectively implement the Zero Hunger Challenge Initiative to reduce hunger and malnutrition (Cuba);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14</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Cuba</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E22 Right to food</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S02 SDG 2 - hunger and food security</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E31 Right to work</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 xml:space="preserve">80.97 Pursue efforts to promote the right to work with a view to combating unemployment whose rate has reached 18.8 percent (Egypt); </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14</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Egypt</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E31 Right to 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S08 SDG 8 - economic growth, employment, decent 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E43 Access to sexual and reproductive health and services</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80.100 Continue and strengthen health education and family life programs, such as education on appropriate sexual and reproductive health for every age, and access to sexual and reproductive health, including contraceptive methods (Colombia);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Colombia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E43 Access to sexual and reproductive health and services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E41 Right to health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S03 SDG 3 - health</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lastRenderedPageBreak/>
              <w:t>80.101 Combat the high rate of teenage girls’ pregnancy, which put at risk their rights to health and education (Congo);</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Congo</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E43 Access to sexual and reproductive health and services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E41 Right to health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S03 SDG 3 - health</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girls</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80.102 Adopt measures to empower girls and boys to make conscious decisions regarding their health and well-being through mainstreaming of sexual and reproductive health education (Slovenia);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14</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Slovenia</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E43 Access to sexual and reproductive health and services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E41 Right to health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S03 SDG 3 - health</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girls</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E51 Right to education - General</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80.99 Continue to improve access to education through various programs and initiatives (Pakistan);</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14</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Pakistan</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E51 Right to education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S04 SDG 4  - education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girls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children</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E7 Cultural rights</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 xml:space="preserve">80.104 Recognise the importance of Island of </w:t>
            </w:r>
            <w:proofErr w:type="spellStart"/>
            <w:r w:rsidRPr="006D1801">
              <w:rPr>
                <w:color w:val="000000"/>
                <w:szCs w:val="22"/>
                <w:lang w:eastAsia="en-GB"/>
              </w:rPr>
              <w:t>Balliceaux</w:t>
            </w:r>
            <w:proofErr w:type="spellEnd"/>
            <w:r w:rsidRPr="006D1801">
              <w:rPr>
                <w:color w:val="000000"/>
                <w:szCs w:val="22"/>
                <w:lang w:eastAsia="en-GB"/>
              </w:rPr>
              <w:t xml:space="preserve"> for the Garifuna people as a site of remembrance, and ensure and promote the relations of those people with the Island as noted by the Special Rapporteur on Cultural Rights (Honduras);</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Honduras</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E7 Cultural rights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A25 Follow-up to special procedures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minorities/ racial, ethnic, linguistic, religious or descent-based groups</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80.105 Seek assistance, as appropriate, to support ongoing efforts to preserve its tangible and intangible cultural heritage (Trinidad and Tobago);</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14</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Trinidad and Tobago</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E7 Cultural rights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A28 Cooperation with other international mechanisms and institutions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F11 Advancement of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80.66 Consider the implementation of initiatives aimed at identifying needs on the situation of gender related human rights, in order to acquire information to strengthen the national legislation and public policies in this area (Ecuador);</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12</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Ecuador</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F11 Advancement of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S05 SDG 5 - gender equality and women's empowerment</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general</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80.70 Conduct nation-wide educational campaigns about gender roles and the value of women and girls (Slovenia);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12</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Slovenia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F11 Advancement of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A54 Awareness raising and dissemination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S05 SDG 5 - gender equality and women's empowerment</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80.68 Continue to promote women empowerment (Pakistan);</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12</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Pakistan</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F11 Advancement of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S05 SDG 5 - gender equality and women's empowerment</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F12 Discrimination against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80.42 Initiate a comprehensive process of legislative reform in order to guarantee equality between men and women as well as to define and prohibit discrimination on the basis of sex and gender in the public and private spheres (Honduras);</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8</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Honduras</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F12 Discrimination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S05 SDG 5 - gender equality and women's empowerment</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lastRenderedPageBreak/>
              <w:t>80.67 Intensify efforts to end discrimination against women and increase women participation in the Government, in decision making positions and other segments of society (Malaysia);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12</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Malaysia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F12 Discrimination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F14 Participation of women in political and public life </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D7 Right to participation in public affairs and right to vote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S05 SDG 5 - gender equality and women's empowerment</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S16 SDG 16 - peace, justice and strong institutions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80.61 Put an emphasis on the training of those responsible for the protection of the rights of women and children (Haiti);</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12</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Haiti</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F12 Discrimination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F31 Children: definition; general principles; protection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S05 SDG 5 - gender equality and women's empowerment</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children</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 xml:space="preserve">80.63 Enhance gender equality in the public and private sectors (Egypt); </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12</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Egypt</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F12 Discrimination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S05 SDG 5 - gender equality and women's empowerment</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F13 Violence against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80.36 Reform the legislation on family life, especially the law on legal marriage age, which sets it at 15 years for girls and boys and which should be raised to 18 years, at a minimum (Congo);</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7</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Congo</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F13 Violence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girls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children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80.117 Reinforce measures to combat violence against women, including legislative amendments to the Criminal Code and the Domestic Violence Act and by awareness raising campaigns (Germany);</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Germany</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F13 Violence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A54 Awareness raising and dissemination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D29 Domestic violence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S05 SDG 5 - gender equality and women's empowerment</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S16 SDG 16 - peace, justice and strong institutions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80.37 Reform laws related to discrimination and violence against women and lesbian, gay, bisexual, transgender and intersex persons, including by repealing provisions which may be used to criminalize consensual, same-sex sexual activity between adults, and establishing a law criminalizing domestic violence (United States of America);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8</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United States of America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F13 Violence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D29 Domestic violence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B31 Equality &amp; non-discrimination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D31 Liberty and security - general</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xml:space="preserve">- lesbian, gay, bisexual, transgender and intersex persons (LGBTI) </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 xml:space="preserve">80.106 Strengthen the implementation of the National Action Plan to end gender-based violence, in cooperation with civil society organizations and other interested parties, and ensure better access to health care and social services for victims, in particular rural women (Colombia); </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Colombia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F13 Violence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A46 National Plans of Action on Human Rights (or specific areas)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A61 Cooperation with civil society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E41 Right to health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B51 Right to an effective remedy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E21 Right to an adequate standard of living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E24 Right to social security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S05 SDG 5 - gender equality and women's empowerment</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S03 SDG 3 - health</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S16 SDG 16 - peace, justice and strong institutions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lastRenderedPageBreak/>
              <w:t>80.108 Allocate sufficient technical, human and financial resources for the effective implementation of the National Action Plan on Gender-based violence (Philippines);</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Philippines</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F13 Violence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A46 National Plans of Action on Human Rights (or specific areas)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A63 Budget and resources (for human rights implementation)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S05 SDG 5 - gender equality and women's empowerment</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S16 SDG 16 - peace, justice and strong institutions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80.107 Combat gender-based violence through its National Action Plan, Domestic Violence Act and anti-violence outreach programs (Malaysia);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Malaysia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F13 Violence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A46 National Plans of Action on Human Rights (or specific areas)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D29 Domestic violence</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80.111 Undertake a public advocacy campaign to combat gender-based violence, in consultation with all relevant stakeholders (Canada);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Canada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F13 Violence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A54 Awareness raising and dissemination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80.118 Institute measures to prevent and effectively respond to all incidents of violence, sexual abuse, exploitation and trafficking of women and girls, as well as introduce measures to effectively investigate, prosecute and punish all perpetrators (Ghana);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Ghana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F13 Violence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D27 Prohibition of slavery, trafficking</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B51 Right to an effective remedy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S16 SDG 16 - peace, justice and strong institutions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 xml:space="preserve">80.109 Promote public awareness and education on provisions under the new Domestic Violence Act of 2015 (Bahamas); </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Bahamas</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F13 Violence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D29 Domestic violence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A54 Awareness raising and dissemination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80.114 Continue strengthening programs to combat domestic violence, including an awareness-raising plan (Chile);</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Chile</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F13 Violence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D29 Domestic violence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A54 Awareness raising and dissemination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80.112 Implement targeted training for law enforcement officials on responding to cases of domestic violence, and ensure that all allegations are fully investigated (Canada);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Canada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F13 Violence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D29 Domestic violence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B51 Right to an effective remedy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A53 Professional training in human rights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law enforcement / police officials</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80.113 Take steps to ensure the provision of adequate shelter, including staffing and durable resources, for victims of domestic violence (Canada);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Canada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F13 Violence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D29 Domestic violence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B53 Support to victims and witnesses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S05 SDG 5 - gender equality and women's empowerment</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80.110 Implement comprehensive guidelines under the Domestic Violence Act to ensure a coordinated response for victims of violence by police, courts, health and social welfare agencies (United Kingdom of Great Britain and Northern Ireland);</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United Kingdom of Great Britain and Northern Ireland</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F13 Violence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D29 Domestic violence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D51 Administration of justice &amp; fair trial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E24 Right to social security</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E41 Right to health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B53 Support to victims and witnesses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S05 SDG 5 - gender equality and women's empowerment</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judges, lawyers and prosecutors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law enforcement / police officials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social workers</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lastRenderedPageBreak/>
              <w:t>80.41 Adopt a legislation that criminalizes specifically sexual harassment in all spheres, including in the work place (Guatemala);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8</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Guatemala</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F13 Violence against women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E32 Right to just and favourable conditions of 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S05 SDG 5 - gender equality and women's empowerment</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F14 Participation of women in political and public life </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80.64 Take concrete measures to ensure gender equality in political life, including through the establishment of a quota system for Parliament and Ministries (Algeria);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12</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Algeria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F14 Participation of women in political and public life </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D7 Right to participation in public affairs and right to vote</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80.69 Consider and formulate measures to address the very low representation of women in high-level positions, including in politics, as a priority (Slovenia);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12</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Slovenia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F14 Participation of women in political and public life </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D7 Right to participation in public affairs and right to vote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S05 SDG 5 - gender equality and women's empowerment</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80.65 Adopt administrative and legal measures to pursue gender equality in decision-making and elected positions (Costa Rica);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12</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Costa Rica</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F14 Participation of women in political and public life </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D7 Right to participation in public affairs and right to vote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S05 SDG 5 - gender equality and women's empowerment</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S16 SDG 16 - peace, justice and strong institutions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F31 Children: definition; general principles; protection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80.58 Strengthen the role and capacity to act of the Child Protection Unit with the support and assistance of the international community in order to allow it to fully fulfil its mission (Morocco);</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11</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Morocco</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F31 Children: definition; general principles; protection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children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80.119 Enact a comprehensive strategy in order that the rights of children are further protected and widened (Greece);</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Greece</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F31 Children: definition; general principles; protection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A43 Human rights policies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children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 xml:space="preserve">80.121 Increase the minimum age of marriage which is 15 for girls and 16 for boys to an age which is in line with international standards (Algeria); </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Algeria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F31 Children: definition; general principles; protection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F13 Violence against women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girls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children</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80.122 Raise the minimum age of marriage to 18 (Sierra Leone);</w:t>
            </w:r>
          </w:p>
          <w:p w:rsid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p w:rsidR="006D1801" w:rsidRPr="006D1801" w:rsidRDefault="006D1801" w:rsidP="006D1801">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Sierra Leone</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F31 Children: definition; general principles; protection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F13 Violence against women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girls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children</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F32 Children: family environment and alternative care</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80.82 Consider prohibiting corporal punishment of children in all settings (South Africa);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South Africa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F32 Children: family environment and alternative care</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children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lastRenderedPageBreak/>
              <w:t>80.83 Prohibit all corporal punishment of children, including at home, at schools, and as a sentence in courts and work towards a general understanding that corporal punishment of children is not beneficial but rather detrimental to their development (Germany);</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Germany</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F32 Children: family environment and alternative care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F34 Children: Juvenile justice</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children</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80.84 Introduce the legislative measures and policies necessary to ensure the protection and promotion of the rights of boys and girls, including explicit prohibition of corporal punishment both in public and private spheres, as previously recommended (Mexico);</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Mexico</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F32 Children: family environment and alternative care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F34 Children: Juvenile justice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A27 Follow-up to Universal Periodic Review (UPR)</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girls</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F33 Children: protection against exploitation</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80.120 Increase efforts to keep children in schools and protect them from sexual exploitation or forced and unlawful employment (Malaysia);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Malaysia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F33 Children: protection against exploitation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E51 Right to education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S04 SDG 4  - education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children</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80.123 Increase the minimum age of employment to 16 years in line with the observations of the ILO (Honduras);</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Honduras</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F33 Children: protection against exploitation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S08 SDG 8 - economic growth, employment, decent work</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women</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children</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F34 Children: Juvenile justice</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80.94 Establish a Juvenile Rehabilitation Centre to ensure detention separate from adults and the safety of juvenile offenders whilst in detention and to equip them to be productive citizens on release into society (United Kingdom of Great Britain and Northern Ireland);</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13</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United Kingdom of Great Britain and Northern Ireland</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F34 Children: Juvenile justice</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D26 Conditions of detention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persons deprived of their liberty</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children</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F4 Persons with disabilities</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80.125 Continue developing and implementing measures that allow the inclusion of persons with disabilities (Argentina);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Argentina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F4 Persons with disabilities</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persons with disabilities</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80.127 Ensure that research on how the education of children with disabilities can be implemented through mainstream educational settings, is included in the planned comprehensive implementation plan for persons with disabilities. Regional and international experiences and best practices could be incorporated into such a study (Jamaica);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Jamaica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F4 Persons with disabilities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A41 Constitutional and legislative framework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E51 Right to education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S04 SDG 4  - education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children</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persons with disabilities</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lastRenderedPageBreak/>
              <w:t>80.124 Review, adopt and implement the pending draft national policy on persons with disabilities to ensure non-discrimination in education, employment and healthcare (Maldives);</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Maldives</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F4 Persons with disabilities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A42 Institutions &amp; policies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B31 Equality &amp; non-discrimination</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E31 Right to 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E41 Right to health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E51 Right to education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S08 SDG 8 - economic growth, employment, decent work</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S03 SDG 3 - health</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S04 SDG 4  - education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persons with disabilities</w:t>
            </w:r>
          </w:p>
        </w:tc>
      </w:tr>
      <w:tr w:rsidR="006D1801" w:rsidRPr="006D1801" w:rsidTr="006D1801">
        <w:trPr>
          <w:cantSplit/>
        </w:trPr>
        <w:tc>
          <w:tcPr>
            <w:tcW w:w="452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80.126 Try to address the intractable problem of providing education and health services to certain categories of children with disabilities, with appropriate assistance from regional and international partners (Jamaica);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15</w:t>
            </w:r>
          </w:p>
        </w:tc>
        <w:tc>
          <w:tcPr>
            <w:tcW w:w="1240" w:type="dxa"/>
            <w:tcBorders>
              <w:bottom w:val="dotted" w:sz="4" w:space="0" w:color="auto"/>
            </w:tcBorders>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Jamaica</w:t>
            </w:r>
          </w:p>
        </w:tc>
        <w:tc>
          <w:tcPr>
            <w:tcW w:w="1400" w:type="dxa"/>
            <w:tcBorders>
              <w:bottom w:val="dotted" w:sz="4" w:space="0" w:color="auto"/>
            </w:tcBorders>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Supported</w:t>
            </w:r>
          </w:p>
          <w:p w:rsidR="006D1801" w:rsidRPr="006D1801" w:rsidRDefault="006D1801" w:rsidP="006D1801">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F4 Persons with disabilities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E41 Right to health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E51 Right to education - General</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A28 Cooperation with other international mechanisms and institutions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S03 SDG 3 - health</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S04 SDG 4  - education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children</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persons with disabilities</w:t>
            </w:r>
          </w:p>
        </w:tc>
      </w:tr>
      <w:tr w:rsidR="006D1801" w:rsidRPr="006D1801" w:rsidTr="006D1801">
        <w:trPr>
          <w:cantSplit/>
        </w:trPr>
        <w:tc>
          <w:tcPr>
            <w:tcW w:w="10860" w:type="dxa"/>
            <w:gridSpan w:val="4"/>
            <w:shd w:val="clear" w:color="auto" w:fill="DBE5F1"/>
            <w:hideMark/>
          </w:tcPr>
          <w:p w:rsidR="006D1801" w:rsidRPr="006D1801" w:rsidRDefault="006D1801" w:rsidP="006D1801">
            <w:pPr>
              <w:suppressAutoHyphens w:val="0"/>
              <w:spacing w:line="240" w:lineRule="auto"/>
              <w:rPr>
                <w:b/>
                <w:i/>
                <w:color w:val="000000"/>
                <w:sz w:val="28"/>
                <w:szCs w:val="22"/>
                <w:lang w:eastAsia="en-GB"/>
              </w:rPr>
            </w:pPr>
            <w:r>
              <w:rPr>
                <w:b/>
                <w:i/>
                <w:color w:val="000000"/>
                <w:sz w:val="28"/>
                <w:szCs w:val="22"/>
                <w:lang w:eastAsia="en-GB"/>
              </w:rPr>
              <w:t xml:space="preserve">Theme: </w:t>
            </w:r>
            <w:r w:rsidRPr="006D1801">
              <w:rPr>
                <w:b/>
                <w:i/>
                <w:color w:val="000000"/>
                <w:sz w:val="28"/>
                <w:szCs w:val="22"/>
                <w:lang w:eastAsia="en-GB"/>
              </w:rPr>
              <w:t>G1 Members of minorities</w:t>
            </w:r>
          </w:p>
        </w:tc>
      </w:tr>
      <w:tr w:rsidR="006D1801" w:rsidRPr="006D1801" w:rsidTr="006D1801">
        <w:trPr>
          <w:cantSplit/>
        </w:trPr>
        <w:tc>
          <w:tcPr>
            <w:tcW w:w="4520" w:type="dxa"/>
            <w:shd w:val="clear" w:color="auto" w:fill="auto"/>
            <w:hideMark/>
          </w:tcPr>
          <w:p w:rsidR="006D1801" w:rsidRDefault="006D1801" w:rsidP="006D1801">
            <w:pPr>
              <w:suppressAutoHyphens w:val="0"/>
              <w:spacing w:before="40" w:after="40" w:line="240" w:lineRule="auto"/>
              <w:rPr>
                <w:color w:val="000000"/>
                <w:szCs w:val="22"/>
                <w:lang w:eastAsia="en-GB"/>
              </w:rPr>
            </w:pPr>
            <w:bookmarkStart w:id="0" w:name="_GoBack" w:colFirst="0" w:colLast="0"/>
            <w:r w:rsidRPr="006D1801">
              <w:rPr>
                <w:color w:val="000000"/>
                <w:szCs w:val="22"/>
                <w:lang w:eastAsia="en-GB"/>
              </w:rPr>
              <w:t>80.103 Design and implement measures to allow the exercise of cultural and religious life of ethnic and religious minorities, such as the Rastafari and Garifuna, without obstacles or stigmatization (Colombia);</w:t>
            </w:r>
          </w:p>
          <w:p w:rsidR="006D1801" w:rsidRPr="006D1801" w:rsidRDefault="006D1801" w:rsidP="006D1801">
            <w:pPr>
              <w:suppressAutoHyphens w:val="0"/>
              <w:spacing w:before="40" w:after="40" w:line="240" w:lineRule="auto"/>
              <w:rPr>
                <w:color w:val="000000"/>
                <w:szCs w:val="22"/>
                <w:lang w:eastAsia="en-GB"/>
              </w:rPr>
            </w:pPr>
            <w:r w:rsidRPr="006D1801">
              <w:rPr>
                <w:b/>
                <w:color w:val="000000"/>
                <w:szCs w:val="22"/>
                <w:lang w:eastAsia="en-GB"/>
              </w:rPr>
              <w:t>Source of position:</w:t>
            </w:r>
            <w:r w:rsidRPr="006D1801">
              <w:rPr>
                <w:color w:val="000000"/>
                <w:szCs w:val="22"/>
                <w:lang w:eastAsia="en-GB"/>
              </w:rPr>
              <w:t xml:space="preserve"> A/HRC/33/5/Add.1 - Para. 14</w:t>
            </w:r>
          </w:p>
        </w:tc>
        <w:tc>
          <w:tcPr>
            <w:tcW w:w="1240" w:type="dxa"/>
            <w:shd w:val="clear" w:color="auto" w:fill="auto"/>
            <w:hideMark/>
          </w:tcPr>
          <w:p w:rsidR="006D1801" w:rsidRPr="006D1801" w:rsidRDefault="006D1801" w:rsidP="006D1801">
            <w:pPr>
              <w:suppressAutoHyphens w:val="0"/>
              <w:spacing w:before="40" w:after="40" w:line="240" w:lineRule="auto"/>
              <w:rPr>
                <w:color w:val="000000"/>
                <w:szCs w:val="22"/>
                <w:lang w:eastAsia="en-GB"/>
              </w:rPr>
            </w:pPr>
            <w:r w:rsidRPr="006D1801">
              <w:rPr>
                <w:color w:val="000000"/>
                <w:szCs w:val="22"/>
                <w:lang w:eastAsia="en-GB"/>
              </w:rPr>
              <w:t>Colombia</w:t>
            </w:r>
          </w:p>
        </w:tc>
        <w:tc>
          <w:tcPr>
            <w:tcW w:w="1400" w:type="dxa"/>
            <w:shd w:val="clear" w:color="auto" w:fill="auto"/>
            <w:hideMark/>
          </w:tcPr>
          <w:p w:rsidR="006D1801" w:rsidRDefault="006D1801" w:rsidP="006D1801">
            <w:pPr>
              <w:suppressAutoHyphens w:val="0"/>
              <w:spacing w:before="40" w:after="40" w:line="240" w:lineRule="auto"/>
              <w:rPr>
                <w:color w:val="000000"/>
                <w:szCs w:val="22"/>
                <w:lang w:eastAsia="en-GB"/>
              </w:rPr>
            </w:pPr>
            <w:r w:rsidRPr="006D1801">
              <w:rPr>
                <w:color w:val="000000"/>
                <w:szCs w:val="22"/>
                <w:lang w:eastAsia="en-GB"/>
              </w:rPr>
              <w:t>Noted</w:t>
            </w:r>
          </w:p>
          <w:p w:rsidR="006D1801" w:rsidRPr="006D1801" w:rsidRDefault="006D1801" w:rsidP="006D1801">
            <w:pPr>
              <w:suppressAutoHyphens w:val="0"/>
              <w:spacing w:before="40" w:after="40" w:line="240" w:lineRule="auto"/>
              <w:rPr>
                <w:color w:val="000000"/>
                <w:szCs w:val="22"/>
                <w:lang w:eastAsia="en-GB"/>
              </w:rPr>
            </w:pPr>
          </w:p>
        </w:tc>
        <w:tc>
          <w:tcPr>
            <w:tcW w:w="3700" w:type="dxa"/>
            <w:shd w:val="clear" w:color="auto" w:fill="auto"/>
            <w:hideMark/>
          </w:tcPr>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G1 Members of minorities</w:t>
            </w:r>
          </w:p>
          <w:p w:rsid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D42 Freedom of thought, conscience and religion</w:t>
            </w:r>
          </w:p>
          <w:p w:rsidR="006D1801" w:rsidRDefault="006D1801" w:rsidP="006D1801">
            <w:pPr>
              <w:suppressAutoHyphens w:val="0"/>
              <w:spacing w:line="240" w:lineRule="auto"/>
              <w:rPr>
                <w:color w:val="000000"/>
                <w:sz w:val="16"/>
                <w:szCs w:val="22"/>
                <w:lang w:eastAsia="en-GB"/>
              </w:rPr>
            </w:pPr>
            <w:r w:rsidRPr="006D1801">
              <w:rPr>
                <w:b/>
                <w:color w:val="000000"/>
                <w:sz w:val="16"/>
                <w:szCs w:val="22"/>
                <w:lang w:eastAsia="en-GB"/>
              </w:rPr>
              <w:t>Affected persons:</w:t>
            </w:r>
          </w:p>
          <w:p w:rsidR="006D1801" w:rsidRPr="006D1801" w:rsidRDefault="006D1801" w:rsidP="006D1801">
            <w:pPr>
              <w:suppressAutoHyphens w:val="0"/>
              <w:spacing w:line="240" w:lineRule="auto"/>
              <w:rPr>
                <w:color w:val="000000"/>
                <w:sz w:val="16"/>
                <w:szCs w:val="22"/>
                <w:lang w:eastAsia="en-GB"/>
              </w:rPr>
            </w:pPr>
            <w:r w:rsidRPr="006D1801">
              <w:rPr>
                <w:color w:val="000000"/>
                <w:sz w:val="16"/>
                <w:szCs w:val="22"/>
                <w:lang w:eastAsia="en-GB"/>
              </w:rPr>
              <w:t>- minorities/ racial, ethnic, linguistic, religious or descent-based groups</w:t>
            </w:r>
          </w:p>
        </w:tc>
      </w:tr>
      <w:bookmarkEnd w:id="0"/>
    </w:tbl>
    <w:p w:rsidR="00BD354B" w:rsidRDefault="00BD354B" w:rsidP="00D53ABE">
      <w:pPr>
        <w:rPr>
          <w:sz w:val="22"/>
          <w:szCs w:val="22"/>
        </w:rPr>
      </w:pPr>
    </w:p>
    <w:p w:rsidR="00E33392" w:rsidRPr="00A04131" w:rsidRDefault="00E33392" w:rsidP="00D53ABE">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801" w:rsidRDefault="006D1801"/>
  </w:endnote>
  <w:endnote w:type="continuationSeparator" w:id="0">
    <w:p w:rsidR="006D1801" w:rsidRDefault="006D1801"/>
  </w:endnote>
  <w:endnote w:type="continuationNotice" w:id="1">
    <w:p w:rsidR="006D1801" w:rsidRDefault="006D1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801" w:rsidRDefault="006D1801">
    <w:pPr>
      <w:pStyle w:val="Footer"/>
    </w:pPr>
  </w:p>
  <w:p w:rsidR="006D1801" w:rsidRDefault="006D18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801" w:rsidRPr="000B175B" w:rsidRDefault="006D1801" w:rsidP="000B175B">
      <w:pPr>
        <w:tabs>
          <w:tab w:val="right" w:pos="2155"/>
        </w:tabs>
        <w:spacing w:after="80"/>
        <w:ind w:left="680"/>
        <w:rPr>
          <w:u w:val="single"/>
        </w:rPr>
      </w:pPr>
      <w:r>
        <w:rPr>
          <w:u w:val="single"/>
        </w:rPr>
        <w:tab/>
      </w:r>
    </w:p>
  </w:footnote>
  <w:footnote w:type="continuationSeparator" w:id="0">
    <w:p w:rsidR="006D1801" w:rsidRPr="00FC68B7" w:rsidRDefault="006D1801" w:rsidP="00FC68B7">
      <w:pPr>
        <w:tabs>
          <w:tab w:val="left" w:pos="2155"/>
        </w:tabs>
        <w:spacing w:after="80"/>
        <w:ind w:left="680"/>
        <w:rPr>
          <w:u w:val="single"/>
        </w:rPr>
      </w:pPr>
      <w:r>
        <w:rPr>
          <w:u w:val="single"/>
        </w:rPr>
        <w:tab/>
      </w:r>
    </w:p>
  </w:footnote>
  <w:footnote w:type="continuationNotice" w:id="1">
    <w:p w:rsidR="006D1801" w:rsidRDefault="006D18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801" w:rsidRPr="004B3BFD" w:rsidRDefault="006D1801" w:rsidP="00D237C6">
    <w:pPr>
      <w:suppressAutoHyphens w:val="0"/>
      <w:spacing w:line="240" w:lineRule="auto"/>
      <w:rPr>
        <w:rFonts w:ascii="Calibri" w:hAnsi="Calibri"/>
        <w:color w:val="000000"/>
        <w:sz w:val="24"/>
        <w:szCs w:val="24"/>
        <w:lang w:eastAsia="en-GB"/>
      </w:rPr>
    </w:pPr>
    <w:r w:rsidRPr="00D75514">
      <w:rPr>
        <w:rFonts w:ascii="Calibri" w:hAnsi="Calibri"/>
        <w:b/>
        <w:color w:val="000000"/>
        <w:sz w:val="24"/>
        <w:szCs w:val="24"/>
        <w:lang w:eastAsia="en-GB"/>
      </w:rPr>
      <w:t>UPR of Saint Vincent and the Grenadines - Second Cycle</w:t>
    </w:r>
    <w:r>
      <w:rPr>
        <w:rFonts w:ascii="Calibri" w:hAnsi="Calibri"/>
        <w:b/>
        <w:color w:val="000000"/>
        <w:sz w:val="24"/>
        <w:szCs w:val="24"/>
        <w:lang w:eastAsia="en-GB"/>
      </w:rPr>
      <w:t xml:space="preserve"> -</w:t>
    </w:r>
    <w:r>
      <w:rPr>
        <w:rFonts w:ascii="Calibri" w:hAnsi="Calibri"/>
        <w:b/>
        <w:color w:val="000000"/>
        <w:sz w:val="28"/>
        <w:szCs w:val="28"/>
        <w:lang w:eastAsia="en-GB"/>
      </w:rPr>
      <w:t xml:space="preserve"> </w:t>
    </w:r>
    <w:r w:rsidRPr="002E17A9">
      <w:rPr>
        <w:rFonts w:ascii="Calibri" w:hAnsi="Calibri"/>
        <w:b/>
        <w:color w:val="000000"/>
        <w:sz w:val="24"/>
        <w:szCs w:val="28"/>
        <w:lang w:eastAsia="en-GB"/>
      </w:rPr>
      <w:t>Thematic list of recommendations</w:t>
    </w:r>
    <w:r>
      <w:rPr>
        <w:rFonts w:ascii="Calibri" w:hAnsi="Calibri"/>
        <w:b/>
        <w:color w:val="000000"/>
        <w:sz w:val="24"/>
        <w:szCs w:val="28"/>
        <w:lang w:eastAsia="en-GB"/>
      </w:rPr>
      <w:t xml:space="preserve"> </w:t>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BD354B">
      <w:rPr>
        <w:rFonts w:ascii="Calibri" w:hAnsi="Calibri"/>
        <w:b/>
        <w:noProof/>
        <w:color w:val="000000"/>
        <w:sz w:val="24"/>
        <w:szCs w:val="28"/>
        <w:lang w:eastAsia="en-GB"/>
      </w:rPr>
      <w:t>15</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BD354B">
      <w:rPr>
        <w:rFonts w:ascii="Calibri" w:hAnsi="Calibri"/>
        <w:b/>
        <w:noProof/>
        <w:color w:val="000000"/>
        <w:sz w:val="24"/>
        <w:szCs w:val="28"/>
        <w:lang w:eastAsia="en-GB"/>
      </w:rPr>
      <w:t>15</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514"/>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1C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1801"/>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D354B"/>
    <w:rsid w:val="00BE36A9"/>
    <w:rsid w:val="00BE618E"/>
    <w:rsid w:val="00BE7BEC"/>
    <w:rsid w:val="00BF0A5A"/>
    <w:rsid w:val="00BF0E63"/>
    <w:rsid w:val="00BF12A3"/>
    <w:rsid w:val="00BF16D7"/>
    <w:rsid w:val="00BF2373"/>
    <w:rsid w:val="00C044E2"/>
    <w:rsid w:val="00C048CB"/>
    <w:rsid w:val="00C066F3"/>
    <w:rsid w:val="00C125AF"/>
    <w:rsid w:val="00C24670"/>
    <w:rsid w:val="00C27019"/>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75514"/>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880479907">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388257348">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5\UPR25%20TEMPLATE%20no%20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7BE0C7-9288-4921-B038-1A92016947E9}">
  <ds:schemaRefs>
    <ds:schemaRef ds:uri="http://schemas.openxmlformats.org/officeDocument/2006/bibliography"/>
  </ds:schemaRefs>
</ds:datastoreItem>
</file>

<file path=customXml/itemProps2.xml><?xml version="1.0" encoding="utf-8"?>
<ds:datastoreItem xmlns:ds="http://schemas.openxmlformats.org/officeDocument/2006/customXml" ds:itemID="{639E50B8-AF41-4697-A16C-7AE97B69A6D7}"/>
</file>

<file path=customXml/itemProps3.xml><?xml version="1.0" encoding="utf-8"?>
<ds:datastoreItem xmlns:ds="http://schemas.openxmlformats.org/officeDocument/2006/customXml" ds:itemID="{02A4F2FE-2143-420A-8E83-AE6A81BDF722}"/>
</file>

<file path=customXml/itemProps4.xml><?xml version="1.0" encoding="utf-8"?>
<ds:datastoreItem xmlns:ds="http://schemas.openxmlformats.org/officeDocument/2006/customXml" ds:itemID="{0B4E417B-ACB2-4FF5-BC35-1EFAB847EFC1}"/>
</file>

<file path=docProps/app.xml><?xml version="1.0" encoding="utf-8"?>
<Properties xmlns="http://schemas.openxmlformats.org/officeDocument/2006/extended-properties" xmlns:vt="http://schemas.openxmlformats.org/officeDocument/2006/docPropsVTypes">
  <Template>UPR25 TEMPLATE no line.dotx</Template>
  <TotalTime>18</TotalTime>
  <Pages>15</Pages>
  <Words>7200</Words>
  <Characters>41043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UPR25_SaintVincenttheGrenadines_recommendations</dc:title>
  <dc:creator>Paul Miller</dc:creator>
  <cp:lastModifiedBy>Paul Miller</cp:lastModifiedBy>
  <cp:revision>3</cp:revision>
  <cp:lastPrinted>2014-11-20T16:05:00Z</cp:lastPrinted>
  <dcterms:created xsi:type="dcterms:W3CDTF">2016-12-19T12:43:00Z</dcterms:created>
  <dcterms:modified xsi:type="dcterms:W3CDTF">2016-12-20T08:12:00Z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1405400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