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5" w:rsidRDefault="00302635" w:rsidP="00302635">
      <w:pPr>
        <w:tabs>
          <w:tab w:val="center" w:pos="5103"/>
          <w:tab w:val="right" w:pos="10206"/>
        </w:tabs>
        <w:spacing w:after="0"/>
        <w:rPr>
          <w:rFonts w:ascii="Bodoni MT" w:hAnsi="Bodoni MT" w:cs="Simplified Arabic"/>
          <w:b/>
          <w:bCs/>
          <w:color w:val="002060"/>
          <w:sz w:val="28"/>
          <w:szCs w:val="28"/>
          <w:lang w:bidi="ar-TN"/>
        </w:rPr>
      </w:pPr>
      <w:bookmarkStart w:id="0" w:name="_GoBack"/>
      <w:bookmarkEnd w:id="0"/>
    </w:p>
    <w:p w:rsidR="00302635" w:rsidRPr="005531CD" w:rsidRDefault="005531CD" w:rsidP="005531CD">
      <w:pPr>
        <w:tabs>
          <w:tab w:val="center" w:pos="5103"/>
          <w:tab w:val="right" w:pos="10206"/>
        </w:tabs>
        <w:spacing w:after="0"/>
        <w:jc w:val="center"/>
        <w:rPr>
          <w:rFonts w:ascii="Bodoni MT" w:hAnsi="Bodoni MT" w:cs="Simplified Arabic"/>
          <w:b/>
          <w:bCs/>
          <w:color w:val="002060"/>
          <w:sz w:val="32"/>
          <w:szCs w:val="32"/>
          <w:lang w:bidi="ar-TN"/>
        </w:rPr>
      </w:pPr>
      <w:r w:rsidRPr="005531CD">
        <w:rPr>
          <w:rFonts w:ascii="Bodoni MT" w:hAnsi="Bodoni MT" w:cs="Simplified Arabic"/>
          <w:b/>
          <w:bCs/>
          <w:color w:val="002060"/>
          <w:sz w:val="32"/>
          <w:szCs w:val="32"/>
          <w:lang w:bidi="ar-TN"/>
        </w:rPr>
        <w:t>Annexe</w:t>
      </w:r>
      <w:r>
        <w:rPr>
          <w:rFonts w:ascii="Bodoni MT" w:hAnsi="Bodoni MT" w:cs="Simplified Arabic"/>
          <w:b/>
          <w:bCs/>
          <w:color w:val="002060"/>
          <w:sz w:val="32"/>
          <w:szCs w:val="32"/>
          <w:lang w:bidi="ar-TN"/>
        </w:rPr>
        <w:t xml:space="preserve"> </w:t>
      </w:r>
      <w:r w:rsidRPr="005531CD">
        <w:rPr>
          <w:rFonts w:ascii="Bodoni MT" w:hAnsi="Bodoni MT" w:cs="Simplified Arabic"/>
          <w:b/>
          <w:bCs/>
          <w:color w:val="002060"/>
          <w:sz w:val="32"/>
          <w:szCs w:val="32"/>
          <w:lang w:bidi="ar-TN"/>
        </w:rPr>
        <w:t>6</w:t>
      </w:r>
    </w:p>
    <w:p w:rsidR="00302635" w:rsidRPr="005531CD" w:rsidRDefault="00302635" w:rsidP="005531CD">
      <w:pPr>
        <w:tabs>
          <w:tab w:val="center" w:pos="5103"/>
          <w:tab w:val="right" w:pos="10206"/>
        </w:tabs>
        <w:spacing w:after="0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</w:pPr>
      <w:r w:rsidRPr="00E0055E"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  <w:t xml:space="preserve">Tableau récapitulatif des </w:t>
      </w:r>
      <w:r w:rsidR="005531CD"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  <w:t xml:space="preserve">visites en Tunisie des </w:t>
      </w:r>
      <w:r w:rsidRPr="00E0055E"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  <w:t>rapporteurs spéciaux</w:t>
      </w:r>
      <w:r w:rsidR="005531CD"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  <w:t>, Experts indépendants</w:t>
      </w:r>
      <w:r w:rsidRPr="00E0055E"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  <w:t xml:space="preserve"> et groupes de travail </w:t>
      </w:r>
    </w:p>
    <w:p w:rsidR="00302635" w:rsidRPr="00E0055E" w:rsidRDefault="00302635" w:rsidP="00302635">
      <w:pPr>
        <w:tabs>
          <w:tab w:val="center" w:pos="5103"/>
          <w:tab w:val="right" w:pos="10206"/>
        </w:tabs>
        <w:spacing w:after="0"/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bidi="ar-TN"/>
        </w:rPr>
      </w:pPr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8364"/>
        <w:gridCol w:w="2410"/>
      </w:tblGrid>
      <w:tr w:rsidR="00302635" w:rsidTr="0081661B"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Rapporteur spécial ou groupe de travail</w:t>
            </w:r>
          </w:p>
          <w:p w:rsidR="00302635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</w:p>
        </w:tc>
        <w:tc>
          <w:tcPr>
            <w:tcW w:w="2410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Date de visite</w:t>
            </w:r>
          </w:p>
        </w:tc>
      </w:tr>
      <w:tr w:rsidR="00302635" w:rsidTr="0081661B">
        <w:tc>
          <w:tcPr>
            <w:tcW w:w="8364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le rapporteur spécial sur le droit à la liberté d’opinion et d’expression</w:t>
            </w: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6-10/12/1999</w:t>
            </w:r>
          </w:p>
        </w:tc>
      </w:tr>
      <w:tr w:rsidR="00302635" w:rsidTr="0081661B">
        <w:tc>
          <w:tcPr>
            <w:tcW w:w="8364" w:type="dxa"/>
          </w:tcPr>
          <w:p w:rsidR="00302635" w:rsidRPr="00A178CB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la torture et les peines ou traitement cruels, inhumains ou dégradants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 1*</w:t>
            </w:r>
          </w:p>
        </w:tc>
        <w:tc>
          <w:tcPr>
            <w:tcW w:w="2410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15-22 /05/ 2011</w:t>
            </w:r>
          </w:p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4-6/06/2014</w:t>
            </w:r>
          </w:p>
        </w:tc>
      </w:tr>
      <w:tr w:rsidR="00302635" w:rsidTr="0081661B">
        <w:tc>
          <w:tcPr>
            <w:tcW w:w="8364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la promotion des droits de l’homme et des libertés fondamentales dans la lutte antiterroriste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. </w:t>
            </w: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23-26 /05/ 2011</w:t>
            </w:r>
          </w:p>
        </w:tc>
      </w:tr>
      <w:tr w:rsidR="00302635" w:rsidTr="0081661B">
        <w:tc>
          <w:tcPr>
            <w:tcW w:w="8364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le droit à l’éducation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>.</w:t>
            </w: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30 avril -09 mai 2012</w:t>
            </w:r>
          </w:p>
        </w:tc>
      </w:tr>
      <w:tr w:rsidR="00302635" w:rsidTr="0081661B">
        <w:tc>
          <w:tcPr>
            <w:tcW w:w="8364" w:type="dxa"/>
          </w:tcPr>
          <w:p w:rsidR="00302635" w:rsidRPr="00A178CB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les droits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 de l’Homme des migrants.</w:t>
            </w:r>
          </w:p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04-08 /06/ 2012</w:t>
            </w:r>
          </w:p>
        </w:tc>
      </w:tr>
      <w:tr w:rsidR="00302635" w:rsidTr="0081661B">
        <w:tc>
          <w:tcPr>
            <w:tcW w:w="8364" w:type="dxa"/>
          </w:tcPr>
          <w:p w:rsidR="00302635" w:rsidRPr="00EF0CD7" w:rsidRDefault="00302635" w:rsidP="0081661B">
            <w:pPr>
              <w:jc w:val="both"/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EF0CD7">
              <w:rPr>
                <w:rFonts w:asciiTheme="majorBidi" w:hAnsiTheme="majorBidi" w:cstheme="majorBidi"/>
                <w:color w:val="222222"/>
                <w:sz w:val="26"/>
                <w:szCs w:val="26"/>
              </w:rPr>
              <w:t xml:space="preserve">Rapporteuse Spéciale des Nations Unies et Rapporteuse spéciale de la Commission Africaine des Droits de l’Homme et des Peuples sur  la situation des défenseurs des droits de l’Homme </w:t>
            </w: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27 Sept -05oct 2012</w:t>
            </w:r>
          </w:p>
        </w:tc>
      </w:tr>
      <w:tr w:rsidR="00302635" w:rsidTr="0081661B">
        <w:trPr>
          <w:trHeight w:val="738"/>
        </w:trPr>
        <w:tc>
          <w:tcPr>
            <w:tcW w:w="8364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la promotion de la vérité, de justice, la réparation et les garanties de non répétition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>.</w:t>
            </w: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 </w:t>
            </w: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10-16/11/2012</w:t>
            </w:r>
          </w:p>
        </w:tc>
      </w:tr>
      <w:tr w:rsidR="00302635" w:rsidTr="0081661B">
        <w:trPr>
          <w:trHeight w:val="703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Présidente Rapporteuse spéciale du Groupe de travail sur la discrimination à l’égard des femmes dans la législation et la pratique. </w:t>
            </w:r>
          </w:p>
          <w:p w:rsidR="00302635" w:rsidRPr="00D9188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07-11/01/2013</w:t>
            </w:r>
          </w:p>
        </w:tc>
      </w:tr>
      <w:tr w:rsidR="00302635" w:rsidTr="0081661B">
        <w:trPr>
          <w:trHeight w:val="533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Rapporteuse spéciale sur la situation des droits de l’Homme en Erythrée. </w:t>
            </w:r>
          </w:p>
          <w:p w:rsidR="00302635" w:rsidRPr="007E155D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Tunisie/Malte</w:t>
            </w:r>
          </w:p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11-20/11/2013</w:t>
            </w:r>
          </w:p>
        </w:tc>
      </w:tr>
      <w:tr w:rsidR="00302635" w:rsidTr="0081661B">
        <w:trPr>
          <w:trHeight w:val="412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Rapporteuse spéciale sur l’indépendance des juges et des avocats.</w:t>
            </w:r>
          </w:p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 xml:space="preserve">27 nov-5déc 2014 </w:t>
            </w:r>
          </w:p>
        </w:tc>
      </w:tr>
      <w:tr w:rsidR="00302635" w:rsidTr="0081661B">
        <w:trPr>
          <w:trHeight w:val="1018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 xml:space="preserve">Présidente rapporteuse spéciale du groupe de travail sur l’utilisation des mercenaires comme moyen de violation des droits de l’Homme et d’empêcher le droit des peuples à disposer d’eux-mêmes.  </w:t>
            </w:r>
          </w:p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</w:pPr>
            <w:r w:rsidRPr="00286579">
              <w:rPr>
                <w:rFonts w:ascii="Bodoni MT" w:hAnsi="Bodoni MT" w:cs="Simplified Arabic"/>
                <w:b/>
                <w:bCs/>
                <w:color w:val="002060"/>
                <w:sz w:val="28"/>
                <w:szCs w:val="28"/>
                <w:lang w:bidi="ar-TN"/>
              </w:rPr>
              <w:t>01-08/07/2015</w:t>
            </w:r>
          </w:p>
        </w:tc>
      </w:tr>
      <w:tr w:rsidR="00302635" w:rsidTr="0081661B">
        <w:trPr>
          <w:trHeight w:val="787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 w:rsidRPr="00286579">
              <w:rPr>
                <w:rFonts w:asciiTheme="majorBidi" w:hAnsiTheme="majorBidi" w:cstheme="majorBidi"/>
                <w:sz w:val="26"/>
                <w:szCs w:val="26"/>
                <w:lang w:bidi="ar-TN"/>
              </w:rPr>
              <w:t>Rapporteur spécial sur la promotion des droits de l’homme et des libertés fondamentales dans la lutte antiterroriste</w:t>
            </w: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>.</w:t>
            </w:r>
          </w:p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5675F3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</w:pPr>
            <w:r w:rsidRPr="005675F3"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  <w:t>30-01 au</w:t>
            </w:r>
            <w:r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  <w:t xml:space="preserve"> </w:t>
            </w:r>
            <w:r w:rsidRPr="005675F3"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  <w:t>03/02/2017</w:t>
            </w:r>
          </w:p>
        </w:tc>
      </w:tr>
      <w:tr w:rsidR="00302635" w:rsidTr="0081661B">
        <w:trPr>
          <w:trHeight w:val="858"/>
        </w:trPr>
        <w:tc>
          <w:tcPr>
            <w:tcW w:w="8364" w:type="dxa"/>
          </w:tcPr>
          <w:p w:rsidR="00302635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TN"/>
              </w:rPr>
              <w:t>Expert indépendant sur les effets négatifs de la dette extérieure sur le développement. 2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TN"/>
              </w:rPr>
              <w:t>*</w:t>
            </w:r>
          </w:p>
          <w:p w:rsidR="00302635" w:rsidRPr="00286579" w:rsidRDefault="00302635" w:rsidP="0081661B">
            <w:pPr>
              <w:tabs>
                <w:tab w:val="center" w:pos="5103"/>
                <w:tab w:val="right" w:pos="10206"/>
              </w:tabs>
              <w:rPr>
                <w:rFonts w:asciiTheme="majorBidi" w:hAnsiTheme="majorBidi" w:cstheme="majorBidi"/>
                <w:sz w:val="26"/>
                <w:szCs w:val="26"/>
                <w:lang w:bidi="ar-TN"/>
              </w:rPr>
            </w:pPr>
          </w:p>
        </w:tc>
        <w:tc>
          <w:tcPr>
            <w:tcW w:w="2410" w:type="dxa"/>
          </w:tcPr>
          <w:p w:rsidR="00302635" w:rsidRPr="005675F3" w:rsidRDefault="00302635" w:rsidP="0081661B">
            <w:pPr>
              <w:tabs>
                <w:tab w:val="center" w:pos="5103"/>
                <w:tab w:val="right" w:pos="10206"/>
              </w:tabs>
              <w:jc w:val="center"/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</w:pPr>
            <w:r>
              <w:rPr>
                <w:rFonts w:ascii="Bodoni MT" w:hAnsi="Bodoni MT" w:cs="Simplified Arabic"/>
                <w:b/>
                <w:bCs/>
                <w:color w:val="002060"/>
                <w:sz w:val="24"/>
                <w:szCs w:val="24"/>
                <w:lang w:bidi="ar-TN"/>
              </w:rPr>
              <w:t xml:space="preserve">20-02 au 01/03/2017 </w:t>
            </w:r>
          </w:p>
        </w:tc>
      </w:tr>
    </w:tbl>
    <w:p w:rsidR="005531CD" w:rsidRDefault="005531CD" w:rsidP="00302635">
      <w:pPr>
        <w:tabs>
          <w:tab w:val="center" w:pos="5103"/>
          <w:tab w:val="right" w:pos="10206"/>
        </w:tabs>
        <w:spacing w:after="0"/>
        <w:rPr>
          <w:rFonts w:asciiTheme="majorBidi" w:hAnsiTheme="majorBidi" w:cstheme="majorBidi"/>
          <w:sz w:val="28"/>
          <w:szCs w:val="28"/>
          <w:lang w:bidi="ar-TN"/>
        </w:rPr>
      </w:pPr>
    </w:p>
    <w:p w:rsidR="00302635" w:rsidRPr="00FB45A0" w:rsidRDefault="00302635" w:rsidP="00302635">
      <w:pPr>
        <w:tabs>
          <w:tab w:val="center" w:pos="5103"/>
          <w:tab w:val="right" w:pos="10206"/>
        </w:tabs>
        <w:spacing w:after="0"/>
        <w:rPr>
          <w:rFonts w:asciiTheme="majorBidi" w:hAnsiTheme="majorBidi" w:cstheme="majorBidi"/>
          <w:sz w:val="28"/>
          <w:szCs w:val="28"/>
          <w:rtl/>
          <w:lang w:bidi="ar-TN"/>
        </w:rPr>
      </w:pPr>
      <w:r w:rsidRPr="00FB45A0">
        <w:rPr>
          <w:rFonts w:asciiTheme="majorBidi" w:hAnsiTheme="majorBidi" w:cstheme="majorBidi"/>
          <w:sz w:val="28"/>
          <w:szCs w:val="28"/>
          <w:lang w:bidi="ar-TN"/>
        </w:rPr>
        <w:t xml:space="preserve">1* </w:t>
      </w:r>
      <w:r>
        <w:rPr>
          <w:rFonts w:asciiTheme="majorBidi" w:hAnsiTheme="majorBidi" w:cstheme="majorBidi"/>
          <w:sz w:val="28"/>
          <w:szCs w:val="28"/>
          <w:lang w:bidi="ar-TN"/>
        </w:rPr>
        <w:t>visite de suivi.</w:t>
      </w:r>
      <w:r w:rsidRPr="00FB45A0">
        <w:rPr>
          <w:rFonts w:asciiTheme="majorBidi" w:hAnsiTheme="majorBidi" w:cstheme="majorBidi"/>
          <w:sz w:val="28"/>
          <w:szCs w:val="28"/>
          <w:lang w:bidi="ar-TN"/>
        </w:rPr>
        <w:t xml:space="preserve">  </w:t>
      </w:r>
    </w:p>
    <w:p w:rsidR="00302635" w:rsidRPr="00FB45A0" w:rsidRDefault="00302635" w:rsidP="00302635">
      <w:pPr>
        <w:tabs>
          <w:tab w:val="center" w:pos="5103"/>
          <w:tab w:val="right" w:pos="10206"/>
        </w:tabs>
        <w:spacing w:after="0"/>
        <w:rPr>
          <w:rFonts w:asciiTheme="majorBidi" w:hAnsiTheme="majorBidi" w:cstheme="majorBidi"/>
          <w:sz w:val="28"/>
          <w:szCs w:val="28"/>
          <w:lang w:bidi="ar-TN"/>
        </w:rPr>
      </w:pPr>
      <w:r w:rsidRPr="00FB45A0">
        <w:rPr>
          <w:rFonts w:asciiTheme="majorBidi" w:hAnsiTheme="majorBidi" w:cstheme="majorBidi"/>
          <w:sz w:val="28"/>
          <w:szCs w:val="28"/>
          <w:lang w:bidi="ar-TN"/>
        </w:rPr>
        <w:t>2*visite</w:t>
      </w:r>
      <w:r>
        <w:rPr>
          <w:rFonts w:asciiTheme="majorBidi" w:hAnsiTheme="majorBidi" w:cstheme="majorBidi"/>
          <w:sz w:val="28"/>
          <w:szCs w:val="28"/>
          <w:lang w:bidi="ar-TN"/>
        </w:rPr>
        <w:t xml:space="preserve"> convenue.</w:t>
      </w:r>
    </w:p>
    <w:p w:rsidR="002472AC" w:rsidRDefault="002472AC"/>
    <w:sectPr w:rsidR="002472AC" w:rsidSect="0030263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5"/>
    <w:rsid w:val="002472AC"/>
    <w:rsid w:val="00302635"/>
    <w:rsid w:val="005531CD"/>
    <w:rsid w:val="00556771"/>
    <w:rsid w:val="00724B0B"/>
    <w:rsid w:val="009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820D93-EAE7-40F9-8BEE-A653085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6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03AFA5-A12D-434D-8EE5-F3EEB0978C5B}"/>
</file>

<file path=customXml/itemProps2.xml><?xml version="1.0" encoding="utf-8"?>
<ds:datastoreItem xmlns:ds="http://schemas.openxmlformats.org/officeDocument/2006/customXml" ds:itemID="{85046F15-FB30-458B-BEBD-53FC0D7586DF}"/>
</file>

<file path=customXml/itemProps3.xml><?xml version="1.0" encoding="utf-8"?>
<ds:datastoreItem xmlns:ds="http://schemas.openxmlformats.org/officeDocument/2006/customXml" ds:itemID="{82D07817-799D-4F7F-AD71-D01F9046F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poste</dc:creator>
  <cp:lastModifiedBy>Mission Tun</cp:lastModifiedBy>
  <cp:revision>2</cp:revision>
  <dcterms:created xsi:type="dcterms:W3CDTF">2017-02-03T16:02:00Z</dcterms:created>
  <dcterms:modified xsi:type="dcterms:W3CDTF">2017-02-03T16:02:00Z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1324700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