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7F" w:rsidRDefault="00986705" w:rsidP="00986705">
      <w:pPr>
        <w:bidi/>
        <w:jc w:val="center"/>
        <w:rPr>
          <w:rtl/>
          <w:lang w:bidi="ar-TN"/>
        </w:rPr>
      </w:pPr>
      <w:r>
        <w:rPr>
          <w:rFonts w:hint="cs"/>
          <w:rtl/>
          <w:lang w:bidi="ar-TN"/>
        </w:rPr>
        <w:t xml:space="preserve">ملحق عدد </w:t>
      </w:r>
      <w:r w:rsidR="00CC7A4E">
        <w:rPr>
          <w:lang w:bidi="ar-TN"/>
        </w:rPr>
        <w:t>32</w:t>
      </w:r>
      <w:bookmarkStart w:id="0" w:name="_GoBack"/>
      <w:bookmarkEnd w:id="0"/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de-DE" w:eastAsia="ja-JP" w:bidi="fa-IR"/>
        </w:rPr>
        <w:t>- 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 w:bidi="fa-IR"/>
        </w:rPr>
        <w:t>إزالة المساكن البدائية وتوفير مساكن اجتماعية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 w:bidi="fa-IR"/>
        </w:rPr>
        <w:t>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مراجعة الأمر عدد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1224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المؤرّخ في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أوت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المتعلّق بتطبيق أحكام قانون المالية التكميلي 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المتعلّق بإحداث البرنامج الخصوصي للسكن الاجتماعي وذلك بموجب الأمر عدد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3289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2013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المؤّرخ في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02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أوت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2013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والأمر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460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2015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المؤرّخ في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09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جوان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2015.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·        في اتجاه تمكين بعض الفئات الاجتماعية من أولوية الحصول على مسكن كالمتضررين من الكوارث الطبيعيةوعائلات شهداء الثورةوعائلات شهداء العمليات الإرهابية من أمنيين أو عسكريين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·       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تحمّل الدولة لنسبة لا تتجاوز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>50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% من ثمن المسكن بعنوان منحة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·        تكفل كلي بثمن المسكن بالنسبة لبعض الفئات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>(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عائلات شهداء العمليات الإرهابية من أمنيين أو عسكريين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>).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وقد تم إلى حد شهر </w:t>
      </w:r>
      <w:proofErr w:type="spellStart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جانفي</w:t>
      </w:r>
      <w:proofErr w:type="spellEnd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الإعلان عن طلب العروض لإنجاز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ar-SA" w:eastAsia="ja-JP"/>
        </w:rPr>
        <w:t xml:space="preserve">6200 </w:t>
      </w:r>
      <w:proofErr w:type="spellStart"/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de-DE" w:eastAsia="ja-JP"/>
        </w:rPr>
        <w:t>مسكن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: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انطلقت</w:t>
      </w:r>
      <w:proofErr w:type="spellEnd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 الأشغال لإنجاز حوالي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3400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مسكنا أنجز منها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2021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مسكن وبلغ العدد الجملي للمنتفعين حسب الاتفاقيات الممضاة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8920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منتفع بكلفة جملية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190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مليون دينار في إطار إزالة المساكن البدائية وتعويضها بمساكن جديدة أو ترميمها أو توسعتها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أما فيما يتعلق بإنجاز وتوفير مساكن اجتماعية أو تهيئة مقاسم اجتماعية فقد بلغ عدد المساكن والمقاسم في طور الانجاز حوالي 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ar-SA" w:eastAsia="ja-JP"/>
        </w:rPr>
        <w:t xml:space="preserve">7250 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de-DE" w:eastAsia="ja-JP"/>
        </w:rPr>
        <w:t>مسكنا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في حين تقوم وزارة التجهيز بالبحث عن التمويلات اللازمة لإنجاز حوالي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6500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مسكنا ومقسما اجتماعيا بكلفة تناهز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500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مليون دينار وانجاز حوالي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15000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مسكنا اجتماعيا بكلفة تناهز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1200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مليون دينار في إطار الشراكة مع الخواص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وللإشارة فإن وزارة التجهيز استطاعت أن توفر عقارات لإنجاز حوالي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14000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مسكنا ومقسما اجتماعيا مع تواصل البحث عن مزيد من المدخرات العقارية لاستكمال هذا المشروع الوطني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de-DE" w:eastAsia="ja-JP" w:bidi="fa-IR"/>
        </w:rPr>
        <w:t>2- 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 w:bidi="fa-IR"/>
        </w:rPr>
        <w:t>توفير منحوقروض ميسرة لتحسين المسكن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 w:bidi="fa-IR"/>
        </w:rPr>
        <w:t>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وتتجلى هذه السياسة من خلال مراجعة النص المتعلّق بضبط شروط الحصول على المنح والقروض من صندوق تحسين السكن بموجب الأمر عدد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1125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2016  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المؤرّخ في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أوت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المتعلّق بتنقيح وإتمام الأمر عدد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534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2007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المؤرّخ في 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مارس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2007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وذلك في اتجاه توسيع مجالات تدخل الصندوق  من حيث طبيعة الأشغال الممولة  أو من حيث قيمة المنحة لتصل إلى 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de-DE" w:eastAsia="ja-JP"/>
        </w:rPr>
        <w:t xml:space="preserve">حدود 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ar-SA" w:eastAsia="ja-JP"/>
        </w:rPr>
        <w:t>5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de-DE" w:eastAsia="ja-JP"/>
        </w:rPr>
        <w:t>آلاف بالنسبة للفئات ذات الدخل الأقل من الأجر الأدنى المضمون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 كما تمّ الترفيع في قيمة القروض الممنوحة لتتراوح بين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4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آلاف دينار و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ألاف دينار بنسبة فائض يتراوح بين 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0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%و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3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،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5 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% حسب الفئة الاجتماعية المستهدفة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وفي هذا الإطار تم خلال 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صرف اعتمادات للصندوق المذكور بما يقدّر بـ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مليارات و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822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مليون دينار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.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 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/>
        </w:rPr>
        <w:t>3-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/>
        </w:rPr>
        <w:t xml:space="preserve">توفير قروض ميسرة للبناء أو اقتناء مساكن اقتصادية لفائدة الفئات الاجتماعية التي لا يتجاوز دخلها 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/>
        </w:rPr>
        <w:t>4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/>
        </w:rPr>
        <w:t>،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/>
        </w:rPr>
        <w:t xml:space="preserve">5 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/>
        </w:rPr>
        <w:t>الأجر الأدنى المهني المضمون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/>
        </w:rPr>
        <w:t>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وفي هذا الإطار تمت مراجعة منظومة صندوق النهوض بالمسكن لفائدة الأجراء بموجب الأمر عدد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1126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2016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المؤرّخ في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18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أوت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2016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المتعلّق بضبط صيغ وشروط تدخلات صندوق النهوض بالمساكن لفائدة الأجراء وذلك في اتجاه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lastRenderedPageBreak/>
        <w:t xml:space="preserve">*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إعادة النظر في الفئات المنتفعة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الفئة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1: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يتراوح دخلها من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إلى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2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،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5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الأجر الأدنى المهني المضمون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الفئة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2: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يتراوح دخلها من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2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،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5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إلى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3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،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5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الأجر الأدنى المهني المضمون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الفئة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3: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يتراوح دخلها من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3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،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5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إلى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4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،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5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الأجر الأدنى المهني المضمون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*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توسيع مجالات التدخل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: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ليشمل التمويل من خلال الصندوق المذكور بناء </w:t>
      </w:r>
      <w:proofErr w:type="spellStart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أوتوسيع</w:t>
      </w:r>
      <w:proofErr w:type="spellEnd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 </w:t>
      </w:r>
      <w:proofErr w:type="spellStart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مسكنأو</w:t>
      </w:r>
      <w:proofErr w:type="spellEnd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 اقتناء مسكن منجز من طرف باعث عقاري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هذا وتجدر الإشارة إلى أنه إلى حدود أواخر 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2016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تمّ صرف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 xml:space="preserve">13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مليار و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784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مليون </w:t>
      </w:r>
      <w:proofErr w:type="spellStart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ديناربعنوان</w:t>
      </w:r>
      <w:proofErr w:type="spellEnd"/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 xml:space="preserve"> قروض لفائدة الأجراء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/>
        </w:rPr>
        <w:t>4-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/>
        </w:rPr>
        <w:t xml:space="preserve">إحداث خط تمويل تحت تسمية 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/>
        </w:rPr>
        <w:t xml:space="preserve">" 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/>
        </w:rPr>
        <w:t>برنامج المسكن الأول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":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أحدث خط تمويل برنامج المسكن الأول بموجب الفصل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61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من قانون المالية 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2017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المصادق عليه بالقانون عدد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78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لسنة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2016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المؤرّخ في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17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ديسمبر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2016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وذلك في اتجاه تمكين العائلات التي يتراوح دخلها من 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ar-SA" w:eastAsia="ja-JP" w:bidi="fa-IR"/>
        </w:rPr>
        <w:t>4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de-DE" w:eastAsia="ja-JP" w:bidi="fa-IR"/>
        </w:rPr>
        <w:t>،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ar-SA" w:eastAsia="ja-JP" w:bidi="fa-IR"/>
        </w:rPr>
        <w:t xml:space="preserve">5 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de-DE" w:eastAsia="ja-JP" w:bidi="fa-IR"/>
        </w:rPr>
        <w:t xml:space="preserve">إلى 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ar-SA" w:eastAsia="ja-JP" w:bidi="fa-IR"/>
        </w:rPr>
        <w:t xml:space="preserve">10 </w:t>
      </w:r>
      <w:r w:rsidRPr="00A067DC">
        <w:rPr>
          <w:rFonts w:ascii="Times New Roman" w:eastAsia="Andale Sans UI" w:hAnsi="Times New Roman" w:cs="Times New Roman"/>
          <w:color w:val="FF0000"/>
          <w:kern w:val="3"/>
          <w:sz w:val="24"/>
          <w:szCs w:val="24"/>
          <w:rtl/>
          <w:lang w:val="de-DE" w:eastAsia="ja-JP" w:bidi="fa-IR"/>
        </w:rPr>
        <w:t>مرات الأجر الأدنى المضمون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مناقتناء مسكن من باعث عقاري لا يفوق ثمنه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200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ألف دينار مع تحمل الدولة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>20 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%من ثمن المسكن بعنوان التمويل الذاتي على ألا يتجاوز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40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ألف دينار مع مدّة إمهال بخمس سنوات بدون فائض ومدّة سداد بــ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سنوات ونسبة فائض محدّدة بــ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>2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%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TN" w:eastAsia="ja-JP" w:bidi="ar-TN"/>
        </w:rPr>
        <w:t>5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 w:bidi="ar-TN"/>
        </w:rPr>
        <w:t>-</w:t>
      </w:r>
      <w:r w:rsidRPr="00A067DC">
        <w:rPr>
          <w:rFonts w:ascii="Times New Roman" w:eastAsia="Andale Sans UI" w:hAnsi="Times New Roman" w:cs="Times New Roman"/>
          <w:bCs/>
          <w:color w:val="000000"/>
          <w:kern w:val="3"/>
          <w:sz w:val="24"/>
          <w:szCs w:val="24"/>
          <w:rtl/>
          <w:lang w:val="de-DE" w:eastAsia="ja-JP" w:bidi="ar-TN"/>
        </w:rPr>
        <w:t>مساهمات متواصلة للمتدخلين العموميين في مجهودات الدولة لتوفير المسكن اللائق</w:t>
      </w:r>
      <w:r w:rsidRPr="00A067DC">
        <w:rPr>
          <w:rFonts w:ascii="Times New Roman" w:eastAsia="Andale Sans UI" w:hAnsi="Times New Roman" w:cs="Times New Roman"/>
          <w:b/>
          <w:color w:val="000000"/>
          <w:kern w:val="3"/>
          <w:sz w:val="24"/>
          <w:szCs w:val="24"/>
          <w:rtl/>
          <w:lang w:val="ar-SA" w:eastAsia="ja-JP" w:bidi="ar-TN"/>
        </w:rPr>
        <w:t>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/>
        </w:rPr>
        <w:t>وتتمثل هذه المساهمة في الانطلاق في بعض المشاريع الكبرى ونذكر منها بالخصوص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: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v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    مشروع حدائق تونس الذي يمسح حوالي </w:t>
      </w:r>
      <w:r w:rsidRPr="00A067DC">
        <w:rPr>
          <w:rFonts w:ascii="Times New Roman" w:eastAsia="Andale Sans UI" w:hAnsi="Times New Roman" w:cs="Times New Roman"/>
          <w:color w:val="C00000"/>
          <w:kern w:val="3"/>
          <w:sz w:val="24"/>
          <w:szCs w:val="24"/>
          <w:rtl/>
          <w:lang w:val="ar-SA" w:eastAsia="ja-JP" w:bidi="fa-IR"/>
        </w:rPr>
        <w:t xml:space="preserve">330 </w:t>
      </w:r>
      <w:r w:rsidRPr="00A067DC">
        <w:rPr>
          <w:rFonts w:ascii="Times New Roman" w:eastAsia="Andale Sans UI" w:hAnsi="Times New Roman" w:cs="Times New Roman"/>
          <w:color w:val="C00000"/>
          <w:kern w:val="3"/>
          <w:sz w:val="24"/>
          <w:szCs w:val="24"/>
          <w:rtl/>
          <w:lang w:val="de-DE" w:eastAsia="ja-JP" w:bidi="fa-IR"/>
        </w:rPr>
        <w:t>هكتار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 xml:space="preserve">ويشمل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2172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مقسم مخصص للمسكن الفردي و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426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مقسم مخصص للمسكن الجماعي و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127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مقسم للتجهيزات و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 xml:space="preserve">207 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مقاسم تجهيزات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 w:bidi="fa-IR"/>
        </w:rPr>
        <w:t>.</w:t>
      </w:r>
    </w:p>
    <w:p w:rsidR="00986705" w:rsidRPr="00A067DC" w:rsidRDefault="00986705" w:rsidP="00986705">
      <w:pPr>
        <w:suppressAutoHyphens/>
        <w:autoSpaceDN w:val="0"/>
        <w:bidi/>
        <w:spacing w:after="12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</w:pP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lang w:val="de-DE" w:eastAsia="ja-JP" w:bidi="fa-IR"/>
        </w:rPr>
        <w:t>v    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de-DE" w:eastAsia="ja-JP" w:bidi="fa-IR"/>
        </w:rPr>
        <w:t>برنامج متكامل لتوفير تقسيمات في المناطق الداخلية وتتمثل في تقسيمات في ولاية منوبة، بن عروس، أريانة، بنزرت، سوسة، صفاقس، القيروان، مدنين وقفصة وستوفر هذه التقسيمات </w:t>
      </w:r>
      <w:r w:rsidRPr="00A067DC">
        <w:rPr>
          <w:rFonts w:ascii="Times New Roman" w:eastAsia="Andale Sans UI" w:hAnsi="Times New Roman" w:cs="Times New Roman"/>
          <w:color w:val="C00000"/>
          <w:kern w:val="3"/>
          <w:sz w:val="24"/>
          <w:szCs w:val="24"/>
          <w:rtl/>
          <w:lang w:val="ar-SA" w:eastAsia="ja-JP" w:bidi="fa-IR"/>
        </w:rPr>
        <w:t xml:space="preserve">4953 </w:t>
      </w:r>
      <w:r w:rsidRPr="00A067DC">
        <w:rPr>
          <w:rFonts w:ascii="Times New Roman" w:eastAsia="Andale Sans UI" w:hAnsi="Times New Roman" w:cs="Times New Roman"/>
          <w:color w:val="C00000"/>
          <w:kern w:val="3"/>
          <w:sz w:val="24"/>
          <w:szCs w:val="24"/>
          <w:rtl/>
          <w:lang w:val="de-DE" w:eastAsia="ja-JP" w:bidi="fa-IR"/>
        </w:rPr>
        <w:t>مقسما على مساحة صافية تقدّر بـ</w:t>
      </w:r>
      <w:r w:rsidRPr="00A067DC">
        <w:rPr>
          <w:rFonts w:ascii="Times New Roman" w:eastAsia="Andale Sans UI" w:hAnsi="Times New Roman" w:cs="Times New Roman"/>
          <w:color w:val="C00000"/>
          <w:kern w:val="3"/>
          <w:sz w:val="24"/>
          <w:szCs w:val="24"/>
          <w:rtl/>
          <w:lang w:val="ar-SA" w:eastAsia="ja-JP" w:bidi="fa-IR"/>
        </w:rPr>
        <w:t xml:space="preserve">211351 </w:t>
      </w:r>
      <w:r w:rsidRPr="00A067DC">
        <w:rPr>
          <w:rFonts w:ascii="Times New Roman" w:eastAsia="Andale Sans UI" w:hAnsi="Times New Roman" w:cs="Times New Roman"/>
          <w:color w:val="C00000"/>
          <w:kern w:val="3"/>
          <w:sz w:val="24"/>
          <w:szCs w:val="24"/>
          <w:rtl/>
          <w:lang w:val="de-DE" w:eastAsia="ja-JP" w:bidi="fa-IR"/>
        </w:rPr>
        <w:t>م²</w:t>
      </w:r>
      <w:r w:rsidRPr="00A067DC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rtl/>
          <w:lang w:val="ar-SA" w:eastAsia="ja-JP"/>
        </w:rPr>
        <w:t>.</w:t>
      </w:r>
    </w:p>
    <w:p w:rsidR="00986705" w:rsidRPr="00986705" w:rsidRDefault="00986705" w:rsidP="00986705">
      <w:pPr>
        <w:bidi/>
        <w:jc w:val="center"/>
        <w:rPr>
          <w:lang w:bidi="ar-TN"/>
        </w:rPr>
      </w:pPr>
    </w:p>
    <w:sectPr w:rsidR="00986705" w:rsidRPr="00986705" w:rsidSect="00330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05"/>
    <w:rsid w:val="003305DB"/>
    <w:rsid w:val="006A367F"/>
    <w:rsid w:val="008E025B"/>
    <w:rsid w:val="00986705"/>
    <w:rsid w:val="00CC7A4E"/>
    <w:rsid w:val="00D4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AB53C"/>
  <w15:docId w15:val="{08C8E73D-747B-4C19-80E6-D3ED7147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E33333-2010-4B48-8F08-5408B6481AE2}"/>
</file>

<file path=customXml/itemProps2.xml><?xml version="1.0" encoding="utf-8"?>
<ds:datastoreItem xmlns:ds="http://schemas.openxmlformats.org/officeDocument/2006/customXml" ds:itemID="{CD935806-7F1E-46AE-9E0E-A3811F695F02}"/>
</file>

<file path=customXml/itemProps3.xml><?xml version="1.0" encoding="utf-8"?>
<ds:datastoreItem xmlns:ds="http://schemas.openxmlformats.org/officeDocument/2006/customXml" ds:itemID="{D30B8662-417C-405A-9D1A-2FC8674A00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sana bouzaouach</dc:creator>
  <cp:lastModifiedBy>Mission Tun</cp:lastModifiedBy>
  <cp:revision>3</cp:revision>
  <dcterms:created xsi:type="dcterms:W3CDTF">2017-02-03T15:25:00Z</dcterms:created>
  <dcterms:modified xsi:type="dcterms:W3CDTF">2017-02-03T16:53:00Z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1328900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