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B7727F">
        <w:rPr>
          <w:lang w:val="fr-CH"/>
        </w:rPr>
        <w:t>Sri Lanka</w:t>
      </w:r>
    </w:p>
    <w:p w:rsidR="00A02BFB" w:rsidRPr="00A02BFB" w:rsidRDefault="00B7727F" w:rsidP="005512BA">
      <w:pPr>
        <w:pStyle w:val="HChG"/>
      </w:pPr>
      <w:r w:rsidRPr="00C61619">
        <w:rPr>
          <w:lang w:val="fr-CH"/>
        </w:rPr>
        <w:tab/>
      </w:r>
      <w:r>
        <w:t>I.</w:t>
      </w:r>
      <w:r w:rsidRPr="00F812A9">
        <w:tab/>
      </w:r>
      <w:r w:rsidR="00824586" w:rsidRPr="00F812A9">
        <w:t>Scope of international obligations</w:t>
      </w:r>
      <w:r w:rsidR="00824586" w:rsidRPr="00F812A9">
        <w:rPr>
          <w:b w:val="0"/>
          <w:sz w:val="18"/>
          <w:szCs w:val="18"/>
          <w:vertAlign w:val="superscript"/>
        </w:rPr>
        <w:endnoteReference w:id="2"/>
      </w:r>
    </w:p>
    <w:p w:rsidR="00A02BFB" w:rsidRPr="00A02BFB" w:rsidRDefault="00B7727F"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9045C9">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rsidTr="009045C9">
        <w:trPr>
          <w:trHeight w:hRule="exact" w:val="113"/>
        </w:trPr>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9045C9">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B7727F" w:rsidRPr="00C27951" w:rsidRDefault="00B7727F" w:rsidP="00B7727F">
            <w:pPr>
              <w:spacing w:before="40" w:after="120" w:line="220" w:lineRule="atLeast"/>
              <w:ind w:right="113"/>
            </w:pPr>
            <w:r w:rsidRPr="00C27951">
              <w:t>ICERD (1982)</w:t>
            </w:r>
          </w:p>
          <w:p w:rsidR="00B7727F" w:rsidRPr="00C27951" w:rsidRDefault="00B7727F" w:rsidP="00B7727F">
            <w:pPr>
              <w:spacing w:before="40" w:after="120" w:line="220" w:lineRule="atLeast"/>
              <w:ind w:right="113"/>
            </w:pPr>
            <w:r w:rsidRPr="00C27951">
              <w:t>ICESCR (1980)</w:t>
            </w:r>
          </w:p>
          <w:p w:rsidR="00B7727F" w:rsidRPr="00C27951" w:rsidRDefault="00B7727F" w:rsidP="00B7727F">
            <w:pPr>
              <w:spacing w:before="40" w:after="120" w:line="220" w:lineRule="atLeast"/>
              <w:ind w:right="113"/>
            </w:pPr>
            <w:r w:rsidRPr="00C27951">
              <w:t>ICCPR (1980)</w:t>
            </w:r>
          </w:p>
          <w:p w:rsidR="00B7727F" w:rsidRPr="00C27951" w:rsidRDefault="00B7727F" w:rsidP="00B7727F">
            <w:pPr>
              <w:spacing w:before="40" w:after="120" w:line="220" w:lineRule="atLeast"/>
              <w:ind w:right="113"/>
            </w:pPr>
            <w:r w:rsidRPr="00C27951">
              <w:t>CEDAW</w:t>
            </w:r>
            <w:r>
              <w:t xml:space="preserve"> </w:t>
            </w:r>
            <w:r w:rsidRPr="00C27951">
              <w:t>(1981)</w:t>
            </w:r>
          </w:p>
          <w:p w:rsidR="00B7727F" w:rsidRPr="00C27951" w:rsidRDefault="00B7727F" w:rsidP="00B7727F">
            <w:pPr>
              <w:spacing w:before="40" w:after="120" w:line="220" w:lineRule="atLeast"/>
              <w:ind w:right="113"/>
            </w:pPr>
            <w:r w:rsidRPr="00C27951">
              <w:t>CAT</w:t>
            </w:r>
            <w:r>
              <w:t xml:space="preserve"> </w:t>
            </w:r>
            <w:r w:rsidRPr="00C27951">
              <w:t>(1994)</w:t>
            </w:r>
          </w:p>
          <w:p w:rsidR="00B7727F" w:rsidRPr="00C27951" w:rsidRDefault="00B7727F" w:rsidP="00B7727F">
            <w:pPr>
              <w:spacing w:before="40" w:after="120" w:line="220" w:lineRule="atLeast"/>
              <w:ind w:right="113"/>
            </w:pPr>
            <w:r w:rsidRPr="00C27951">
              <w:t>CRC</w:t>
            </w:r>
            <w:r>
              <w:t xml:space="preserve"> </w:t>
            </w:r>
            <w:r w:rsidRPr="00C27951">
              <w:t>(1991)</w:t>
            </w:r>
          </w:p>
          <w:p w:rsidR="00B7727F" w:rsidRPr="00C27951" w:rsidRDefault="00B7727F" w:rsidP="00B7727F">
            <w:pPr>
              <w:spacing w:before="40" w:after="120" w:line="220" w:lineRule="atLeast"/>
              <w:ind w:right="113"/>
            </w:pPr>
            <w:r w:rsidRPr="00C27951">
              <w:t>OP-CRC-AC (2000)</w:t>
            </w:r>
          </w:p>
          <w:p w:rsidR="00B7727F" w:rsidRPr="00C27951" w:rsidRDefault="00B7727F" w:rsidP="00B7727F">
            <w:pPr>
              <w:spacing w:before="40" w:after="120" w:line="220" w:lineRule="atLeast"/>
              <w:ind w:right="113"/>
            </w:pPr>
            <w:r w:rsidRPr="00C27951">
              <w:t>OP-CRC-SC (2006)</w:t>
            </w:r>
          </w:p>
          <w:p w:rsidR="00A02BFB" w:rsidRPr="00A02BFB" w:rsidRDefault="00B7727F" w:rsidP="00B7727F">
            <w:pPr>
              <w:spacing w:before="40" w:after="120"/>
              <w:ind w:right="113"/>
            </w:pPr>
            <w:r w:rsidRPr="00C27951">
              <w:t>ICRMW (1996)</w:t>
            </w:r>
          </w:p>
        </w:tc>
        <w:tc>
          <w:tcPr>
            <w:tcW w:w="2409" w:type="dxa"/>
            <w:shd w:val="clear" w:color="auto" w:fill="auto"/>
          </w:tcPr>
          <w:p w:rsidR="00B7727F" w:rsidRPr="00C27951" w:rsidRDefault="00B7727F" w:rsidP="00B7727F">
            <w:pPr>
              <w:spacing w:before="40" w:after="120" w:line="220" w:lineRule="atLeast"/>
              <w:ind w:right="113"/>
            </w:pPr>
            <w:r w:rsidRPr="00C27951">
              <w:t>ICPPED (2016)</w:t>
            </w:r>
          </w:p>
          <w:p w:rsidR="00A02BFB" w:rsidRPr="00A02BFB" w:rsidRDefault="00B7727F" w:rsidP="00B7727F">
            <w:pPr>
              <w:spacing w:before="40" w:after="120"/>
              <w:ind w:right="113"/>
            </w:pPr>
            <w:r w:rsidRPr="00C27951">
              <w:t>CRPD (2016)</w:t>
            </w:r>
          </w:p>
        </w:tc>
        <w:tc>
          <w:tcPr>
            <w:tcW w:w="2410" w:type="dxa"/>
            <w:shd w:val="clear" w:color="auto" w:fill="auto"/>
          </w:tcPr>
          <w:p w:rsidR="00B7727F" w:rsidRPr="00C27951" w:rsidRDefault="00B7727F" w:rsidP="00B7727F">
            <w:pPr>
              <w:spacing w:before="40" w:after="120" w:line="220" w:lineRule="atLeast"/>
              <w:ind w:right="113"/>
            </w:pPr>
            <w:r>
              <w:t>ICCPR-OP 2</w:t>
            </w:r>
          </w:p>
          <w:p w:rsidR="00A02BFB" w:rsidRPr="00A02BFB" w:rsidRDefault="00B7727F" w:rsidP="00B7727F">
            <w:pPr>
              <w:spacing w:before="40" w:after="120"/>
              <w:ind w:right="113"/>
            </w:pPr>
            <w:r w:rsidRPr="00C27951">
              <w:t>OP-CAT</w:t>
            </w:r>
          </w:p>
        </w:tc>
      </w:tr>
      <w:tr w:rsidR="00B7727F" w:rsidRPr="00A02BFB" w:rsidTr="009045C9">
        <w:tc>
          <w:tcPr>
            <w:tcW w:w="2409" w:type="dxa"/>
            <w:tcBorders>
              <w:bottom w:val="single" w:sz="12" w:space="0" w:color="auto"/>
            </w:tcBorders>
            <w:shd w:val="clear" w:color="auto" w:fill="auto"/>
          </w:tcPr>
          <w:p w:rsidR="00B7727F" w:rsidRPr="00A02BFB" w:rsidRDefault="00B7727F" w:rsidP="00B7727F">
            <w:pPr>
              <w:spacing w:before="40" w:after="120"/>
              <w:ind w:right="113"/>
            </w:pPr>
            <w:r w:rsidRPr="00A02BFB">
              <w:rPr>
                <w:i/>
              </w:rPr>
              <w:t xml:space="preserve">Complaints procedures, inquiries and </w:t>
            </w:r>
            <w:r w:rsidRPr="00A02BFB">
              <w:rPr>
                <w:i/>
              </w:rPr>
              <w:br/>
              <w:t>urgent action</w:t>
            </w:r>
            <w:r>
              <w:rPr>
                <w:rStyle w:val="EndnoteReference"/>
                <w:i/>
              </w:rPr>
              <w:endnoteReference w:id="4"/>
            </w:r>
          </w:p>
        </w:tc>
        <w:tc>
          <w:tcPr>
            <w:tcW w:w="2409" w:type="dxa"/>
            <w:tcBorders>
              <w:bottom w:val="single" w:sz="12" w:space="0" w:color="auto"/>
            </w:tcBorders>
            <w:shd w:val="clear" w:color="auto" w:fill="auto"/>
          </w:tcPr>
          <w:p w:rsidR="00B7727F" w:rsidRDefault="00B7727F" w:rsidP="00B7727F">
            <w:pPr>
              <w:spacing w:before="40" w:after="120" w:line="220" w:lineRule="atLeast"/>
              <w:ind w:right="113"/>
            </w:pPr>
            <w:r>
              <w:t>ICCPR, art. 41 (1998)</w:t>
            </w:r>
          </w:p>
          <w:p w:rsidR="00B7727F" w:rsidRDefault="00B7727F" w:rsidP="00B7727F">
            <w:pPr>
              <w:spacing w:before="40" w:after="120" w:line="220" w:lineRule="atLeast"/>
              <w:ind w:right="113"/>
            </w:pPr>
            <w:r w:rsidRPr="00C27951">
              <w:t xml:space="preserve">OP-CEDAW, </w:t>
            </w:r>
            <w:r w:rsidR="003B1E50">
              <w:br/>
            </w:r>
            <w:r w:rsidRPr="00C27951">
              <w:t xml:space="preserve">art. 8 </w:t>
            </w:r>
            <w:r>
              <w:t>(2002)</w:t>
            </w:r>
          </w:p>
          <w:p w:rsidR="00B7727F" w:rsidRPr="00A02BFB" w:rsidRDefault="00B7727F" w:rsidP="00B7727F">
            <w:pPr>
              <w:spacing w:before="40" w:after="120" w:line="220" w:lineRule="atLeast"/>
              <w:ind w:right="113"/>
            </w:pPr>
            <w:r>
              <w:t>CAT, art. 22 (1994)</w:t>
            </w:r>
          </w:p>
        </w:tc>
        <w:tc>
          <w:tcPr>
            <w:tcW w:w="2409" w:type="dxa"/>
            <w:tcBorders>
              <w:bottom w:val="single" w:sz="12" w:space="0" w:color="auto"/>
            </w:tcBorders>
            <w:shd w:val="clear" w:color="auto" w:fill="auto"/>
          </w:tcPr>
          <w:p w:rsidR="00B7727F" w:rsidRPr="00A02BFB" w:rsidRDefault="00B7727F" w:rsidP="00B7727F">
            <w:pPr>
              <w:spacing w:before="40" w:after="120" w:line="220" w:lineRule="atLeast"/>
              <w:ind w:right="113"/>
            </w:pPr>
            <w:r>
              <w:t xml:space="preserve">ICPPED, arts. 32-33 </w:t>
            </w:r>
            <w:r w:rsidR="003B1E50">
              <w:br/>
            </w:r>
            <w:r>
              <w:t>(2016)</w:t>
            </w:r>
          </w:p>
        </w:tc>
        <w:tc>
          <w:tcPr>
            <w:tcW w:w="2410" w:type="dxa"/>
            <w:tcBorders>
              <w:bottom w:val="single" w:sz="12" w:space="0" w:color="auto"/>
            </w:tcBorders>
            <w:shd w:val="clear" w:color="auto" w:fill="auto"/>
          </w:tcPr>
          <w:p w:rsidR="00B7727F" w:rsidRPr="00C27951" w:rsidRDefault="00B7727F" w:rsidP="00B7727F">
            <w:pPr>
              <w:spacing w:before="40" w:after="120" w:line="220" w:lineRule="atLeast"/>
              <w:ind w:right="113"/>
            </w:pPr>
            <w:r>
              <w:t>ICERD, art. 14</w:t>
            </w:r>
          </w:p>
          <w:p w:rsidR="00B7727F" w:rsidRPr="00C27951" w:rsidRDefault="00B7727F" w:rsidP="00B7727F">
            <w:pPr>
              <w:spacing w:before="40" w:after="120" w:line="220" w:lineRule="atLeast"/>
              <w:ind w:right="113"/>
            </w:pPr>
            <w:r>
              <w:t>OP-ICESCR</w:t>
            </w:r>
          </w:p>
          <w:p w:rsidR="00B7727F" w:rsidRPr="00C27951" w:rsidRDefault="00B7727F" w:rsidP="00B7727F">
            <w:pPr>
              <w:spacing w:before="40" w:after="120" w:line="220" w:lineRule="atLeast"/>
              <w:ind w:right="113"/>
            </w:pPr>
            <w:r>
              <w:t>OP-CEDAW, art. 8</w:t>
            </w:r>
          </w:p>
          <w:p w:rsidR="00B7727F" w:rsidRPr="00C27951" w:rsidRDefault="0017188A" w:rsidP="00B7727F">
            <w:pPr>
              <w:spacing w:before="40" w:after="120" w:line="220" w:lineRule="atLeast"/>
              <w:ind w:right="113"/>
            </w:pPr>
            <w:r>
              <w:t>OP-CRC-IC</w:t>
            </w:r>
          </w:p>
          <w:p w:rsidR="00B7727F" w:rsidRPr="00C27951" w:rsidRDefault="00B7727F" w:rsidP="00B7727F">
            <w:pPr>
              <w:spacing w:before="40" w:after="120" w:line="220" w:lineRule="atLeast"/>
              <w:ind w:right="113"/>
            </w:pPr>
            <w:r w:rsidRPr="00C27951">
              <w:t>OP-CRPD, art. 6</w:t>
            </w:r>
          </w:p>
          <w:p w:rsidR="00B7727F" w:rsidRDefault="00B7727F" w:rsidP="00B7727F">
            <w:pPr>
              <w:spacing w:before="40" w:after="120" w:line="220" w:lineRule="atLeast"/>
              <w:ind w:right="113"/>
            </w:pPr>
            <w:r w:rsidRPr="00C27951">
              <w:t>ICRMW, arts. 76-77</w:t>
            </w:r>
          </w:p>
          <w:p w:rsidR="00B7727F" w:rsidRPr="00A02BFB" w:rsidRDefault="00B7727F" w:rsidP="00B7727F">
            <w:pPr>
              <w:spacing w:before="40" w:after="120"/>
              <w:ind w:right="113"/>
            </w:pPr>
            <w:r>
              <w:t>ICPPED, art. 31</w:t>
            </w:r>
          </w:p>
        </w:tc>
      </w:tr>
    </w:tbl>
    <w:p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0121D2">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rsidTr="00D57EDC">
        <w:trPr>
          <w:trHeight w:hRule="exact" w:val="113"/>
        </w:trPr>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D57EDC">
        <w:tc>
          <w:tcPr>
            <w:tcW w:w="2409" w:type="dxa"/>
            <w:tcBorders>
              <w:bottom w:val="single" w:sz="12" w:space="0" w:color="auto"/>
            </w:tcBorders>
          </w:tcPr>
          <w:p w:rsidR="00A02BFB" w:rsidRPr="00A02BFB" w:rsidRDefault="00A02BFB" w:rsidP="00A02BFB">
            <w:pPr>
              <w:spacing w:before="40" w:after="120"/>
              <w:ind w:right="113"/>
            </w:pPr>
          </w:p>
        </w:tc>
        <w:tc>
          <w:tcPr>
            <w:tcW w:w="2409" w:type="dxa"/>
            <w:tcBorders>
              <w:bottom w:val="single" w:sz="12" w:space="0" w:color="auto"/>
            </w:tcBorders>
          </w:tcPr>
          <w:p w:rsidR="00A02BFB" w:rsidRDefault="00AB0229" w:rsidP="00A02BFB">
            <w:pPr>
              <w:spacing w:before="40" w:after="120"/>
              <w:ind w:right="113"/>
            </w:pPr>
            <w:r>
              <w:t>ICCPR-OP 1 (Declaration, art. 1, 1997)</w:t>
            </w:r>
          </w:p>
          <w:p w:rsidR="00AB0229" w:rsidRDefault="00AB0229" w:rsidP="00A02BFB">
            <w:pPr>
              <w:spacing w:before="40" w:after="120"/>
              <w:ind w:right="113"/>
            </w:pPr>
            <w:r>
              <w:t>OP-CRC-AC-(Declaration art. 3 (2), 2000)</w:t>
            </w:r>
          </w:p>
          <w:p w:rsidR="00AB0229" w:rsidRPr="00A02BFB" w:rsidRDefault="00AB0229" w:rsidP="00A02BFB">
            <w:pPr>
              <w:spacing w:before="40" w:after="120"/>
              <w:ind w:right="113"/>
            </w:pPr>
            <w:r>
              <w:t xml:space="preserve">ICRMW (Declaration: arts, 8 (2), 29, 49 </w:t>
            </w:r>
            <w:r w:rsidR="0091303F">
              <w:br/>
            </w:r>
            <w:r>
              <w:t>and 54, (1996)</w:t>
            </w:r>
          </w:p>
        </w:tc>
        <w:tc>
          <w:tcPr>
            <w:tcW w:w="2409" w:type="dxa"/>
            <w:tcBorders>
              <w:bottom w:val="single" w:sz="12" w:space="0" w:color="auto"/>
            </w:tcBorders>
            <w:shd w:val="clear" w:color="auto" w:fill="auto"/>
          </w:tcPr>
          <w:p w:rsidR="00A02BFB" w:rsidRDefault="00A02BFB" w:rsidP="0091303F">
            <w:pPr>
              <w:spacing w:before="40" w:after="960"/>
              <w:ind w:right="113"/>
            </w:pPr>
          </w:p>
          <w:p w:rsidR="0091303F" w:rsidRPr="00A02BFB" w:rsidRDefault="0091303F" w:rsidP="00A3619D">
            <w:pPr>
              <w:spacing w:before="40" w:after="120"/>
              <w:ind w:right="113"/>
            </w:pPr>
            <w:r>
              <w:t xml:space="preserve">ICRMW (Withdrawal of </w:t>
            </w:r>
            <w:r>
              <w:br/>
              <w:t>the reservation art, 29, 2016)</w:t>
            </w:r>
          </w:p>
        </w:tc>
        <w:tc>
          <w:tcPr>
            <w:tcW w:w="2410" w:type="dxa"/>
            <w:tcBorders>
              <w:bottom w:val="single" w:sz="12" w:space="0" w:color="auto"/>
            </w:tcBorders>
            <w:shd w:val="clear" w:color="auto" w:fill="auto"/>
          </w:tcPr>
          <w:p w:rsidR="00A02BFB" w:rsidRDefault="0091303F" w:rsidP="00A02BFB">
            <w:pPr>
              <w:spacing w:before="40" w:after="120"/>
              <w:ind w:right="113"/>
            </w:pPr>
            <w:r>
              <w:t>ICCPR-OP-1 (Declaration, art. 1)</w:t>
            </w:r>
          </w:p>
          <w:p w:rsidR="0091303F" w:rsidRDefault="0091303F" w:rsidP="00A02BFB">
            <w:pPr>
              <w:spacing w:before="40" w:after="120"/>
              <w:ind w:right="113"/>
            </w:pPr>
            <w:r>
              <w:t>OP-CRC-AC (Declaration, art. 3 (2)</w:t>
            </w:r>
            <w:r w:rsidR="00510C87">
              <w:t xml:space="preserve"> )</w:t>
            </w:r>
          </w:p>
          <w:p w:rsidR="0091303F" w:rsidRPr="00A02BFB" w:rsidRDefault="0091303F" w:rsidP="00A02BFB">
            <w:pPr>
              <w:spacing w:before="40" w:after="120"/>
              <w:ind w:right="113"/>
            </w:pPr>
            <w:r>
              <w:t>ICRMW (Declaration: arts, 8 (2), 49 and 54)</w:t>
            </w:r>
          </w:p>
        </w:tc>
      </w:tr>
    </w:tbl>
    <w:p w:rsidR="00120EBA" w:rsidRDefault="00120EBA" w:rsidP="00120EBA">
      <w:pPr>
        <w:rPr>
          <w:sz w:val="24"/>
        </w:rPr>
      </w:pPr>
      <w:r>
        <w:br w:type="page"/>
      </w:r>
    </w:p>
    <w:p w:rsidR="00A02BFB" w:rsidRDefault="00A02BFB" w:rsidP="004D105C">
      <w:pPr>
        <w:pStyle w:val="H1G"/>
      </w:pPr>
      <w:r>
        <w:lastRenderedPageBreak/>
        <w:tab/>
        <w:t>B</w:t>
      </w:r>
      <w:r w:rsidRPr="00A02BFB">
        <w:t>.</w:t>
      </w:r>
      <w:r w:rsidRPr="00A02BFB">
        <w:tab/>
        <w:t xml:space="preserve">Other main relevant </w:t>
      </w:r>
      <w:r w:rsidRPr="004D105C">
        <w:t>international</w:t>
      </w:r>
      <w:r w:rsidRPr="00A02BFB">
        <w:t xml:space="preserve"> instruments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10"/>
        <w:gridCol w:w="2410"/>
        <w:gridCol w:w="2410"/>
      </w:tblGrid>
      <w:tr w:rsidR="00120EBA" w:rsidRPr="00120EBA" w:rsidTr="00AB1739">
        <w:tc>
          <w:tcPr>
            <w:tcW w:w="2409" w:type="dxa"/>
            <w:tcBorders>
              <w:top w:val="single" w:sz="4" w:space="0" w:color="auto"/>
              <w:bottom w:val="single" w:sz="12" w:space="0" w:color="auto"/>
            </w:tcBorders>
            <w:shd w:val="clear" w:color="auto" w:fill="auto"/>
            <w:vAlign w:val="bottom"/>
          </w:tcPr>
          <w:p w:rsidR="00120EBA" w:rsidRPr="00120EBA" w:rsidRDefault="00120EBA" w:rsidP="00120EBA">
            <w:pPr>
              <w:spacing w:before="80" w:after="80" w:line="200" w:lineRule="exact"/>
              <w:ind w:right="113"/>
              <w:rPr>
                <w:i/>
                <w:sz w:val="16"/>
              </w:rPr>
            </w:pPr>
          </w:p>
        </w:tc>
        <w:tc>
          <w:tcPr>
            <w:tcW w:w="2410" w:type="dxa"/>
            <w:tcBorders>
              <w:top w:val="single" w:sz="4" w:space="0" w:color="auto"/>
              <w:bottom w:val="single" w:sz="12" w:space="0" w:color="auto"/>
            </w:tcBorders>
            <w:shd w:val="clear" w:color="auto" w:fill="auto"/>
            <w:vAlign w:val="bottom"/>
          </w:tcPr>
          <w:p w:rsidR="00120EBA" w:rsidRPr="00120EBA" w:rsidRDefault="00120EBA" w:rsidP="00120EBA">
            <w:pPr>
              <w:spacing w:before="80" w:after="80" w:line="200" w:lineRule="exact"/>
              <w:ind w:right="113"/>
              <w:rPr>
                <w:i/>
                <w:sz w:val="16"/>
              </w:rPr>
            </w:pPr>
            <w:r w:rsidRPr="00120EBA">
              <w:rPr>
                <w:i/>
                <w:sz w:val="16"/>
              </w:rPr>
              <w:t>Status during previous cycle</w:t>
            </w:r>
          </w:p>
        </w:tc>
        <w:tc>
          <w:tcPr>
            <w:tcW w:w="2410" w:type="dxa"/>
            <w:tcBorders>
              <w:top w:val="single" w:sz="4" w:space="0" w:color="auto"/>
              <w:bottom w:val="single" w:sz="12" w:space="0" w:color="auto"/>
            </w:tcBorders>
            <w:shd w:val="clear" w:color="auto" w:fill="auto"/>
            <w:vAlign w:val="bottom"/>
          </w:tcPr>
          <w:p w:rsidR="00120EBA" w:rsidRPr="00120EBA" w:rsidRDefault="00120EBA" w:rsidP="00120EBA">
            <w:pPr>
              <w:spacing w:before="80" w:after="80" w:line="200" w:lineRule="exact"/>
              <w:ind w:right="113"/>
              <w:rPr>
                <w:i/>
                <w:sz w:val="16"/>
              </w:rPr>
            </w:pPr>
            <w:r w:rsidRPr="00120EBA">
              <w:rPr>
                <w:i/>
                <w:sz w:val="16"/>
              </w:rPr>
              <w:t>Action after review</w:t>
            </w:r>
          </w:p>
        </w:tc>
        <w:tc>
          <w:tcPr>
            <w:tcW w:w="2410" w:type="dxa"/>
            <w:tcBorders>
              <w:top w:val="single" w:sz="4" w:space="0" w:color="auto"/>
              <w:bottom w:val="single" w:sz="12" w:space="0" w:color="auto"/>
            </w:tcBorders>
            <w:shd w:val="clear" w:color="auto" w:fill="auto"/>
            <w:vAlign w:val="bottom"/>
          </w:tcPr>
          <w:p w:rsidR="00120EBA" w:rsidRPr="00120EBA" w:rsidRDefault="00120EBA" w:rsidP="00120EBA">
            <w:pPr>
              <w:spacing w:before="80" w:after="80" w:line="200" w:lineRule="exact"/>
              <w:ind w:right="113"/>
              <w:rPr>
                <w:i/>
                <w:sz w:val="16"/>
              </w:rPr>
            </w:pPr>
            <w:r w:rsidRPr="00120EBA">
              <w:rPr>
                <w:i/>
                <w:sz w:val="16"/>
              </w:rPr>
              <w:t>Not ratified</w:t>
            </w:r>
          </w:p>
        </w:tc>
      </w:tr>
      <w:tr w:rsidR="00AB1739" w:rsidRPr="00120EBA" w:rsidTr="00AB1739">
        <w:tc>
          <w:tcPr>
            <w:tcW w:w="2409" w:type="dxa"/>
            <w:shd w:val="clear" w:color="auto" w:fill="auto"/>
          </w:tcPr>
          <w:p w:rsidR="00AB1739" w:rsidRPr="00120EBA" w:rsidRDefault="00AB1739" w:rsidP="00AB1739">
            <w:pPr>
              <w:spacing w:before="40" w:after="120"/>
              <w:ind w:right="113"/>
            </w:pPr>
            <w:r w:rsidRPr="00120EBA">
              <w:rPr>
                <w:i/>
              </w:rPr>
              <w:t>Ratification, accession or succession</w:t>
            </w:r>
          </w:p>
        </w:tc>
        <w:tc>
          <w:tcPr>
            <w:tcW w:w="2410" w:type="dxa"/>
            <w:shd w:val="clear" w:color="auto" w:fill="auto"/>
          </w:tcPr>
          <w:p w:rsidR="00AB1739" w:rsidRPr="00120EBA" w:rsidRDefault="00AB1739" w:rsidP="00AB1739">
            <w:pPr>
              <w:spacing w:before="40" w:after="120"/>
              <w:ind w:right="113"/>
            </w:pPr>
            <w:r w:rsidRPr="00120EBA">
              <w:t>Convention on the Prevention and Punishment of the Crime of Genocide</w:t>
            </w:r>
          </w:p>
          <w:p w:rsidR="00AB1739" w:rsidRPr="00120EBA" w:rsidRDefault="00AB1739" w:rsidP="00AB1739">
            <w:pPr>
              <w:spacing w:before="40" w:after="120"/>
              <w:ind w:right="113"/>
            </w:pPr>
            <w:r w:rsidRPr="00120EBA">
              <w:t>Geneva Conventions of 12 August 1949</w:t>
            </w:r>
            <w:r w:rsidRPr="00120EBA">
              <w:rPr>
                <w:vertAlign w:val="superscript"/>
              </w:rPr>
              <w:endnoteReference w:id="5"/>
            </w:r>
          </w:p>
        </w:tc>
        <w:tc>
          <w:tcPr>
            <w:tcW w:w="2410" w:type="dxa"/>
            <w:shd w:val="clear" w:color="auto" w:fill="auto"/>
          </w:tcPr>
          <w:p w:rsidR="00AB1739" w:rsidRPr="00120EBA" w:rsidRDefault="00AB1739" w:rsidP="00AB1739">
            <w:pPr>
              <w:spacing w:before="40" w:after="120"/>
              <w:ind w:right="113"/>
            </w:pPr>
            <w:r w:rsidRPr="00120EBA">
              <w:t>Palermo Protocol</w:t>
            </w:r>
            <w:r w:rsidRPr="00120EBA">
              <w:rPr>
                <w:vertAlign w:val="superscript"/>
              </w:rPr>
              <w:endnoteReference w:id="6"/>
            </w:r>
            <w:r w:rsidRPr="00120EBA">
              <w:t xml:space="preserve"> (2015)</w:t>
            </w:r>
          </w:p>
        </w:tc>
        <w:tc>
          <w:tcPr>
            <w:tcW w:w="2410" w:type="dxa"/>
            <w:shd w:val="clear" w:color="auto" w:fill="auto"/>
          </w:tcPr>
          <w:p w:rsidR="00AB1739" w:rsidRPr="00120EBA" w:rsidRDefault="00AB1739" w:rsidP="00AB1739">
            <w:pPr>
              <w:spacing w:before="40" w:after="120"/>
              <w:ind w:right="113"/>
            </w:pPr>
            <w:r w:rsidRPr="00120EBA">
              <w:t>Additional Protocols I, II and III to the 1949 Geneva Conventions</w:t>
            </w:r>
            <w:r w:rsidRPr="00120EBA">
              <w:rPr>
                <w:vertAlign w:val="superscript"/>
              </w:rPr>
              <w:endnoteReference w:id="7"/>
            </w:r>
          </w:p>
          <w:p w:rsidR="00AB1739" w:rsidRPr="00120EBA" w:rsidRDefault="00AB1739" w:rsidP="00AB1739">
            <w:pPr>
              <w:spacing w:before="40" w:after="120"/>
              <w:ind w:right="113"/>
            </w:pPr>
            <w:r w:rsidRPr="00120EBA">
              <w:t>Rome Statute of the International Criminal Court</w:t>
            </w:r>
          </w:p>
        </w:tc>
      </w:tr>
      <w:tr w:rsidR="00AB1739" w:rsidRPr="00120EBA" w:rsidTr="00120EBA">
        <w:trPr>
          <w:trHeight w:val="787"/>
        </w:trPr>
        <w:tc>
          <w:tcPr>
            <w:tcW w:w="2409" w:type="dxa"/>
            <w:shd w:val="clear" w:color="auto" w:fill="auto"/>
          </w:tcPr>
          <w:p w:rsidR="00AB1739" w:rsidRPr="00120EBA" w:rsidRDefault="00AB1739" w:rsidP="00AB1739">
            <w:pPr>
              <w:spacing w:before="40" w:after="120"/>
              <w:ind w:right="113"/>
            </w:pPr>
          </w:p>
        </w:tc>
        <w:tc>
          <w:tcPr>
            <w:tcW w:w="2410" w:type="dxa"/>
            <w:shd w:val="clear" w:color="auto" w:fill="auto"/>
          </w:tcPr>
          <w:p w:rsidR="00AB1739" w:rsidRPr="00120EBA" w:rsidRDefault="00AB1739" w:rsidP="00AB1739">
            <w:pPr>
              <w:spacing w:before="40" w:after="120"/>
              <w:ind w:right="113"/>
            </w:pPr>
            <w:r w:rsidRPr="00120EBA">
              <w:t>Convention against Discrimination in Education</w:t>
            </w:r>
          </w:p>
        </w:tc>
        <w:tc>
          <w:tcPr>
            <w:tcW w:w="2410" w:type="dxa"/>
            <w:shd w:val="clear" w:color="auto" w:fill="auto"/>
          </w:tcPr>
          <w:p w:rsidR="00AB1739" w:rsidRPr="00120EBA" w:rsidRDefault="00CF33E7" w:rsidP="00AB1739">
            <w:pPr>
              <w:spacing w:before="40" w:after="120"/>
              <w:ind w:right="113"/>
            </w:pPr>
            <w:r>
              <w:t>–</w:t>
            </w:r>
          </w:p>
        </w:tc>
        <w:tc>
          <w:tcPr>
            <w:tcW w:w="2410" w:type="dxa"/>
            <w:shd w:val="clear" w:color="auto" w:fill="auto"/>
          </w:tcPr>
          <w:p w:rsidR="00AB1739" w:rsidRPr="00120EBA" w:rsidRDefault="00AB1739" w:rsidP="00AB1739">
            <w:pPr>
              <w:spacing w:before="40" w:after="120"/>
              <w:ind w:right="113"/>
            </w:pPr>
            <w:r w:rsidRPr="00120EBA">
              <w:t>Conventions on refugees and stateless persons</w:t>
            </w:r>
            <w:r w:rsidRPr="00120EBA">
              <w:rPr>
                <w:vertAlign w:val="superscript"/>
              </w:rPr>
              <w:endnoteReference w:id="8"/>
            </w:r>
          </w:p>
        </w:tc>
      </w:tr>
      <w:tr w:rsidR="00AB1739" w:rsidTr="00120EBA">
        <w:tc>
          <w:tcPr>
            <w:tcW w:w="2409" w:type="dxa"/>
            <w:tcBorders>
              <w:bottom w:val="single" w:sz="12" w:space="0" w:color="auto"/>
            </w:tcBorders>
            <w:shd w:val="clear" w:color="auto" w:fill="auto"/>
          </w:tcPr>
          <w:p w:rsidR="00AB1739" w:rsidRDefault="00AB1739" w:rsidP="00F7626B">
            <w:pPr>
              <w:spacing w:after="120"/>
            </w:pPr>
          </w:p>
        </w:tc>
        <w:tc>
          <w:tcPr>
            <w:tcW w:w="2410" w:type="dxa"/>
            <w:tcBorders>
              <w:bottom w:val="single" w:sz="12" w:space="0" w:color="auto"/>
            </w:tcBorders>
            <w:shd w:val="clear" w:color="auto" w:fill="auto"/>
          </w:tcPr>
          <w:p w:rsidR="00AB1739" w:rsidRDefault="00AB1739" w:rsidP="00F7626B">
            <w:pPr>
              <w:spacing w:after="120"/>
            </w:pPr>
            <w:r w:rsidRPr="00120EBA">
              <w:t>ILO fundamental Conventions</w:t>
            </w:r>
            <w:r w:rsidRPr="00120EBA">
              <w:rPr>
                <w:vertAlign w:val="superscript"/>
              </w:rPr>
              <w:endnoteReference w:id="9"/>
            </w:r>
          </w:p>
        </w:tc>
        <w:tc>
          <w:tcPr>
            <w:tcW w:w="2410" w:type="dxa"/>
            <w:tcBorders>
              <w:bottom w:val="single" w:sz="12" w:space="0" w:color="auto"/>
            </w:tcBorders>
            <w:shd w:val="clear" w:color="auto" w:fill="auto"/>
          </w:tcPr>
          <w:p w:rsidR="00AB1739" w:rsidRDefault="00CF33E7" w:rsidP="00F7626B">
            <w:pPr>
              <w:spacing w:after="120"/>
            </w:pPr>
            <w:r>
              <w:t>–</w:t>
            </w:r>
          </w:p>
        </w:tc>
        <w:tc>
          <w:tcPr>
            <w:tcW w:w="2410" w:type="dxa"/>
            <w:tcBorders>
              <w:bottom w:val="single" w:sz="12" w:space="0" w:color="auto"/>
            </w:tcBorders>
            <w:shd w:val="clear" w:color="auto" w:fill="auto"/>
          </w:tcPr>
          <w:p w:rsidR="00AB1739" w:rsidRDefault="00AB1739" w:rsidP="00F7626B">
            <w:pPr>
              <w:spacing w:after="120"/>
            </w:pPr>
            <w:r w:rsidRPr="00120EBA">
              <w:t>ILO Conventions Nos. 169 and 189</w:t>
            </w:r>
            <w:r w:rsidRPr="00120EBA">
              <w:rPr>
                <w:vertAlign w:val="superscript"/>
              </w:rPr>
              <w:endnoteReference w:id="10"/>
            </w:r>
          </w:p>
        </w:tc>
      </w:tr>
    </w:tbl>
    <w:p w:rsidR="00A02BFB" w:rsidRPr="00F7626B" w:rsidRDefault="00A02BFB" w:rsidP="00F7626B">
      <w:pPr>
        <w:pStyle w:val="HChG"/>
      </w:pPr>
      <w:r w:rsidRPr="00F7626B">
        <w:tab/>
        <w:t>II.</w:t>
      </w:r>
      <w:r w:rsidRPr="00F7626B">
        <w:tab/>
        <w:t>Cooperation with human rights mechanisms</w:t>
      </w:r>
      <w:r w:rsidR="00A3619D" w:rsidRPr="00F7626B">
        <w:t xml:space="preserve"> and bodies</w:t>
      </w:r>
    </w:p>
    <w:p w:rsidR="00A02BFB" w:rsidRPr="004D105C" w:rsidRDefault="00A02BFB" w:rsidP="004D105C">
      <w:pPr>
        <w:pStyle w:val="H1G"/>
        <w:spacing w:before="40" w:after="120" w:line="240" w:lineRule="atLeast"/>
        <w:ind w:left="0" w:right="113"/>
      </w:pPr>
      <w:r w:rsidRPr="004D105C">
        <w:tab/>
      </w:r>
      <w:bookmarkStart w:id="1" w:name="II_A_Cooperation_with_treaty_bodies"/>
      <w:r w:rsidR="00120EBA">
        <w:tab/>
      </w:r>
      <w:r w:rsidRPr="004D105C">
        <w:t>A.</w:t>
      </w:r>
      <w:r w:rsidRPr="004D105C">
        <w:tab/>
      </w:r>
      <w:bookmarkEnd w:id="1"/>
      <w:r w:rsidRPr="004D105C">
        <w:t>Cooperation with treaty bodies</w:t>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rsidTr="0022777B">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rsidTr="0022777B">
        <w:trPr>
          <w:trHeight w:hRule="exact" w:val="113"/>
        </w:trPr>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1928" w:type="dxa"/>
            <w:shd w:val="clear" w:color="auto" w:fill="auto"/>
          </w:tcPr>
          <w:p w:rsidR="00A02BFB" w:rsidRPr="00A02BFB" w:rsidRDefault="00056DB9" w:rsidP="00A02BFB">
            <w:pPr>
              <w:spacing w:before="40" w:after="120"/>
              <w:ind w:right="113"/>
            </w:pPr>
            <w:r>
              <w:t>CERD</w:t>
            </w:r>
          </w:p>
        </w:tc>
        <w:tc>
          <w:tcPr>
            <w:tcW w:w="1928" w:type="dxa"/>
            <w:shd w:val="clear" w:color="auto" w:fill="auto"/>
          </w:tcPr>
          <w:p w:rsidR="00A02BFB" w:rsidRPr="00A02BFB" w:rsidRDefault="00124A32" w:rsidP="00A02BFB">
            <w:pPr>
              <w:spacing w:before="40" w:after="120"/>
              <w:ind w:right="113"/>
            </w:pPr>
            <w:r>
              <w:t>–</w:t>
            </w:r>
          </w:p>
        </w:tc>
        <w:tc>
          <w:tcPr>
            <w:tcW w:w="1927" w:type="dxa"/>
            <w:shd w:val="clear" w:color="auto" w:fill="auto"/>
          </w:tcPr>
          <w:p w:rsidR="00A02BFB" w:rsidRPr="00A02BFB" w:rsidRDefault="00056DB9" w:rsidP="00A02BFB">
            <w:pPr>
              <w:spacing w:before="40" w:after="120"/>
              <w:ind w:right="113"/>
            </w:pPr>
            <w:r>
              <w:t>2015</w:t>
            </w:r>
          </w:p>
        </w:tc>
        <w:tc>
          <w:tcPr>
            <w:tcW w:w="1927" w:type="dxa"/>
            <w:shd w:val="clear" w:color="auto" w:fill="auto"/>
          </w:tcPr>
          <w:p w:rsidR="00A02BFB" w:rsidRPr="00A02BFB" w:rsidRDefault="00056DB9" w:rsidP="00A02BFB">
            <w:pPr>
              <w:spacing w:before="40" w:after="120"/>
              <w:ind w:right="113"/>
            </w:pPr>
            <w:r>
              <w:t>August 2016</w:t>
            </w:r>
          </w:p>
        </w:tc>
        <w:tc>
          <w:tcPr>
            <w:tcW w:w="1927" w:type="dxa"/>
            <w:shd w:val="clear" w:color="auto" w:fill="auto"/>
          </w:tcPr>
          <w:p w:rsidR="00A02BFB" w:rsidRPr="00A02BFB" w:rsidRDefault="00056DB9" w:rsidP="00A02BFB">
            <w:pPr>
              <w:spacing w:before="40" w:after="120"/>
              <w:ind w:right="113"/>
            </w:pPr>
            <w:r>
              <w:t>Combined 18</w:t>
            </w:r>
            <w:r w:rsidRPr="00056DB9">
              <w:rPr>
                <w:vertAlign w:val="superscript"/>
              </w:rPr>
              <w:t>th</w:t>
            </w:r>
            <w:r>
              <w:t xml:space="preserve"> to 19</w:t>
            </w:r>
            <w:r w:rsidRPr="00056DB9">
              <w:rPr>
                <w:vertAlign w:val="superscript"/>
              </w:rPr>
              <w:t>th</w:t>
            </w:r>
            <w:r>
              <w:t xml:space="preserve"> reports due In 2019</w:t>
            </w:r>
          </w:p>
        </w:tc>
      </w:tr>
      <w:tr w:rsidR="00A02BFB" w:rsidRPr="00A02BFB" w:rsidTr="000121D2">
        <w:tc>
          <w:tcPr>
            <w:tcW w:w="1928" w:type="dxa"/>
            <w:shd w:val="clear" w:color="auto" w:fill="auto"/>
          </w:tcPr>
          <w:p w:rsidR="00A02BFB" w:rsidRPr="00A02BFB" w:rsidRDefault="00056DB9" w:rsidP="00A02BFB">
            <w:pPr>
              <w:spacing w:before="40" w:after="120"/>
              <w:ind w:right="113"/>
            </w:pPr>
            <w:r>
              <w:t>CESRC</w:t>
            </w:r>
          </w:p>
        </w:tc>
        <w:tc>
          <w:tcPr>
            <w:tcW w:w="1928" w:type="dxa"/>
            <w:shd w:val="clear" w:color="auto" w:fill="auto"/>
          </w:tcPr>
          <w:p w:rsidR="00A02BFB" w:rsidRPr="00A02BFB" w:rsidRDefault="00056DB9" w:rsidP="00A02BFB">
            <w:pPr>
              <w:spacing w:before="40" w:after="120"/>
              <w:ind w:right="113"/>
            </w:pPr>
            <w:r>
              <w:t>November 2010</w:t>
            </w:r>
          </w:p>
        </w:tc>
        <w:tc>
          <w:tcPr>
            <w:tcW w:w="1927" w:type="dxa"/>
            <w:shd w:val="clear" w:color="auto" w:fill="auto"/>
          </w:tcPr>
          <w:p w:rsidR="00A02BFB" w:rsidRPr="00A02BFB" w:rsidRDefault="00AD1D14" w:rsidP="00A02BFB">
            <w:pPr>
              <w:spacing w:before="40" w:after="120"/>
              <w:ind w:right="113"/>
            </w:pPr>
            <w:r>
              <w:t>2015</w:t>
            </w:r>
          </w:p>
        </w:tc>
        <w:tc>
          <w:tcPr>
            <w:tcW w:w="1927" w:type="dxa"/>
            <w:shd w:val="clear" w:color="auto" w:fill="auto"/>
          </w:tcPr>
          <w:p w:rsidR="00A02BFB" w:rsidRPr="00A02BFB" w:rsidRDefault="00AD1D14" w:rsidP="00A02BFB">
            <w:pPr>
              <w:spacing w:before="40" w:after="120"/>
              <w:ind w:right="113"/>
            </w:pPr>
            <w:r>
              <w:t>June 2017</w:t>
            </w:r>
          </w:p>
        </w:tc>
        <w:tc>
          <w:tcPr>
            <w:tcW w:w="1927" w:type="dxa"/>
            <w:shd w:val="clear" w:color="auto" w:fill="auto"/>
          </w:tcPr>
          <w:p w:rsidR="00A02BFB" w:rsidRPr="00A02BFB" w:rsidRDefault="00AD1D14" w:rsidP="00A02BFB">
            <w:pPr>
              <w:spacing w:before="40" w:after="120"/>
              <w:ind w:right="113"/>
            </w:pPr>
            <w:r>
              <w:t>Sixth report due in 2022</w:t>
            </w:r>
          </w:p>
        </w:tc>
      </w:tr>
      <w:tr w:rsidR="00A02BFB" w:rsidRPr="00A02BFB" w:rsidTr="000121D2">
        <w:tc>
          <w:tcPr>
            <w:tcW w:w="1928" w:type="dxa"/>
            <w:shd w:val="clear" w:color="auto" w:fill="auto"/>
          </w:tcPr>
          <w:p w:rsidR="00A02BFB" w:rsidRPr="00A02BFB" w:rsidRDefault="00AD1D14" w:rsidP="00A02BFB">
            <w:pPr>
              <w:spacing w:before="40" w:after="120"/>
              <w:ind w:right="113"/>
            </w:pPr>
            <w:r>
              <w:t>HR Committee</w:t>
            </w:r>
          </w:p>
        </w:tc>
        <w:tc>
          <w:tcPr>
            <w:tcW w:w="1928" w:type="dxa"/>
            <w:shd w:val="clear" w:color="auto" w:fill="auto"/>
          </w:tcPr>
          <w:p w:rsidR="00A02BFB" w:rsidRPr="00A02BFB" w:rsidRDefault="00124A32" w:rsidP="00A02BFB">
            <w:pPr>
              <w:spacing w:before="40" w:after="120"/>
              <w:ind w:right="113"/>
            </w:pPr>
            <w:r>
              <w:t>–</w:t>
            </w:r>
          </w:p>
        </w:tc>
        <w:tc>
          <w:tcPr>
            <w:tcW w:w="1927" w:type="dxa"/>
            <w:shd w:val="clear" w:color="auto" w:fill="auto"/>
          </w:tcPr>
          <w:p w:rsidR="00A02BFB" w:rsidRPr="00A02BFB" w:rsidRDefault="00124A32" w:rsidP="00A02BFB">
            <w:pPr>
              <w:spacing w:before="40" w:after="120"/>
              <w:ind w:right="113"/>
            </w:pPr>
            <w:r>
              <w:t>–</w:t>
            </w:r>
          </w:p>
        </w:tc>
        <w:tc>
          <w:tcPr>
            <w:tcW w:w="1927" w:type="dxa"/>
            <w:shd w:val="clear" w:color="auto" w:fill="auto"/>
          </w:tcPr>
          <w:p w:rsidR="00A02BFB" w:rsidRPr="00A02BFB" w:rsidRDefault="00AD1D14" w:rsidP="00A02BFB">
            <w:pPr>
              <w:spacing w:before="40" w:after="120"/>
              <w:ind w:right="113"/>
            </w:pPr>
            <w:r>
              <w:t>October 2014</w:t>
            </w:r>
          </w:p>
        </w:tc>
        <w:tc>
          <w:tcPr>
            <w:tcW w:w="1927" w:type="dxa"/>
            <w:shd w:val="clear" w:color="auto" w:fill="auto"/>
          </w:tcPr>
          <w:p w:rsidR="00A02BFB" w:rsidRPr="00A02BFB" w:rsidRDefault="00AD1D14" w:rsidP="00A02BFB">
            <w:pPr>
              <w:spacing w:before="40" w:after="120"/>
              <w:ind w:right="113"/>
            </w:pPr>
            <w:r>
              <w:t>Sixth periodic report due in 2017</w:t>
            </w:r>
          </w:p>
        </w:tc>
      </w:tr>
      <w:tr w:rsidR="00A02BFB" w:rsidRPr="00A02BFB" w:rsidTr="000121D2">
        <w:tc>
          <w:tcPr>
            <w:tcW w:w="1928" w:type="dxa"/>
            <w:shd w:val="clear" w:color="auto" w:fill="auto"/>
          </w:tcPr>
          <w:p w:rsidR="00A02BFB" w:rsidRPr="00A02BFB" w:rsidRDefault="003A548B" w:rsidP="00A02BFB">
            <w:pPr>
              <w:spacing w:before="40" w:after="120"/>
              <w:ind w:right="113"/>
            </w:pPr>
            <w:r>
              <w:t>CEDAW</w:t>
            </w:r>
          </w:p>
        </w:tc>
        <w:tc>
          <w:tcPr>
            <w:tcW w:w="1928" w:type="dxa"/>
            <w:shd w:val="clear" w:color="auto" w:fill="auto"/>
          </w:tcPr>
          <w:p w:rsidR="00A02BFB" w:rsidRPr="00A02BFB" w:rsidRDefault="002234A5" w:rsidP="00A02BFB">
            <w:pPr>
              <w:spacing w:before="40" w:after="120"/>
              <w:ind w:right="113"/>
            </w:pPr>
            <w:r>
              <w:t>January 2011</w:t>
            </w:r>
          </w:p>
        </w:tc>
        <w:tc>
          <w:tcPr>
            <w:tcW w:w="1927" w:type="dxa"/>
            <w:shd w:val="clear" w:color="auto" w:fill="auto"/>
          </w:tcPr>
          <w:p w:rsidR="00A02BFB" w:rsidRPr="00A02BFB" w:rsidRDefault="002234A5" w:rsidP="00A02BFB">
            <w:pPr>
              <w:spacing w:before="40" w:after="120"/>
              <w:ind w:right="113"/>
            </w:pPr>
            <w:r>
              <w:t>2015</w:t>
            </w:r>
          </w:p>
        </w:tc>
        <w:tc>
          <w:tcPr>
            <w:tcW w:w="1927" w:type="dxa"/>
            <w:shd w:val="clear" w:color="auto" w:fill="auto"/>
          </w:tcPr>
          <w:p w:rsidR="00A02BFB" w:rsidRPr="00A02BFB" w:rsidRDefault="002234A5" w:rsidP="00A02BFB">
            <w:pPr>
              <w:spacing w:before="40" w:after="120"/>
              <w:ind w:right="113"/>
            </w:pPr>
            <w:r>
              <w:t>February 2017</w:t>
            </w:r>
          </w:p>
        </w:tc>
        <w:tc>
          <w:tcPr>
            <w:tcW w:w="1927" w:type="dxa"/>
            <w:shd w:val="clear" w:color="auto" w:fill="auto"/>
          </w:tcPr>
          <w:p w:rsidR="00A02BFB" w:rsidRPr="00A02BFB" w:rsidRDefault="002234A5" w:rsidP="00A02BFB">
            <w:pPr>
              <w:spacing w:before="40" w:after="120"/>
              <w:ind w:right="113"/>
            </w:pPr>
            <w:r>
              <w:t>Ninth periodic report due in 2021</w:t>
            </w:r>
          </w:p>
        </w:tc>
      </w:tr>
      <w:tr w:rsidR="00A02BFB" w:rsidRPr="00A02BFB" w:rsidTr="000121D2">
        <w:tc>
          <w:tcPr>
            <w:tcW w:w="1928" w:type="dxa"/>
            <w:shd w:val="clear" w:color="auto" w:fill="auto"/>
          </w:tcPr>
          <w:p w:rsidR="00A02BFB" w:rsidRPr="00A02BFB" w:rsidRDefault="00CD04E2" w:rsidP="00A02BFB">
            <w:pPr>
              <w:spacing w:before="40" w:after="120"/>
              <w:ind w:right="113"/>
            </w:pPr>
            <w:r>
              <w:t>CRC</w:t>
            </w:r>
          </w:p>
        </w:tc>
        <w:tc>
          <w:tcPr>
            <w:tcW w:w="1928" w:type="dxa"/>
            <w:shd w:val="clear" w:color="auto" w:fill="auto"/>
          </w:tcPr>
          <w:p w:rsidR="00A02BFB" w:rsidRPr="00A02BFB" w:rsidRDefault="00CD04E2" w:rsidP="00A02BFB">
            <w:pPr>
              <w:spacing w:before="40" w:after="120"/>
              <w:ind w:right="113"/>
            </w:pPr>
            <w:r>
              <w:t>October 2010</w:t>
            </w:r>
          </w:p>
        </w:tc>
        <w:tc>
          <w:tcPr>
            <w:tcW w:w="1927" w:type="dxa"/>
            <w:shd w:val="clear" w:color="auto" w:fill="auto"/>
          </w:tcPr>
          <w:p w:rsidR="00A02BFB" w:rsidRPr="00A02BFB" w:rsidRDefault="00CD04E2" w:rsidP="00A02BFB">
            <w:pPr>
              <w:spacing w:before="40" w:after="120"/>
              <w:ind w:right="113"/>
            </w:pPr>
            <w:r>
              <w:t>2016</w:t>
            </w:r>
          </w:p>
        </w:tc>
        <w:tc>
          <w:tcPr>
            <w:tcW w:w="1927" w:type="dxa"/>
            <w:shd w:val="clear" w:color="auto" w:fill="auto"/>
          </w:tcPr>
          <w:p w:rsidR="00A02BFB" w:rsidRPr="00A02BFB" w:rsidRDefault="00124A32" w:rsidP="00A02BFB">
            <w:pPr>
              <w:spacing w:before="40" w:after="120"/>
              <w:ind w:right="113"/>
            </w:pPr>
            <w:r>
              <w:t>–</w:t>
            </w:r>
          </w:p>
        </w:tc>
        <w:tc>
          <w:tcPr>
            <w:tcW w:w="1927" w:type="dxa"/>
            <w:shd w:val="clear" w:color="auto" w:fill="auto"/>
          </w:tcPr>
          <w:p w:rsidR="00A02BFB" w:rsidRPr="00A02BFB" w:rsidRDefault="00CD04E2" w:rsidP="00A02BFB">
            <w:pPr>
              <w:spacing w:before="40" w:after="120"/>
              <w:ind w:right="113"/>
            </w:pPr>
            <w:r>
              <w:t>Combined fifth to sixth reports pending consideration; initial report on OP-CRC-SC overdue since 2008; initial report on OP-CRC-AC submitted in 2008</w:t>
            </w:r>
          </w:p>
        </w:tc>
      </w:tr>
      <w:tr w:rsidR="00A02BFB" w:rsidRPr="00A02BFB" w:rsidTr="00ED54E6">
        <w:tc>
          <w:tcPr>
            <w:tcW w:w="1928" w:type="dxa"/>
            <w:tcBorders>
              <w:bottom w:val="single" w:sz="12" w:space="0" w:color="auto"/>
            </w:tcBorders>
            <w:shd w:val="clear" w:color="auto" w:fill="auto"/>
          </w:tcPr>
          <w:p w:rsidR="00A02BFB" w:rsidRPr="00A02BFB" w:rsidRDefault="00CD04E2" w:rsidP="00A02BFB">
            <w:pPr>
              <w:spacing w:before="40" w:after="120"/>
              <w:ind w:right="113"/>
            </w:pPr>
            <w:r>
              <w:t>ICRMW</w:t>
            </w:r>
          </w:p>
        </w:tc>
        <w:tc>
          <w:tcPr>
            <w:tcW w:w="1928" w:type="dxa"/>
            <w:tcBorders>
              <w:bottom w:val="single" w:sz="12" w:space="0" w:color="auto"/>
            </w:tcBorders>
            <w:shd w:val="clear" w:color="auto" w:fill="auto"/>
          </w:tcPr>
          <w:p w:rsidR="00A02BFB" w:rsidRPr="00A02BFB" w:rsidRDefault="00CD04E2" w:rsidP="00A02BFB">
            <w:pPr>
              <w:spacing w:before="40" w:after="120"/>
              <w:ind w:right="113"/>
            </w:pPr>
            <w:r>
              <w:t>October 2009</w:t>
            </w:r>
          </w:p>
        </w:tc>
        <w:tc>
          <w:tcPr>
            <w:tcW w:w="1927" w:type="dxa"/>
            <w:tcBorders>
              <w:bottom w:val="single" w:sz="12" w:space="0" w:color="auto"/>
            </w:tcBorders>
            <w:shd w:val="clear" w:color="auto" w:fill="auto"/>
          </w:tcPr>
          <w:p w:rsidR="00A02BFB" w:rsidRPr="00A02BFB" w:rsidRDefault="00CD04E2" w:rsidP="00A02BFB">
            <w:pPr>
              <w:spacing w:before="40" w:after="120"/>
              <w:ind w:right="113"/>
            </w:pPr>
            <w:r>
              <w:t>2016</w:t>
            </w:r>
          </w:p>
        </w:tc>
        <w:tc>
          <w:tcPr>
            <w:tcW w:w="1927" w:type="dxa"/>
            <w:tcBorders>
              <w:bottom w:val="single" w:sz="12" w:space="0" w:color="auto"/>
            </w:tcBorders>
            <w:shd w:val="clear" w:color="auto" w:fill="auto"/>
          </w:tcPr>
          <w:p w:rsidR="00A02BFB" w:rsidRPr="00A02BFB" w:rsidRDefault="00DE3B10" w:rsidP="00A02BFB">
            <w:pPr>
              <w:spacing w:before="40" w:after="120"/>
              <w:ind w:right="113"/>
            </w:pPr>
            <w:r>
              <w:t>September</w:t>
            </w:r>
            <w:r w:rsidR="00CD04E2">
              <w:t xml:space="preserve"> 2016</w:t>
            </w:r>
          </w:p>
        </w:tc>
        <w:tc>
          <w:tcPr>
            <w:tcW w:w="1927" w:type="dxa"/>
            <w:tcBorders>
              <w:bottom w:val="single" w:sz="12" w:space="0" w:color="auto"/>
            </w:tcBorders>
            <w:shd w:val="clear" w:color="auto" w:fill="auto"/>
          </w:tcPr>
          <w:p w:rsidR="00A02BFB" w:rsidRPr="00A02BFB" w:rsidRDefault="00CD04E2" w:rsidP="00A02BFB">
            <w:pPr>
              <w:spacing w:before="40" w:after="120"/>
              <w:ind w:right="113"/>
            </w:pPr>
            <w:r>
              <w:t>Third periodic report in 2021</w:t>
            </w:r>
          </w:p>
        </w:tc>
      </w:tr>
    </w:tbl>
    <w:p w:rsidR="00120EBA" w:rsidRDefault="00120EBA" w:rsidP="00120EBA">
      <w:bookmarkStart w:id="3" w:name="Table_Response_TB_follow_up"/>
      <w:r>
        <w:br w:type="page"/>
      </w:r>
    </w:p>
    <w:p w:rsidR="00DB7FB6" w:rsidRDefault="002E646B" w:rsidP="00331EE5">
      <w:pPr>
        <w:pStyle w:val="H23G"/>
      </w:pPr>
      <w:r>
        <w:lastRenderedPageBreak/>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31EE5" w:rsidRPr="00331EE5" w:rsidTr="008C09F9">
        <w:tc>
          <w:tcPr>
            <w:tcW w:w="1843" w:type="dxa"/>
            <w:tcBorders>
              <w:top w:val="single" w:sz="4" w:space="0" w:color="auto"/>
              <w:bottom w:val="single" w:sz="12" w:space="0" w:color="auto"/>
            </w:tcBorders>
            <w:shd w:val="clear" w:color="auto" w:fill="auto"/>
            <w:vAlign w:val="bottom"/>
          </w:tcPr>
          <w:p w:rsidR="00331EE5" w:rsidRPr="00331EE5" w:rsidRDefault="00307346" w:rsidP="00331EE5">
            <w:pPr>
              <w:spacing w:before="80" w:after="80" w:line="200" w:lineRule="exact"/>
              <w:ind w:right="113"/>
              <w:rPr>
                <w:i/>
                <w:sz w:val="16"/>
              </w:rPr>
            </w:pPr>
            <w:r>
              <w:rPr>
                <w:i/>
                <w:sz w:val="16"/>
              </w:rPr>
              <w:t>Treaty body</w:t>
            </w:r>
          </w:p>
        </w:tc>
        <w:tc>
          <w:tcPr>
            <w:tcW w:w="1842" w:type="dxa"/>
            <w:tcBorders>
              <w:top w:val="single" w:sz="4" w:space="0" w:color="auto"/>
              <w:bottom w:val="single" w:sz="12" w:space="0" w:color="auto"/>
            </w:tcBorders>
            <w:shd w:val="clear" w:color="auto" w:fill="auto"/>
            <w:vAlign w:val="bottom"/>
          </w:tcPr>
          <w:p w:rsidR="00331EE5" w:rsidRPr="00331EE5" w:rsidRDefault="00307346" w:rsidP="00331EE5">
            <w:pPr>
              <w:spacing w:before="80" w:after="80" w:line="200" w:lineRule="exact"/>
              <w:ind w:right="113"/>
              <w:rPr>
                <w:i/>
                <w:sz w:val="16"/>
              </w:rPr>
            </w:pPr>
            <w:r>
              <w:rPr>
                <w:i/>
                <w:sz w:val="16"/>
              </w:rPr>
              <w:t>Due in</w:t>
            </w:r>
          </w:p>
        </w:tc>
        <w:tc>
          <w:tcPr>
            <w:tcW w:w="1842" w:type="dxa"/>
            <w:tcBorders>
              <w:top w:val="single" w:sz="4" w:space="0" w:color="auto"/>
              <w:bottom w:val="single" w:sz="12" w:space="0" w:color="auto"/>
            </w:tcBorders>
            <w:shd w:val="clear" w:color="auto" w:fill="auto"/>
            <w:vAlign w:val="bottom"/>
          </w:tcPr>
          <w:p w:rsidR="00331EE5" w:rsidRPr="00331EE5" w:rsidRDefault="00307346" w:rsidP="00331EE5">
            <w:pPr>
              <w:spacing w:before="80" w:after="80" w:line="200" w:lineRule="exact"/>
              <w:ind w:right="113"/>
              <w:rPr>
                <w:i/>
                <w:sz w:val="16"/>
              </w:rPr>
            </w:pPr>
            <w:r>
              <w:rPr>
                <w:i/>
                <w:sz w:val="16"/>
              </w:rPr>
              <w:t>Subject matter</w:t>
            </w:r>
          </w:p>
        </w:tc>
        <w:tc>
          <w:tcPr>
            <w:tcW w:w="1843" w:type="dxa"/>
            <w:tcBorders>
              <w:top w:val="single" w:sz="4" w:space="0" w:color="auto"/>
              <w:bottom w:val="single" w:sz="12" w:space="0" w:color="auto"/>
            </w:tcBorders>
            <w:shd w:val="clear" w:color="auto" w:fill="auto"/>
            <w:vAlign w:val="bottom"/>
          </w:tcPr>
          <w:p w:rsidR="00331EE5" w:rsidRPr="00331EE5" w:rsidRDefault="00307346" w:rsidP="00331EE5">
            <w:pPr>
              <w:spacing w:before="80" w:after="80" w:line="200" w:lineRule="exact"/>
              <w:ind w:right="113"/>
              <w:rPr>
                <w:i/>
                <w:sz w:val="16"/>
              </w:rPr>
            </w:pPr>
            <w:r>
              <w:rPr>
                <w:i/>
                <w:sz w:val="16"/>
              </w:rPr>
              <w:t>Submitted in</w:t>
            </w:r>
          </w:p>
        </w:tc>
      </w:tr>
      <w:tr w:rsidR="00331EE5" w:rsidRPr="00331EE5" w:rsidTr="008C09F9">
        <w:trPr>
          <w:trHeight w:hRule="exact" w:val="113"/>
        </w:trPr>
        <w:tc>
          <w:tcPr>
            <w:tcW w:w="1843" w:type="dxa"/>
            <w:tcBorders>
              <w:top w:val="single" w:sz="12" w:space="0" w:color="auto"/>
            </w:tcBorders>
            <w:shd w:val="clear" w:color="auto" w:fill="auto"/>
            <w:vAlign w:val="bottom"/>
          </w:tcPr>
          <w:p w:rsidR="00331EE5" w:rsidRPr="00331EE5" w:rsidRDefault="00331EE5" w:rsidP="00331EE5">
            <w:pPr>
              <w:spacing w:before="80" w:after="80" w:line="200" w:lineRule="exact"/>
              <w:ind w:right="113"/>
              <w:rPr>
                <w:i/>
                <w:sz w:val="16"/>
              </w:rPr>
            </w:pPr>
          </w:p>
        </w:tc>
        <w:tc>
          <w:tcPr>
            <w:tcW w:w="1842" w:type="dxa"/>
            <w:tcBorders>
              <w:top w:val="single" w:sz="12" w:space="0" w:color="auto"/>
            </w:tcBorders>
            <w:shd w:val="clear" w:color="auto" w:fill="auto"/>
            <w:vAlign w:val="bottom"/>
          </w:tcPr>
          <w:p w:rsidR="00331EE5" w:rsidRPr="00331EE5" w:rsidRDefault="00331EE5" w:rsidP="00331EE5">
            <w:pPr>
              <w:spacing w:before="80" w:after="80" w:line="200" w:lineRule="exact"/>
              <w:ind w:right="113"/>
              <w:rPr>
                <w:i/>
                <w:sz w:val="16"/>
              </w:rPr>
            </w:pPr>
          </w:p>
        </w:tc>
        <w:tc>
          <w:tcPr>
            <w:tcW w:w="1842" w:type="dxa"/>
            <w:tcBorders>
              <w:top w:val="single" w:sz="12" w:space="0" w:color="auto"/>
            </w:tcBorders>
            <w:shd w:val="clear" w:color="auto" w:fill="auto"/>
            <w:vAlign w:val="bottom"/>
          </w:tcPr>
          <w:p w:rsidR="00331EE5" w:rsidRPr="00331EE5" w:rsidRDefault="00331EE5" w:rsidP="00331EE5">
            <w:pPr>
              <w:spacing w:before="80" w:after="80" w:line="200" w:lineRule="exact"/>
              <w:ind w:right="113"/>
              <w:rPr>
                <w:i/>
                <w:sz w:val="16"/>
              </w:rPr>
            </w:pPr>
          </w:p>
        </w:tc>
        <w:tc>
          <w:tcPr>
            <w:tcW w:w="1843" w:type="dxa"/>
            <w:tcBorders>
              <w:top w:val="single" w:sz="12" w:space="0" w:color="auto"/>
            </w:tcBorders>
            <w:shd w:val="clear" w:color="auto" w:fill="auto"/>
            <w:vAlign w:val="bottom"/>
          </w:tcPr>
          <w:p w:rsidR="00331EE5" w:rsidRPr="00331EE5" w:rsidRDefault="00331EE5" w:rsidP="00331EE5">
            <w:pPr>
              <w:spacing w:before="80" w:after="80" w:line="200" w:lineRule="exact"/>
              <w:ind w:right="113"/>
              <w:rPr>
                <w:i/>
                <w:sz w:val="16"/>
              </w:rPr>
            </w:pPr>
          </w:p>
        </w:tc>
      </w:tr>
    </w:tbl>
    <w:tbl>
      <w:tblPr>
        <w:tblW w:w="9531" w:type="dxa"/>
        <w:tblLook w:val="01E0" w:firstRow="1" w:lastRow="1" w:firstColumn="1" w:lastColumn="1" w:noHBand="0" w:noVBand="0"/>
      </w:tblPr>
      <w:tblGrid>
        <w:gridCol w:w="2264"/>
        <w:gridCol w:w="1138"/>
        <w:gridCol w:w="3126"/>
        <w:gridCol w:w="3003"/>
      </w:tblGrid>
      <w:tr w:rsidR="00307346" w:rsidRPr="00C800AA" w:rsidTr="008C09F9">
        <w:tc>
          <w:tcPr>
            <w:tcW w:w="2264" w:type="dxa"/>
            <w:shd w:val="clear" w:color="auto" w:fill="auto"/>
          </w:tcPr>
          <w:p w:rsidR="00307346" w:rsidRPr="00C800AA" w:rsidRDefault="00307346" w:rsidP="00307346">
            <w:pPr>
              <w:spacing w:before="40" w:after="5280" w:line="220" w:lineRule="atLeast"/>
              <w:ind w:right="113"/>
            </w:pPr>
            <w:r>
              <w:t>CERD</w:t>
            </w:r>
          </w:p>
          <w:p w:rsidR="00307346" w:rsidRDefault="00307346" w:rsidP="00307346">
            <w:pPr>
              <w:spacing w:before="40" w:after="2400" w:line="220" w:lineRule="atLeast"/>
              <w:ind w:right="113"/>
            </w:pPr>
            <w:r>
              <w:t>CESCR</w:t>
            </w:r>
          </w:p>
          <w:p w:rsidR="00307346" w:rsidRPr="00C800AA" w:rsidRDefault="00307346" w:rsidP="00546FC2">
            <w:pPr>
              <w:spacing w:before="40" w:after="2880" w:line="220" w:lineRule="atLeast"/>
              <w:ind w:right="113"/>
            </w:pPr>
            <w:r w:rsidRPr="00C800AA">
              <w:t>H</w:t>
            </w:r>
            <w:r>
              <w:t>R Committee</w:t>
            </w:r>
          </w:p>
          <w:p w:rsidR="00307346" w:rsidRDefault="00307346" w:rsidP="005844B0">
            <w:pPr>
              <w:spacing w:before="40" w:after="2880" w:line="220" w:lineRule="atLeast"/>
              <w:ind w:right="113"/>
            </w:pPr>
            <w:r>
              <w:lastRenderedPageBreak/>
              <w:t>CEDAW</w:t>
            </w:r>
          </w:p>
          <w:p w:rsidR="00307346" w:rsidRPr="00CD7649" w:rsidRDefault="00307346" w:rsidP="00E200A8">
            <w:pPr>
              <w:spacing w:before="40" w:after="4320" w:line="220" w:lineRule="atLeast"/>
              <w:ind w:right="113"/>
              <w:rPr>
                <w:color w:val="000000" w:themeColor="text1"/>
              </w:rPr>
            </w:pPr>
            <w:r>
              <w:t>CAT</w:t>
            </w:r>
          </w:p>
          <w:p w:rsidR="00307346" w:rsidRPr="00E200A8" w:rsidRDefault="00307346" w:rsidP="00FB36B9">
            <w:pPr>
              <w:spacing w:before="40" w:after="120" w:line="220" w:lineRule="atLeast"/>
              <w:ind w:right="113"/>
              <w:rPr>
                <w:color w:val="000000" w:themeColor="text1"/>
              </w:rPr>
            </w:pPr>
            <w:r>
              <w:t>ICRMW</w:t>
            </w:r>
          </w:p>
        </w:tc>
        <w:tc>
          <w:tcPr>
            <w:tcW w:w="1138" w:type="dxa"/>
            <w:shd w:val="clear" w:color="auto" w:fill="auto"/>
          </w:tcPr>
          <w:p w:rsidR="00307346" w:rsidRPr="00E067AA" w:rsidRDefault="00307346" w:rsidP="00307346">
            <w:pPr>
              <w:spacing w:before="40" w:after="5280" w:line="220" w:lineRule="atLeast"/>
              <w:ind w:right="113"/>
            </w:pPr>
            <w:r w:rsidRPr="00E067AA">
              <w:lastRenderedPageBreak/>
              <w:t>2017</w:t>
            </w:r>
          </w:p>
          <w:p w:rsidR="00307346" w:rsidRPr="00E067AA" w:rsidRDefault="00307346" w:rsidP="00307346">
            <w:pPr>
              <w:spacing w:before="40" w:after="2400" w:line="220" w:lineRule="atLeast"/>
              <w:ind w:right="113"/>
            </w:pPr>
            <w:r w:rsidRPr="00E067AA">
              <w:t>2019</w:t>
            </w:r>
          </w:p>
          <w:p w:rsidR="00307346" w:rsidRPr="00E067AA" w:rsidRDefault="00307346" w:rsidP="00546FC2">
            <w:pPr>
              <w:spacing w:before="40" w:after="2760" w:line="220" w:lineRule="atLeast"/>
              <w:ind w:right="113"/>
            </w:pPr>
            <w:r w:rsidRPr="00E067AA">
              <w:t>2015</w:t>
            </w:r>
          </w:p>
          <w:p w:rsidR="00307346" w:rsidRPr="00E067AA" w:rsidRDefault="00307346" w:rsidP="005844B0">
            <w:pPr>
              <w:spacing w:before="40" w:after="2880"/>
              <w:ind w:right="113"/>
            </w:pPr>
            <w:r w:rsidRPr="00E067AA">
              <w:lastRenderedPageBreak/>
              <w:t>2019</w:t>
            </w:r>
          </w:p>
          <w:p w:rsidR="00307346" w:rsidRDefault="00307346" w:rsidP="00E200A8">
            <w:pPr>
              <w:spacing w:before="40" w:after="4320" w:line="220" w:lineRule="atLeast"/>
              <w:ind w:right="113"/>
            </w:pPr>
            <w:r w:rsidRPr="00E067AA">
              <w:t>2017</w:t>
            </w:r>
          </w:p>
          <w:p w:rsidR="00307346" w:rsidRPr="00E067AA" w:rsidRDefault="00307346" w:rsidP="00FB36B9">
            <w:pPr>
              <w:spacing w:before="40" w:after="120" w:line="220" w:lineRule="atLeast"/>
              <w:ind w:right="113"/>
            </w:pPr>
            <w:r w:rsidRPr="00C27951">
              <w:t>2018</w:t>
            </w:r>
          </w:p>
        </w:tc>
        <w:tc>
          <w:tcPr>
            <w:tcW w:w="3126" w:type="dxa"/>
            <w:shd w:val="clear" w:color="auto" w:fill="auto"/>
          </w:tcPr>
          <w:p w:rsidR="00307346" w:rsidRPr="00E067AA" w:rsidRDefault="00307346" w:rsidP="00307346">
            <w:pPr>
              <w:spacing w:after="240"/>
            </w:pPr>
            <w:r w:rsidRPr="00E067AA">
              <w:lastRenderedPageBreak/>
              <w:t>Legislative and policy measures to ensure application of the Convention, public education campaigns on the rights of the Convention, provide information on the number and types of complaints on racial discrimination and hate crimes; right to due process and strengthening the mandate of the National Human Rights Institution; protect the safety and security of ethnic and ethno-religious minorities and their places of worship, legislation on hate speech and prosecute the perpetrators of hate speech, incitement to violence and hate crimes, Access to basic services and im</w:t>
            </w:r>
            <w:r>
              <w:t>prove the Adivasi/</w:t>
            </w:r>
            <w:proofErr w:type="spellStart"/>
            <w:r>
              <w:t>Veddah</w:t>
            </w:r>
            <w:proofErr w:type="spellEnd"/>
            <w:r>
              <w:t xml:space="preserve"> people’</w:t>
            </w:r>
            <w:r w:rsidRPr="00E067AA">
              <w:t>s socioeconomic situation in consultation with the Adivasi/</w:t>
            </w:r>
            <w:proofErr w:type="spellStart"/>
            <w:r w:rsidRPr="00E067AA">
              <w:t>Veddah</w:t>
            </w:r>
            <w:proofErr w:type="spellEnd"/>
            <w:r w:rsidRPr="00E067AA">
              <w:t xml:space="preserve"> p</w:t>
            </w:r>
            <w:r>
              <w:t>eople</w:t>
            </w:r>
            <w:r w:rsidR="009E607B">
              <w:rPr>
                <w:rStyle w:val="EndnoteReference"/>
              </w:rPr>
              <w:endnoteReference w:id="11"/>
            </w:r>
          </w:p>
          <w:p w:rsidR="00307346" w:rsidRPr="00E067AA" w:rsidRDefault="00307346" w:rsidP="00307346">
            <w:pPr>
              <w:spacing w:before="40" w:after="360" w:line="220" w:lineRule="atLeast"/>
              <w:ind w:right="113"/>
            </w:pPr>
            <w:r w:rsidRPr="00E067AA">
              <w:t>Constitutional reform process, including the adoption of a comprehensive Bill of Rights that fully incorporates economic, social and cultural rights; Private and public land under the control of the military, ensure its restitution; Official Languages Law</w:t>
            </w:r>
            <w:r>
              <w:t xml:space="preserve"> and National Trilingual Policy</w:t>
            </w:r>
            <w:r w:rsidR="009E607B">
              <w:rPr>
                <w:rStyle w:val="EndnoteReference"/>
              </w:rPr>
              <w:endnoteReference w:id="12"/>
            </w:r>
          </w:p>
          <w:p w:rsidR="00307346" w:rsidRPr="00E067AA" w:rsidRDefault="00307346" w:rsidP="00FB36B9">
            <w:pPr>
              <w:spacing w:before="40" w:after="120" w:line="220" w:lineRule="atLeast"/>
              <w:ind w:right="113"/>
            </w:pPr>
            <w:r w:rsidRPr="00E067AA">
              <w:t>Impartial processes for appointments to the judiciary and other independent bodies; Unlawful use of force and violations of the right to life by State agents and/or by paramilitary groups; Investigation, prosecution and punishment perpetrators of enforced disappearance and establish the whereabouts of missing persons; Intimidation or harassment taken against persons exercising their</w:t>
            </w:r>
            <w:r w:rsidR="00CD7649">
              <w:t xml:space="preserve"> right to freedom of expression</w:t>
            </w:r>
            <w:r w:rsidR="009E607B">
              <w:rPr>
                <w:rStyle w:val="EndnoteReference"/>
              </w:rPr>
              <w:endnoteReference w:id="13"/>
            </w:r>
          </w:p>
          <w:p w:rsidR="00307346" w:rsidRPr="00E067AA" w:rsidRDefault="00307346" w:rsidP="00FB36B9">
            <w:pPr>
              <w:spacing w:before="40" w:after="120" w:line="220" w:lineRule="atLeast"/>
              <w:ind w:right="113"/>
            </w:pPr>
            <w:r w:rsidRPr="00E067AA">
              <w:t xml:space="preserve">Discriminatory provisions of the Land Development Ordinance; </w:t>
            </w:r>
            <w:r w:rsidRPr="00E067AA">
              <w:lastRenderedPageBreak/>
              <w:t>Personal Laws, containing discriminatory provisions regulating ownership, inheritance, transfer and disposal of land and property, as well as provisions regulating legal capacity, marria</w:t>
            </w:r>
            <w:r w:rsidR="00FF400F">
              <w:t>ge, divorce, and child custody;</w:t>
            </w:r>
            <w:r w:rsidRPr="00E067AA">
              <w:t xml:space="preserve"> the National Plan of Action for addressing Sexual and Gender Based Violence; criminal investigations, habeas corpus, and fundamental rights petit</w:t>
            </w:r>
            <w:r w:rsidR="00CD7649">
              <w:t>ions related to sexual violence</w:t>
            </w:r>
            <w:r w:rsidR="009E607B">
              <w:rPr>
                <w:rStyle w:val="EndnoteReference"/>
              </w:rPr>
              <w:endnoteReference w:id="14"/>
            </w:r>
          </w:p>
          <w:p w:rsidR="00307346" w:rsidRDefault="00307346" w:rsidP="00E200A8">
            <w:pPr>
              <w:spacing w:before="40" w:after="240" w:line="220" w:lineRule="atLeast"/>
              <w:ind w:right="113"/>
            </w:pPr>
            <w:r w:rsidRPr="00E067AA">
              <w:t xml:space="preserve">The role and responsibilities of Mr. </w:t>
            </w:r>
            <w:proofErr w:type="spellStart"/>
            <w:r w:rsidRPr="00E067AA">
              <w:t>Mendis</w:t>
            </w:r>
            <w:proofErr w:type="spellEnd"/>
            <w:r w:rsidRPr="00E067AA">
              <w:t xml:space="preserve"> when he was Deputy Inspector General of the Criminal Investigations Department with regard to torture that allegedly occurred during his mandate; the establishment of a judicial mechanism with a special counsel to investigate allegations of torture, enforced disappearances and other serious human rights violations; the establishment of an independent, effective, confidential and accessible complaints mechanism for victims of torture and the revision of the Assistance to and Protection of Victims of Crimes and Witnesses Act.</w:t>
            </w:r>
            <w:r w:rsidR="009E607B">
              <w:rPr>
                <w:rStyle w:val="EndnoteReference"/>
              </w:rPr>
              <w:endnoteReference w:id="15"/>
            </w:r>
          </w:p>
          <w:p w:rsidR="00307346" w:rsidRPr="00E067AA" w:rsidRDefault="00307346" w:rsidP="009E607B">
            <w:pPr>
              <w:spacing w:before="40" w:after="120" w:line="220" w:lineRule="atLeast"/>
              <w:ind w:right="113"/>
            </w:pPr>
            <w:r>
              <w:t>L</w:t>
            </w:r>
            <w:r w:rsidRPr="00CC0846">
              <w:t>egislation on migration; withdraw</w:t>
            </w:r>
            <w:r>
              <w:t>al</w:t>
            </w:r>
            <w:r w:rsidRPr="00CC0846">
              <w:t xml:space="preserve"> </w:t>
            </w:r>
            <w:r>
              <w:t xml:space="preserve">of </w:t>
            </w:r>
            <w:r w:rsidRPr="00CC0846">
              <w:t xml:space="preserve">the declarations and reservations made with respect to articles 49 and 54 of the Convention; trade union activities </w:t>
            </w:r>
            <w:r>
              <w:t>for</w:t>
            </w:r>
            <w:r w:rsidRPr="00CC0846">
              <w:t xml:space="preserve"> all migrant workers, </w:t>
            </w:r>
            <w:r>
              <w:t>t</w:t>
            </w:r>
            <w:r w:rsidRPr="00CC0846">
              <w:t>he right to vote for Sri Lankan m</w:t>
            </w:r>
            <w:r w:rsidR="00FF400F">
              <w:t>igrant workers residing abroad</w:t>
            </w:r>
            <w:r w:rsidR="009E607B">
              <w:rPr>
                <w:rStyle w:val="EndnoteReference"/>
              </w:rPr>
              <w:endnoteReference w:id="16"/>
            </w:r>
          </w:p>
        </w:tc>
        <w:tc>
          <w:tcPr>
            <w:tcW w:w="3003" w:type="dxa"/>
            <w:shd w:val="clear" w:color="auto" w:fill="auto"/>
          </w:tcPr>
          <w:p w:rsidR="00954687" w:rsidRDefault="00124A32" w:rsidP="00546FC2">
            <w:pPr>
              <w:spacing w:before="40" w:after="7920" w:line="220" w:lineRule="atLeast"/>
              <w:ind w:right="113"/>
            </w:pPr>
            <w:r>
              <w:lastRenderedPageBreak/>
              <w:t>–</w:t>
            </w:r>
          </w:p>
          <w:p w:rsidR="00546FC2" w:rsidRDefault="00307346" w:rsidP="00EB2CDB">
            <w:pPr>
              <w:spacing w:before="40" w:after="3000" w:line="220" w:lineRule="atLeast"/>
              <w:ind w:right="113"/>
            </w:pPr>
            <w:r>
              <w:t>Ongoing dialogue</w:t>
            </w:r>
            <w:r w:rsidR="009E607B">
              <w:rPr>
                <w:rStyle w:val="EndnoteReference"/>
              </w:rPr>
              <w:endnoteReference w:id="17"/>
            </w:r>
          </w:p>
          <w:p w:rsidR="00EB2CDB" w:rsidRDefault="00124A32" w:rsidP="005844B0">
            <w:pPr>
              <w:spacing w:before="40" w:after="2880" w:line="220" w:lineRule="atLeast"/>
              <w:ind w:right="113"/>
            </w:pPr>
            <w:r>
              <w:lastRenderedPageBreak/>
              <w:t>–</w:t>
            </w:r>
            <w:bookmarkStart w:id="4" w:name="_GoBack"/>
            <w:bookmarkEnd w:id="4"/>
          </w:p>
          <w:p w:rsidR="00EB2CDB" w:rsidRDefault="00124A32" w:rsidP="00185080">
            <w:pPr>
              <w:spacing w:before="40" w:after="4320" w:line="220" w:lineRule="atLeast"/>
              <w:ind w:right="113"/>
            </w:pPr>
            <w:r>
              <w:t>–</w:t>
            </w:r>
          </w:p>
          <w:p w:rsidR="00185080" w:rsidRPr="00C800AA" w:rsidRDefault="00124A32" w:rsidP="009E607B">
            <w:pPr>
              <w:spacing w:before="40" w:after="120" w:line="220" w:lineRule="atLeast"/>
              <w:ind w:right="113"/>
            </w:pPr>
            <w:r>
              <w:t>–</w:t>
            </w:r>
          </w:p>
        </w:tc>
      </w:tr>
    </w:tbl>
    <w:tbl>
      <w:tblPr>
        <w:tblStyle w:val="TableGrid"/>
        <w:tblW w:w="963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8C09F9" w:rsidRPr="008C09F9" w:rsidTr="008C09F9">
        <w:tc>
          <w:tcPr>
            <w:tcW w:w="2409" w:type="dxa"/>
            <w:shd w:val="clear" w:color="auto" w:fill="auto"/>
            <w:vAlign w:val="bottom"/>
          </w:tcPr>
          <w:p w:rsidR="008C09F9" w:rsidRPr="008C09F9" w:rsidRDefault="008C09F9" w:rsidP="008C09F9">
            <w:pPr>
              <w:spacing w:before="80" w:after="80" w:line="200" w:lineRule="exact"/>
              <w:ind w:right="113"/>
              <w:rPr>
                <w:i/>
                <w:sz w:val="16"/>
              </w:rPr>
            </w:pPr>
          </w:p>
        </w:tc>
        <w:tc>
          <w:tcPr>
            <w:tcW w:w="2409" w:type="dxa"/>
            <w:shd w:val="clear" w:color="auto" w:fill="auto"/>
            <w:vAlign w:val="bottom"/>
          </w:tcPr>
          <w:p w:rsidR="008C09F9" w:rsidRPr="008C09F9" w:rsidRDefault="008C09F9" w:rsidP="008C09F9">
            <w:pPr>
              <w:spacing w:before="80" w:after="80" w:line="200" w:lineRule="exact"/>
              <w:ind w:right="113"/>
              <w:rPr>
                <w:i/>
                <w:sz w:val="16"/>
              </w:rPr>
            </w:pPr>
          </w:p>
        </w:tc>
        <w:tc>
          <w:tcPr>
            <w:tcW w:w="2409" w:type="dxa"/>
            <w:shd w:val="clear" w:color="auto" w:fill="auto"/>
            <w:vAlign w:val="bottom"/>
          </w:tcPr>
          <w:p w:rsidR="008C09F9" w:rsidRPr="008C09F9" w:rsidRDefault="008C09F9" w:rsidP="008C09F9">
            <w:pPr>
              <w:spacing w:before="80" w:after="80" w:line="200" w:lineRule="exact"/>
              <w:ind w:right="113"/>
              <w:rPr>
                <w:i/>
                <w:sz w:val="16"/>
              </w:rPr>
            </w:pPr>
          </w:p>
        </w:tc>
        <w:tc>
          <w:tcPr>
            <w:tcW w:w="2410" w:type="dxa"/>
            <w:shd w:val="clear" w:color="auto" w:fill="auto"/>
            <w:vAlign w:val="bottom"/>
          </w:tcPr>
          <w:p w:rsidR="008C09F9" w:rsidRPr="008C09F9" w:rsidRDefault="008C09F9" w:rsidP="008C09F9">
            <w:pPr>
              <w:spacing w:before="80" w:after="80" w:line="200" w:lineRule="exact"/>
              <w:ind w:right="113"/>
              <w:rPr>
                <w:i/>
                <w:sz w:val="16"/>
              </w:rPr>
            </w:pPr>
          </w:p>
        </w:tc>
      </w:tr>
    </w:tbl>
    <w:p w:rsidR="00A02BFB" w:rsidRPr="00331EE5" w:rsidRDefault="0022777B" w:rsidP="00E026D4">
      <w:pPr>
        <w:pStyle w:val="H23G"/>
        <w:spacing w:before="40" w:line="240" w:lineRule="atLeast"/>
        <w:ind w:left="0" w:right="113" w:firstLine="0"/>
      </w:pPr>
      <w:r w:rsidRPr="00331EE5">
        <w:tab/>
      </w:r>
      <w:r w:rsidRPr="00331EE5">
        <w:tab/>
      </w:r>
      <w:r w:rsidR="00E026D4">
        <w:t>Views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331EE5" w:rsidTr="00E62E6C">
        <w:tc>
          <w:tcPr>
            <w:tcW w:w="3211" w:type="dxa"/>
            <w:tcBorders>
              <w:top w:val="single" w:sz="4" w:space="0" w:color="auto"/>
              <w:bottom w:val="single" w:sz="12" w:space="0" w:color="auto"/>
            </w:tcBorders>
            <w:shd w:val="clear" w:color="auto" w:fill="auto"/>
            <w:vAlign w:val="bottom"/>
          </w:tcPr>
          <w:p w:rsidR="00A02BFB" w:rsidRPr="00331EE5" w:rsidRDefault="00A02BFB" w:rsidP="00331EE5">
            <w:pPr>
              <w:spacing w:before="40" w:after="120"/>
              <w:ind w:right="113"/>
              <w:rPr>
                <w:sz w:val="16"/>
              </w:rPr>
            </w:pPr>
            <w:r w:rsidRPr="00331EE5">
              <w:rPr>
                <w:sz w:val="16"/>
              </w:rPr>
              <w:t>Treaty body</w:t>
            </w:r>
          </w:p>
        </w:tc>
        <w:tc>
          <w:tcPr>
            <w:tcW w:w="3213" w:type="dxa"/>
            <w:tcBorders>
              <w:top w:val="single" w:sz="4" w:space="0" w:color="auto"/>
              <w:bottom w:val="single" w:sz="12" w:space="0" w:color="auto"/>
            </w:tcBorders>
            <w:shd w:val="clear" w:color="auto" w:fill="auto"/>
            <w:vAlign w:val="bottom"/>
          </w:tcPr>
          <w:p w:rsidR="00A02BFB" w:rsidRPr="00331EE5" w:rsidRDefault="00A02BFB" w:rsidP="00331EE5">
            <w:pPr>
              <w:spacing w:before="40" w:after="120"/>
              <w:ind w:right="113"/>
              <w:rPr>
                <w:sz w:val="16"/>
              </w:rPr>
            </w:pPr>
            <w:r w:rsidRPr="00331EE5">
              <w:rPr>
                <w:sz w:val="16"/>
              </w:rPr>
              <w:t>Number of views</w:t>
            </w:r>
          </w:p>
        </w:tc>
        <w:tc>
          <w:tcPr>
            <w:tcW w:w="3213" w:type="dxa"/>
            <w:tcBorders>
              <w:top w:val="single" w:sz="4" w:space="0" w:color="auto"/>
              <w:bottom w:val="single" w:sz="12" w:space="0" w:color="auto"/>
            </w:tcBorders>
            <w:shd w:val="clear" w:color="auto" w:fill="auto"/>
            <w:vAlign w:val="bottom"/>
          </w:tcPr>
          <w:p w:rsidR="00A02BFB" w:rsidRPr="00331EE5" w:rsidRDefault="00A02BFB" w:rsidP="00331EE5">
            <w:pPr>
              <w:spacing w:before="40" w:after="120"/>
              <w:ind w:right="113"/>
              <w:rPr>
                <w:sz w:val="16"/>
              </w:rPr>
            </w:pPr>
            <w:r w:rsidRPr="00331EE5">
              <w:rPr>
                <w:sz w:val="16"/>
              </w:rPr>
              <w:t>Status</w:t>
            </w:r>
          </w:p>
        </w:tc>
      </w:tr>
      <w:tr w:rsidR="00A02BFB" w:rsidRPr="00331EE5" w:rsidTr="00E62E6C">
        <w:trPr>
          <w:trHeight w:hRule="exact" w:val="113"/>
        </w:trPr>
        <w:tc>
          <w:tcPr>
            <w:tcW w:w="3211" w:type="dxa"/>
            <w:tcBorders>
              <w:top w:val="single" w:sz="12" w:space="0" w:color="auto"/>
            </w:tcBorders>
            <w:shd w:val="clear" w:color="auto" w:fill="auto"/>
            <w:vAlign w:val="bottom"/>
          </w:tcPr>
          <w:p w:rsidR="00A02BFB" w:rsidRPr="00331EE5" w:rsidRDefault="00A02BFB" w:rsidP="00331EE5">
            <w:pPr>
              <w:spacing w:before="40" w:after="120"/>
              <w:ind w:right="113"/>
              <w:rPr>
                <w:sz w:val="16"/>
              </w:rPr>
            </w:pPr>
          </w:p>
        </w:tc>
        <w:tc>
          <w:tcPr>
            <w:tcW w:w="3213" w:type="dxa"/>
            <w:tcBorders>
              <w:top w:val="single" w:sz="12" w:space="0" w:color="auto"/>
            </w:tcBorders>
            <w:shd w:val="clear" w:color="auto" w:fill="auto"/>
            <w:vAlign w:val="bottom"/>
          </w:tcPr>
          <w:p w:rsidR="00A02BFB" w:rsidRPr="00331EE5" w:rsidRDefault="00A02BFB" w:rsidP="00331EE5">
            <w:pPr>
              <w:spacing w:before="40" w:after="120"/>
              <w:ind w:right="113"/>
              <w:rPr>
                <w:sz w:val="16"/>
              </w:rPr>
            </w:pPr>
          </w:p>
        </w:tc>
        <w:tc>
          <w:tcPr>
            <w:tcW w:w="3213" w:type="dxa"/>
            <w:tcBorders>
              <w:top w:val="single" w:sz="12" w:space="0" w:color="auto"/>
            </w:tcBorders>
            <w:shd w:val="clear" w:color="auto" w:fill="auto"/>
            <w:vAlign w:val="bottom"/>
          </w:tcPr>
          <w:p w:rsidR="00A02BFB" w:rsidRPr="00331EE5" w:rsidRDefault="00A02BFB" w:rsidP="00331EE5">
            <w:pPr>
              <w:spacing w:before="40" w:after="120"/>
              <w:ind w:right="113"/>
              <w:rPr>
                <w:sz w:val="16"/>
              </w:rPr>
            </w:pPr>
          </w:p>
        </w:tc>
      </w:tr>
      <w:tr w:rsidR="00E62E6C" w:rsidRPr="00B25836" w:rsidTr="00E62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1" w:type="dxa"/>
            <w:tcBorders>
              <w:top w:val="nil"/>
              <w:left w:val="nil"/>
              <w:bottom w:val="single" w:sz="12" w:space="0" w:color="auto"/>
              <w:right w:val="nil"/>
            </w:tcBorders>
          </w:tcPr>
          <w:p w:rsidR="00E62E6C" w:rsidRPr="00E62E6C" w:rsidRDefault="00EF45E8" w:rsidP="00FB36B9">
            <w:pPr>
              <w:spacing w:before="40" w:after="120" w:line="220" w:lineRule="atLeast"/>
              <w:ind w:right="113"/>
              <w:rPr>
                <w:color w:val="000000" w:themeColor="text1"/>
              </w:rPr>
            </w:pPr>
            <w:r>
              <w:t>HR</w:t>
            </w:r>
            <w:r w:rsidR="00E62E6C" w:rsidRPr="00C800AA">
              <w:t xml:space="preserve"> Committee</w:t>
            </w:r>
          </w:p>
        </w:tc>
        <w:tc>
          <w:tcPr>
            <w:tcW w:w="3213" w:type="dxa"/>
            <w:tcBorders>
              <w:top w:val="nil"/>
              <w:left w:val="nil"/>
              <w:bottom w:val="single" w:sz="12" w:space="0" w:color="auto"/>
              <w:right w:val="nil"/>
            </w:tcBorders>
          </w:tcPr>
          <w:p w:rsidR="00E62E6C" w:rsidRPr="00B25836" w:rsidRDefault="00E62E6C" w:rsidP="009E607B">
            <w:pPr>
              <w:spacing w:before="40" w:after="120" w:line="220" w:lineRule="atLeast"/>
              <w:ind w:right="113"/>
            </w:pPr>
            <w:r w:rsidRPr="00B25836">
              <w:t>2</w:t>
            </w:r>
            <w:r w:rsidR="009E607B">
              <w:rPr>
                <w:rStyle w:val="EndnoteReference"/>
              </w:rPr>
              <w:endnoteReference w:id="18"/>
            </w:r>
          </w:p>
        </w:tc>
        <w:tc>
          <w:tcPr>
            <w:tcW w:w="3213" w:type="dxa"/>
            <w:tcBorders>
              <w:top w:val="nil"/>
              <w:left w:val="nil"/>
              <w:bottom w:val="single" w:sz="12" w:space="0" w:color="auto"/>
              <w:right w:val="nil"/>
            </w:tcBorders>
          </w:tcPr>
          <w:p w:rsidR="00E62E6C" w:rsidRPr="00B25836" w:rsidRDefault="00E62E6C" w:rsidP="00FB36B9">
            <w:pPr>
              <w:spacing w:before="40" w:after="120" w:line="220" w:lineRule="atLeast"/>
              <w:ind w:right="113"/>
            </w:pPr>
            <w:r w:rsidRPr="00B25836">
              <w:t>Ongoing dialogue</w:t>
            </w:r>
          </w:p>
        </w:tc>
      </w:tr>
    </w:tbl>
    <w:p w:rsidR="00974664" w:rsidRDefault="00974664" w:rsidP="00974664">
      <w:pPr>
        <w:rPr>
          <w:sz w:val="24"/>
        </w:rPr>
      </w:pPr>
      <w:r>
        <w:br w:type="page"/>
      </w:r>
    </w:p>
    <w:p w:rsidR="00A02BFB" w:rsidRDefault="00A02BFB" w:rsidP="00676C10">
      <w:pPr>
        <w:pStyle w:val="H1G"/>
      </w:pPr>
      <w:r w:rsidRPr="00A02BFB">
        <w:lastRenderedPageBreak/>
        <w:tab/>
        <w:t>B.</w:t>
      </w:r>
      <w:r w:rsidRPr="00A02BFB">
        <w:tab/>
        <w:t>Cooperation with special procedures</w:t>
      </w:r>
      <w:r w:rsidRPr="00AA643E">
        <w:rPr>
          <w:b w:val="0"/>
          <w:sz w:val="18"/>
          <w:szCs w:val="18"/>
          <w:vertAlign w:val="superscript"/>
        </w:rPr>
        <w:endnoteReference w:id="19"/>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475"/>
        <w:gridCol w:w="2410"/>
        <w:gridCol w:w="3221"/>
        <w:gridCol w:w="6"/>
      </w:tblGrid>
      <w:tr w:rsidR="009E78E3" w:rsidRPr="009E78E3" w:rsidTr="004E2D48">
        <w:trPr>
          <w:gridAfter w:val="1"/>
          <w:wAfter w:w="6" w:type="dxa"/>
        </w:trPr>
        <w:tc>
          <w:tcPr>
            <w:tcW w:w="3211" w:type="dxa"/>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2885" w:type="dxa"/>
            <w:gridSpan w:val="2"/>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r>
              <w:rPr>
                <w:i/>
                <w:sz w:val="16"/>
              </w:rPr>
              <w:t>Status during previous cycle</w:t>
            </w:r>
          </w:p>
        </w:tc>
        <w:tc>
          <w:tcPr>
            <w:tcW w:w="3221" w:type="dxa"/>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r>
              <w:rPr>
                <w:i/>
                <w:sz w:val="16"/>
              </w:rPr>
              <w:t>Current status</w:t>
            </w:r>
          </w:p>
        </w:tc>
      </w:tr>
      <w:tr w:rsidR="009E78E3" w:rsidRPr="009E78E3" w:rsidTr="004E2D48">
        <w:trPr>
          <w:gridAfter w:val="1"/>
          <w:wAfter w:w="6" w:type="dxa"/>
          <w:trHeight w:hRule="exact" w:val="113"/>
        </w:trPr>
        <w:tc>
          <w:tcPr>
            <w:tcW w:w="3211"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2885" w:type="dxa"/>
            <w:gridSpan w:val="2"/>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21"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r>
      <w:tr w:rsidR="003E33AE" w:rsidRPr="009E78E3" w:rsidTr="004E2D48">
        <w:trPr>
          <w:gridAfter w:val="1"/>
          <w:wAfter w:w="6" w:type="dxa"/>
        </w:trPr>
        <w:tc>
          <w:tcPr>
            <w:tcW w:w="3211" w:type="dxa"/>
            <w:shd w:val="clear" w:color="auto" w:fill="auto"/>
          </w:tcPr>
          <w:p w:rsidR="003E33AE" w:rsidRPr="003E6998" w:rsidRDefault="003E33AE" w:rsidP="009E78E3">
            <w:pPr>
              <w:spacing w:before="40" w:after="120"/>
              <w:ind w:right="113"/>
              <w:rPr>
                <w:i/>
              </w:rPr>
            </w:pPr>
            <w:r w:rsidRPr="003E6998">
              <w:rPr>
                <w:i/>
              </w:rPr>
              <w:t>Standing invitations</w:t>
            </w:r>
          </w:p>
        </w:tc>
        <w:tc>
          <w:tcPr>
            <w:tcW w:w="2885" w:type="dxa"/>
            <w:gridSpan w:val="2"/>
            <w:shd w:val="clear" w:color="auto" w:fill="auto"/>
          </w:tcPr>
          <w:p w:rsidR="003E33AE" w:rsidRPr="005C5F69" w:rsidRDefault="003E33AE" w:rsidP="009E78E3">
            <w:pPr>
              <w:spacing w:before="40" w:after="120"/>
              <w:ind w:right="113"/>
            </w:pPr>
            <w:r w:rsidRPr="005C5F69">
              <w:t>No</w:t>
            </w:r>
          </w:p>
        </w:tc>
        <w:tc>
          <w:tcPr>
            <w:tcW w:w="3221" w:type="dxa"/>
            <w:shd w:val="clear" w:color="auto" w:fill="auto"/>
          </w:tcPr>
          <w:p w:rsidR="003E33AE" w:rsidRPr="005C5F69" w:rsidRDefault="003E33AE" w:rsidP="009E78E3">
            <w:pPr>
              <w:spacing w:before="40" w:after="120"/>
              <w:ind w:right="113"/>
            </w:pPr>
            <w:r w:rsidRPr="005C5F69">
              <w:t>Yes</w:t>
            </w:r>
            <w:r w:rsidR="005C5F69">
              <w:t xml:space="preserve"> (2015)</w:t>
            </w:r>
          </w:p>
        </w:tc>
      </w:tr>
      <w:tr w:rsidR="009E78E3" w:rsidRPr="009E78E3" w:rsidTr="004E2D48">
        <w:trPr>
          <w:gridAfter w:val="1"/>
          <w:wAfter w:w="6" w:type="dxa"/>
        </w:trPr>
        <w:tc>
          <w:tcPr>
            <w:tcW w:w="3211" w:type="dxa"/>
            <w:shd w:val="clear" w:color="auto" w:fill="auto"/>
          </w:tcPr>
          <w:p w:rsidR="003E33AE" w:rsidRPr="003E6998" w:rsidRDefault="003E33AE" w:rsidP="009E78E3">
            <w:pPr>
              <w:spacing w:before="40" w:after="120"/>
              <w:ind w:right="113"/>
              <w:rPr>
                <w:i/>
              </w:rPr>
            </w:pPr>
            <w:r>
              <w:rPr>
                <w:i/>
              </w:rPr>
              <w:t>Visits undertaken</w:t>
            </w:r>
          </w:p>
        </w:tc>
        <w:tc>
          <w:tcPr>
            <w:tcW w:w="2885" w:type="dxa"/>
            <w:gridSpan w:val="2"/>
            <w:shd w:val="clear" w:color="auto" w:fill="auto"/>
          </w:tcPr>
          <w:p w:rsidR="003E6998" w:rsidRPr="009E78E3" w:rsidRDefault="003F295F" w:rsidP="009E78E3">
            <w:pPr>
              <w:spacing w:before="40" w:after="120"/>
              <w:ind w:right="113"/>
            </w:pPr>
            <w:r>
              <w:t>–</w:t>
            </w:r>
          </w:p>
        </w:tc>
        <w:tc>
          <w:tcPr>
            <w:tcW w:w="3221" w:type="dxa"/>
            <w:shd w:val="clear" w:color="auto" w:fill="auto"/>
          </w:tcPr>
          <w:p w:rsidR="003E6998" w:rsidRDefault="007E1E63" w:rsidP="009E78E3">
            <w:pPr>
              <w:spacing w:before="40" w:after="120"/>
              <w:ind w:right="113"/>
            </w:pPr>
            <w:r>
              <w:t>Special Rapporteur on the human rights of internally displaced persons (2-6 December 2013)</w:t>
            </w:r>
          </w:p>
          <w:p w:rsidR="007E1E63" w:rsidRDefault="007E1E63" w:rsidP="009E78E3">
            <w:pPr>
              <w:spacing w:before="40" w:after="120"/>
              <w:ind w:right="113"/>
            </w:pPr>
            <w:r>
              <w:t>Special Rapporteur on the rights of migrants (19-26 May 2014)</w:t>
            </w:r>
          </w:p>
          <w:p w:rsidR="007E1E63" w:rsidRDefault="007E1E63" w:rsidP="009E78E3">
            <w:pPr>
              <w:spacing w:before="40" w:after="120"/>
              <w:ind w:right="113"/>
            </w:pPr>
            <w:r>
              <w:t>Working Group on Enforced or Involuntary Disappearance (9-18 November 2015)</w:t>
            </w:r>
          </w:p>
          <w:p w:rsidR="007E1E63" w:rsidRDefault="007E1E63" w:rsidP="007E1E63">
            <w:pPr>
              <w:spacing w:before="40" w:after="120"/>
              <w:ind w:right="113"/>
            </w:pPr>
            <w:r>
              <w:t>Special Rapporteur on torture and other cruel, inhuman or degrading treatment or punishment and Special Rapporteur on the independence of judges and lawyers (29 April – 7 May 2016)</w:t>
            </w:r>
          </w:p>
          <w:p w:rsidR="007E1E63" w:rsidRDefault="007E1E63" w:rsidP="007E1E63">
            <w:pPr>
              <w:spacing w:before="40" w:after="120"/>
              <w:ind w:right="113"/>
            </w:pPr>
            <w:r>
              <w:t>Special Rapporteur on minority issues (10-20 October 2016)</w:t>
            </w:r>
          </w:p>
          <w:p w:rsidR="007E1E63" w:rsidRPr="009E78E3" w:rsidRDefault="007E1E63" w:rsidP="007E1E63">
            <w:pPr>
              <w:spacing w:before="40" w:after="120"/>
              <w:ind w:right="113"/>
            </w:pPr>
            <w:r>
              <w:t>Special Rapporteur on the promotion and protection of human rights while countering terrorism (10-14 July 2017)</w:t>
            </w:r>
          </w:p>
        </w:tc>
      </w:tr>
      <w:tr w:rsidR="009E78E3" w:rsidRPr="009E78E3" w:rsidTr="004E2D48">
        <w:trPr>
          <w:gridAfter w:val="1"/>
          <w:wAfter w:w="6" w:type="dxa"/>
        </w:trPr>
        <w:tc>
          <w:tcPr>
            <w:tcW w:w="3211" w:type="dxa"/>
            <w:shd w:val="clear" w:color="auto" w:fill="auto"/>
          </w:tcPr>
          <w:p w:rsidR="009E78E3" w:rsidRPr="003E6998" w:rsidRDefault="003E6998" w:rsidP="009E78E3">
            <w:pPr>
              <w:spacing w:before="40" w:after="120"/>
              <w:ind w:right="113"/>
              <w:rPr>
                <w:i/>
              </w:rPr>
            </w:pPr>
            <w:r w:rsidRPr="003E6998">
              <w:rPr>
                <w:i/>
              </w:rPr>
              <w:t>Visits agreed to in principle</w:t>
            </w:r>
          </w:p>
        </w:tc>
        <w:tc>
          <w:tcPr>
            <w:tcW w:w="2885" w:type="dxa"/>
            <w:gridSpan w:val="2"/>
            <w:shd w:val="clear" w:color="auto" w:fill="auto"/>
          </w:tcPr>
          <w:p w:rsidR="009E78E3" w:rsidRPr="009E78E3" w:rsidRDefault="003F295F" w:rsidP="003E6998">
            <w:pPr>
              <w:spacing w:before="40" w:after="120"/>
              <w:ind w:right="113"/>
            </w:pPr>
            <w:r>
              <w:t>–</w:t>
            </w:r>
          </w:p>
        </w:tc>
        <w:tc>
          <w:tcPr>
            <w:tcW w:w="3221" w:type="dxa"/>
            <w:shd w:val="clear" w:color="auto" w:fill="auto"/>
          </w:tcPr>
          <w:p w:rsidR="009E78E3" w:rsidRPr="00F21B60" w:rsidRDefault="000E28B2" w:rsidP="003E6998">
            <w:pPr>
              <w:spacing w:before="40" w:after="120"/>
              <w:ind w:right="113"/>
              <w:rPr>
                <w:i/>
              </w:rPr>
            </w:pPr>
            <w:r w:rsidRPr="00F21B60">
              <w:rPr>
                <w:i/>
              </w:rPr>
              <w:t>Special Rapporteur on the promotion of truth, justice, reparation and guarantees of non-recurrence (10-23 October 2017)</w:t>
            </w:r>
          </w:p>
        </w:tc>
      </w:tr>
      <w:tr w:rsidR="009E78E3" w:rsidRPr="009E78E3" w:rsidTr="004E2D48">
        <w:trPr>
          <w:gridAfter w:val="1"/>
          <w:wAfter w:w="6" w:type="dxa"/>
        </w:trPr>
        <w:tc>
          <w:tcPr>
            <w:tcW w:w="3211" w:type="dxa"/>
            <w:shd w:val="clear" w:color="auto" w:fill="auto"/>
          </w:tcPr>
          <w:p w:rsidR="009E78E3" w:rsidRPr="003E6998" w:rsidRDefault="003E6998" w:rsidP="009E78E3">
            <w:pPr>
              <w:spacing w:before="40" w:after="120"/>
              <w:ind w:right="113"/>
              <w:rPr>
                <w:i/>
              </w:rPr>
            </w:pPr>
            <w:r w:rsidRPr="003E6998">
              <w:rPr>
                <w:i/>
              </w:rPr>
              <w:t>Visits requested</w:t>
            </w:r>
          </w:p>
        </w:tc>
        <w:tc>
          <w:tcPr>
            <w:tcW w:w="2885" w:type="dxa"/>
            <w:gridSpan w:val="2"/>
            <w:shd w:val="clear" w:color="auto" w:fill="auto"/>
          </w:tcPr>
          <w:p w:rsidR="003E6998" w:rsidRDefault="000E28B2" w:rsidP="00AE7D5D">
            <w:pPr>
              <w:spacing w:after="120"/>
              <w:ind w:right="113"/>
              <w:rPr>
                <w:i/>
              </w:rPr>
            </w:pPr>
            <w:r w:rsidRPr="000E28B2">
              <w:rPr>
                <w:i/>
              </w:rPr>
              <w:t>Working Group on Disappearances (requested in 2009, 2010 and 2011)</w:t>
            </w:r>
          </w:p>
          <w:p w:rsidR="000E28B2" w:rsidRDefault="000E28B2" w:rsidP="00AE7D5D">
            <w:pPr>
              <w:spacing w:after="120"/>
              <w:ind w:right="113"/>
              <w:rPr>
                <w:i/>
              </w:rPr>
            </w:pPr>
            <w:r>
              <w:rPr>
                <w:i/>
              </w:rPr>
              <w:t>Independent Expert on minority issues (requested in 2010)</w:t>
            </w:r>
          </w:p>
          <w:p w:rsidR="000E28B2" w:rsidRDefault="000E28B2" w:rsidP="00AE7D5D">
            <w:pPr>
              <w:spacing w:after="120"/>
              <w:ind w:right="113"/>
              <w:rPr>
                <w:i/>
              </w:rPr>
            </w:pPr>
            <w:r w:rsidRPr="00736C3F">
              <w:rPr>
                <w:i/>
              </w:rPr>
              <w:t>S</w:t>
            </w:r>
            <w:r>
              <w:rPr>
                <w:i/>
              </w:rPr>
              <w:t xml:space="preserve">pecial </w:t>
            </w:r>
            <w:r w:rsidRPr="00736C3F">
              <w:rPr>
                <w:i/>
              </w:rPr>
              <w:t>R</w:t>
            </w:r>
            <w:r>
              <w:rPr>
                <w:i/>
              </w:rPr>
              <w:t>apporteur on human rights defenders (r</w:t>
            </w:r>
            <w:r w:rsidRPr="00736C3F">
              <w:rPr>
                <w:i/>
              </w:rPr>
              <w:t>equested in 2008)</w:t>
            </w:r>
          </w:p>
          <w:p w:rsidR="000E28B2" w:rsidRDefault="00AE7D5D" w:rsidP="00AE7D5D">
            <w:pPr>
              <w:spacing w:after="120"/>
              <w:ind w:right="113"/>
              <w:rPr>
                <w:i/>
              </w:rPr>
            </w:pPr>
            <w:r w:rsidRPr="00736C3F">
              <w:rPr>
                <w:i/>
              </w:rPr>
              <w:t>S</w:t>
            </w:r>
            <w:r>
              <w:rPr>
                <w:i/>
              </w:rPr>
              <w:t xml:space="preserve">pecial </w:t>
            </w:r>
            <w:r w:rsidRPr="00736C3F">
              <w:rPr>
                <w:i/>
              </w:rPr>
              <w:t>R</w:t>
            </w:r>
            <w:r>
              <w:rPr>
                <w:i/>
              </w:rPr>
              <w:t>apporteur</w:t>
            </w:r>
            <w:r w:rsidRPr="00736C3F">
              <w:rPr>
                <w:i/>
              </w:rPr>
              <w:t xml:space="preserve"> on freedom of expression (requested in 2009)</w:t>
            </w:r>
          </w:p>
          <w:p w:rsidR="00AE7D5D" w:rsidRDefault="00AE7D5D" w:rsidP="00AE7D5D">
            <w:pPr>
              <w:spacing w:after="120"/>
              <w:ind w:right="113"/>
              <w:rPr>
                <w:i/>
              </w:rPr>
            </w:pPr>
            <w:r w:rsidRPr="00736C3F">
              <w:rPr>
                <w:i/>
              </w:rPr>
              <w:t>S</w:t>
            </w:r>
            <w:r>
              <w:rPr>
                <w:i/>
              </w:rPr>
              <w:t xml:space="preserve">pecial </w:t>
            </w:r>
            <w:r w:rsidRPr="00736C3F">
              <w:rPr>
                <w:i/>
              </w:rPr>
              <w:t>R</w:t>
            </w:r>
            <w:r>
              <w:rPr>
                <w:i/>
              </w:rPr>
              <w:t>apporteur</w:t>
            </w:r>
            <w:r w:rsidRPr="00736C3F">
              <w:rPr>
                <w:i/>
              </w:rPr>
              <w:t xml:space="preserve"> on extrajudicial executions (requested in 2009, reminder in 2010)</w:t>
            </w:r>
          </w:p>
          <w:p w:rsidR="00AE7D5D" w:rsidRPr="009D3FA1" w:rsidRDefault="00AE7D5D" w:rsidP="003E6998">
            <w:pPr>
              <w:ind w:right="113"/>
              <w:rPr>
                <w:i/>
                <w:highlight w:val="yellow"/>
              </w:rPr>
            </w:pPr>
            <w:r w:rsidRPr="00736C3F">
              <w:rPr>
                <w:i/>
              </w:rPr>
              <w:t>S</w:t>
            </w:r>
            <w:r>
              <w:rPr>
                <w:i/>
              </w:rPr>
              <w:t xml:space="preserve">pecial </w:t>
            </w:r>
            <w:r w:rsidRPr="00736C3F">
              <w:rPr>
                <w:i/>
              </w:rPr>
              <w:t>R</w:t>
            </w:r>
            <w:r>
              <w:rPr>
                <w:i/>
              </w:rPr>
              <w:t>apporteur</w:t>
            </w:r>
            <w:r w:rsidRPr="00736C3F">
              <w:rPr>
                <w:i/>
              </w:rPr>
              <w:t xml:space="preserve"> on freedom of association and assembly (Requested in 2011)</w:t>
            </w:r>
          </w:p>
        </w:tc>
        <w:tc>
          <w:tcPr>
            <w:tcW w:w="3221" w:type="dxa"/>
            <w:shd w:val="clear" w:color="auto" w:fill="auto"/>
          </w:tcPr>
          <w:p w:rsidR="003E6998" w:rsidRDefault="00615FEF" w:rsidP="00615FEF">
            <w:pPr>
              <w:spacing w:after="120"/>
              <w:ind w:right="113"/>
              <w:rPr>
                <w:i/>
              </w:rPr>
            </w:pPr>
            <w:r>
              <w:rPr>
                <w:i/>
              </w:rPr>
              <w:t>Special Rapporteur on extrajudicial, summary or arbitrary executions (reminder)</w:t>
            </w:r>
          </w:p>
          <w:p w:rsidR="00615FEF" w:rsidRDefault="00615FEF" w:rsidP="00615FEF">
            <w:pPr>
              <w:spacing w:after="120"/>
              <w:ind w:right="113"/>
              <w:rPr>
                <w:i/>
              </w:rPr>
            </w:pPr>
            <w:r w:rsidRPr="004D580A">
              <w:rPr>
                <w:i/>
              </w:rPr>
              <w:t xml:space="preserve">Special Rapporteur on </w:t>
            </w:r>
            <w:r>
              <w:rPr>
                <w:i/>
              </w:rPr>
              <w:t>the situation of human rights defenders (reminder)</w:t>
            </w:r>
          </w:p>
          <w:p w:rsidR="00615FEF" w:rsidRDefault="00615FEF" w:rsidP="00C611E3">
            <w:pPr>
              <w:spacing w:after="240"/>
              <w:ind w:right="113"/>
              <w:rPr>
                <w:i/>
              </w:rPr>
            </w:pPr>
            <w:r>
              <w:rPr>
                <w:i/>
              </w:rPr>
              <w:t>Special Rapporteur on the rights of freedom of peaceful assembly and association (reminder)</w:t>
            </w:r>
          </w:p>
          <w:p w:rsidR="00615FEF" w:rsidRPr="009D3FA1" w:rsidRDefault="00615FEF" w:rsidP="003E6998">
            <w:pPr>
              <w:ind w:right="113"/>
              <w:rPr>
                <w:i/>
                <w:highlight w:val="yellow"/>
              </w:rPr>
            </w:pPr>
            <w:r>
              <w:rPr>
                <w:i/>
              </w:rPr>
              <w:t>Working Group on discrimination against women in law and in practice (requested)</w:t>
            </w:r>
          </w:p>
        </w:tc>
      </w:tr>
      <w:tr w:rsidR="009D3FA1" w:rsidRPr="009D3FA1" w:rsidTr="004E2D48">
        <w:trPr>
          <w:gridAfter w:val="1"/>
          <w:wAfter w:w="6" w:type="dxa"/>
          <w:trHeight w:hRule="exact" w:val="113"/>
        </w:trPr>
        <w:tc>
          <w:tcPr>
            <w:tcW w:w="321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2885" w:type="dxa"/>
            <w:gridSpan w:val="2"/>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2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r>
      <w:tr w:rsidR="00C674DE" w:rsidRPr="00C674DE" w:rsidTr="004E2D48">
        <w:tc>
          <w:tcPr>
            <w:tcW w:w="3686" w:type="dxa"/>
            <w:gridSpan w:val="2"/>
            <w:tcBorders>
              <w:top w:val="single" w:sz="12" w:space="0" w:color="auto"/>
              <w:bottom w:val="single" w:sz="12" w:space="0" w:color="auto"/>
            </w:tcBorders>
            <w:shd w:val="clear" w:color="auto" w:fill="auto"/>
            <w:vAlign w:val="bottom"/>
          </w:tcPr>
          <w:p w:rsidR="00C674DE" w:rsidRPr="00C674DE" w:rsidRDefault="00C674DE" w:rsidP="00C674DE">
            <w:pPr>
              <w:spacing w:before="80" w:after="80" w:line="200" w:lineRule="exact"/>
              <w:ind w:right="113"/>
              <w:rPr>
                <w:i/>
                <w:sz w:val="16"/>
              </w:rPr>
            </w:pPr>
            <w:r w:rsidRPr="009D3FA1">
              <w:rPr>
                <w:i/>
              </w:rPr>
              <w:lastRenderedPageBreak/>
              <w:t xml:space="preserve">Responses to letters of </w:t>
            </w:r>
            <w:r>
              <w:rPr>
                <w:i/>
              </w:rPr>
              <w:br/>
            </w:r>
            <w:r w:rsidRPr="009D3FA1">
              <w:rPr>
                <w:i/>
              </w:rPr>
              <w:t>allegation and urgent appeal</w:t>
            </w:r>
          </w:p>
        </w:tc>
        <w:tc>
          <w:tcPr>
            <w:tcW w:w="5637" w:type="dxa"/>
            <w:gridSpan w:val="3"/>
            <w:tcBorders>
              <w:top w:val="single" w:sz="12" w:space="0" w:color="auto"/>
              <w:bottom w:val="single" w:sz="12" w:space="0" w:color="auto"/>
            </w:tcBorders>
            <w:shd w:val="clear" w:color="auto" w:fill="auto"/>
            <w:vAlign w:val="bottom"/>
          </w:tcPr>
          <w:p w:rsidR="00C674DE" w:rsidRPr="00C674DE" w:rsidRDefault="00C674DE" w:rsidP="00C674DE">
            <w:pPr>
              <w:spacing w:before="80" w:after="80" w:line="200" w:lineRule="exact"/>
              <w:ind w:right="113"/>
            </w:pPr>
            <w:r w:rsidRPr="00C674DE">
              <w:t>During the period under review, 30 communications were sent. The Government replied to 21 communications</w:t>
            </w:r>
          </w:p>
        </w:tc>
      </w:tr>
      <w:tr w:rsidR="00C674DE" w:rsidRPr="00C674DE" w:rsidTr="004E2D48">
        <w:trPr>
          <w:trHeight w:hRule="exact" w:val="113"/>
        </w:trPr>
        <w:tc>
          <w:tcPr>
            <w:tcW w:w="3686" w:type="dxa"/>
            <w:gridSpan w:val="2"/>
            <w:tcBorders>
              <w:top w:val="single" w:sz="12" w:space="0" w:color="auto"/>
            </w:tcBorders>
            <w:shd w:val="clear" w:color="auto" w:fill="auto"/>
            <w:vAlign w:val="bottom"/>
          </w:tcPr>
          <w:p w:rsidR="00C674DE" w:rsidRPr="00C674DE" w:rsidRDefault="00C674DE" w:rsidP="00C674DE">
            <w:pPr>
              <w:spacing w:before="80" w:after="80" w:line="200" w:lineRule="exact"/>
              <w:ind w:right="113"/>
              <w:rPr>
                <w:i/>
                <w:sz w:val="16"/>
              </w:rPr>
            </w:pPr>
          </w:p>
        </w:tc>
        <w:tc>
          <w:tcPr>
            <w:tcW w:w="5637" w:type="dxa"/>
            <w:gridSpan w:val="3"/>
            <w:tcBorders>
              <w:top w:val="single" w:sz="12" w:space="0" w:color="auto"/>
            </w:tcBorders>
            <w:shd w:val="clear" w:color="auto" w:fill="auto"/>
            <w:vAlign w:val="bottom"/>
          </w:tcPr>
          <w:p w:rsidR="00C674DE" w:rsidRPr="00C674DE" w:rsidRDefault="00C674DE" w:rsidP="00C674DE">
            <w:pPr>
              <w:spacing w:before="80" w:after="80" w:line="200" w:lineRule="exact"/>
              <w:ind w:right="113"/>
              <w:rPr>
                <w:i/>
                <w:sz w:val="16"/>
              </w:rPr>
            </w:pPr>
          </w:p>
        </w:tc>
      </w:tr>
    </w:tbl>
    <w:p w:rsidR="00A02BFB" w:rsidRPr="00C674DE" w:rsidRDefault="00A02BFB" w:rsidP="00392F9F">
      <w:pPr>
        <w:pStyle w:val="H1G"/>
        <w:spacing w:before="40" w:after="120" w:line="240" w:lineRule="atLeast"/>
        <w:ind w:left="0" w:right="113" w:firstLine="0"/>
      </w:pPr>
      <w:r w:rsidRPr="00C674DE">
        <w:tab/>
        <w:t>C.</w:t>
      </w:r>
      <w:r w:rsidRPr="00C674DE">
        <w:tab/>
        <w:t>Status of national human rights institutions</w:t>
      </w:r>
      <w:r w:rsidRPr="00C674DE">
        <w:rPr>
          <w:b w:val="0"/>
          <w:sz w:val="18"/>
          <w:szCs w:val="18"/>
          <w:vertAlign w:val="superscript"/>
        </w:rPr>
        <w:endnoteReference w:id="20"/>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C674DE" w:rsidTr="000121D2">
        <w:tc>
          <w:tcPr>
            <w:tcW w:w="2456" w:type="dxa"/>
            <w:tcBorders>
              <w:top w:val="single" w:sz="4" w:space="0" w:color="auto"/>
              <w:bottom w:val="single" w:sz="12" w:space="0" w:color="auto"/>
            </w:tcBorders>
            <w:shd w:val="clear" w:color="auto" w:fill="auto"/>
            <w:vAlign w:val="bottom"/>
          </w:tcPr>
          <w:p w:rsidR="00A02BFB" w:rsidRPr="00CD52FF" w:rsidRDefault="00A02BFB" w:rsidP="00C674DE">
            <w:pPr>
              <w:spacing w:before="40" w:after="120"/>
              <w:ind w:right="113"/>
              <w:rPr>
                <w:i/>
                <w:sz w:val="16"/>
                <w:szCs w:val="16"/>
              </w:rPr>
            </w:pPr>
            <w:r w:rsidRPr="00CD52FF">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CD52FF" w:rsidRDefault="00A02BFB" w:rsidP="00C674DE">
            <w:pPr>
              <w:spacing w:before="40" w:after="120"/>
              <w:ind w:right="113"/>
              <w:rPr>
                <w:i/>
                <w:sz w:val="16"/>
                <w:szCs w:val="16"/>
              </w:rPr>
            </w:pPr>
            <w:r w:rsidRPr="00CD52FF">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CD52FF" w:rsidRDefault="00B10474" w:rsidP="00C674DE">
            <w:pPr>
              <w:spacing w:before="40" w:after="120"/>
              <w:ind w:right="113"/>
              <w:rPr>
                <w:i/>
                <w:sz w:val="16"/>
                <w:szCs w:val="16"/>
              </w:rPr>
            </w:pPr>
            <w:r w:rsidRPr="00B10474">
              <w:rPr>
                <w:i/>
                <w:sz w:val="16"/>
                <w:szCs w:val="16"/>
              </w:rPr>
              <w:t>Status during present cycle</w:t>
            </w:r>
            <w:r w:rsidRPr="00B10474">
              <w:rPr>
                <w:iCs/>
                <w:sz w:val="18"/>
                <w:szCs w:val="18"/>
                <w:vertAlign w:val="superscript"/>
              </w:rPr>
              <w:endnoteReference w:id="21"/>
            </w:r>
          </w:p>
        </w:tc>
      </w:tr>
      <w:tr w:rsidR="00A02BFB" w:rsidRPr="00A02BFB" w:rsidTr="000121D2">
        <w:trPr>
          <w:trHeight w:hRule="exact" w:val="113"/>
        </w:trPr>
        <w:tc>
          <w:tcPr>
            <w:tcW w:w="245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56" w:type="dxa"/>
            <w:tcBorders>
              <w:bottom w:val="single" w:sz="4" w:space="0" w:color="auto"/>
            </w:tcBorders>
            <w:shd w:val="clear" w:color="auto" w:fill="auto"/>
          </w:tcPr>
          <w:p w:rsidR="00A02BFB" w:rsidRPr="00A02BFB" w:rsidRDefault="00A866F8" w:rsidP="00A02BFB">
            <w:pPr>
              <w:spacing w:before="40" w:after="120"/>
              <w:ind w:right="113"/>
            </w:pPr>
            <w:r>
              <w:t>Human Rights Commission of Sri Lanka (HRCSL)</w:t>
            </w:r>
          </w:p>
        </w:tc>
        <w:tc>
          <w:tcPr>
            <w:tcW w:w="2457" w:type="dxa"/>
            <w:tcBorders>
              <w:bottom w:val="single" w:sz="4" w:space="0" w:color="auto"/>
            </w:tcBorders>
            <w:shd w:val="clear" w:color="auto" w:fill="auto"/>
          </w:tcPr>
          <w:p w:rsidR="00A02BFB" w:rsidRPr="00A02BFB" w:rsidRDefault="00A866F8" w:rsidP="00A02BFB">
            <w:pPr>
              <w:spacing w:before="40" w:after="120"/>
              <w:ind w:right="113"/>
            </w:pPr>
            <w:r>
              <w:t>B (2009)</w:t>
            </w:r>
          </w:p>
        </w:tc>
        <w:tc>
          <w:tcPr>
            <w:tcW w:w="2457" w:type="dxa"/>
            <w:tcBorders>
              <w:bottom w:val="single" w:sz="4" w:space="0" w:color="auto"/>
            </w:tcBorders>
            <w:shd w:val="clear" w:color="auto" w:fill="auto"/>
          </w:tcPr>
          <w:p w:rsidR="00A02BFB" w:rsidRPr="00A02BFB" w:rsidRDefault="00A866F8" w:rsidP="00A02BFB">
            <w:pPr>
              <w:spacing w:before="40" w:after="120"/>
              <w:ind w:right="113"/>
            </w:pPr>
            <w:r>
              <w:t>B (Not reviewed)</w:t>
            </w:r>
          </w:p>
        </w:tc>
      </w:tr>
    </w:tbl>
    <w:p w:rsidR="00CF586F" w:rsidRPr="00A02BFB" w:rsidRDefault="00CF586F" w:rsidP="007040C9"/>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01" w:rsidRDefault="00FA0E01"/>
  </w:endnote>
  <w:endnote w:type="continuationSeparator" w:id="0">
    <w:p w:rsidR="00FA0E01" w:rsidRDefault="00FA0E01"/>
  </w:endnote>
  <w:endnote w:type="continuationNotice" w:id="1">
    <w:p w:rsidR="00FA0E01" w:rsidRDefault="00FA0E01"/>
  </w:endnote>
  <w:endnote w:id="2">
    <w:p w:rsidR="004C140D" w:rsidRDefault="004C140D" w:rsidP="004C140D">
      <w:pPr>
        <w:pStyle w:val="H4G"/>
      </w:pPr>
      <w:r>
        <w:t>Notes</w:t>
      </w:r>
    </w:p>
    <w:p w:rsidR="00824586" w:rsidRPr="00174744" w:rsidRDefault="00824586" w:rsidP="00824586">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770B1D">
        <w:rPr>
          <w:szCs w:val="18"/>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w:t>
      </w:r>
      <w:r>
        <w:rPr>
          <w:szCs w:val="18"/>
        </w:rPr>
        <w:t xml:space="preserve">ted Nations compilation on Sri Lanka </w:t>
      </w:r>
      <w:r w:rsidRPr="00770B1D">
        <w:rPr>
          <w:szCs w:val="18"/>
        </w:rPr>
        <w:t>from the p</w:t>
      </w:r>
      <w:r>
        <w:rPr>
          <w:szCs w:val="18"/>
        </w:rPr>
        <w:t>revious cycle (A/HRC/WG.6/14/LKA</w:t>
      </w:r>
      <w:r w:rsidRPr="00770B1D">
        <w:rPr>
          <w:szCs w:val="18"/>
        </w:rPr>
        <w:t>/2).</w:t>
      </w:r>
    </w:p>
  </w:endnote>
  <w:endnote w:id="3">
    <w:p w:rsidR="00B7727F" w:rsidRDefault="00B7727F" w:rsidP="00B7727F">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B7727F" w:rsidRPr="00174744" w:rsidRDefault="00B7727F" w:rsidP="00B7727F">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rsidR="00B7727F" w:rsidRPr="00174744" w:rsidRDefault="00B7727F" w:rsidP="00B7727F">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rsidR="00B7727F" w:rsidRPr="00174744" w:rsidRDefault="00B7727F" w:rsidP="00B7727F">
      <w:pPr>
        <w:pStyle w:val="EndnoteText"/>
        <w:widowControl w:val="0"/>
        <w:ind w:left="3969" w:hanging="2269"/>
        <w:rPr>
          <w:szCs w:val="18"/>
        </w:rPr>
      </w:pPr>
      <w:r w:rsidRPr="00174744">
        <w:rPr>
          <w:szCs w:val="18"/>
        </w:rPr>
        <w:t>OP-ICESCR</w:t>
      </w:r>
      <w:r w:rsidRPr="00174744">
        <w:rPr>
          <w:szCs w:val="18"/>
        </w:rPr>
        <w:tab/>
        <w:t>Optional Protocol to ICESCR</w:t>
      </w:r>
    </w:p>
    <w:p w:rsidR="00B7727F" w:rsidRPr="00174744" w:rsidRDefault="00B7727F" w:rsidP="00B7727F">
      <w:pPr>
        <w:pStyle w:val="EndnoteText"/>
        <w:widowControl w:val="0"/>
        <w:ind w:left="3969" w:hanging="2269"/>
        <w:rPr>
          <w:szCs w:val="18"/>
        </w:rPr>
      </w:pPr>
      <w:r w:rsidRPr="00174744">
        <w:rPr>
          <w:szCs w:val="18"/>
        </w:rPr>
        <w:t>ICCPR</w:t>
      </w:r>
      <w:r w:rsidRPr="00174744">
        <w:rPr>
          <w:szCs w:val="18"/>
        </w:rPr>
        <w:tab/>
        <w:t>International Covenant on Civil and Political Rights</w:t>
      </w:r>
    </w:p>
    <w:p w:rsidR="00B7727F" w:rsidRPr="00174744" w:rsidRDefault="00B7727F" w:rsidP="00B7727F">
      <w:pPr>
        <w:pStyle w:val="EndnoteText"/>
        <w:widowControl w:val="0"/>
        <w:ind w:left="3969" w:hanging="2268"/>
        <w:rPr>
          <w:szCs w:val="18"/>
        </w:rPr>
      </w:pPr>
      <w:r w:rsidRPr="00174744">
        <w:rPr>
          <w:szCs w:val="18"/>
        </w:rPr>
        <w:t>ICCPR-OP 1</w:t>
      </w:r>
      <w:r w:rsidRPr="00174744">
        <w:rPr>
          <w:szCs w:val="18"/>
        </w:rPr>
        <w:tab/>
        <w:t>Optional Protocol to ICCPR</w:t>
      </w:r>
    </w:p>
    <w:p w:rsidR="00B7727F" w:rsidRPr="00174744" w:rsidRDefault="00B7727F" w:rsidP="00B7727F">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rsidR="00B7727F" w:rsidRPr="00174744" w:rsidRDefault="00B7727F" w:rsidP="00B7727F">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rsidR="00B7727F" w:rsidRPr="00174744" w:rsidRDefault="00B7727F" w:rsidP="00B7727F">
      <w:pPr>
        <w:pStyle w:val="EndnoteText"/>
        <w:widowControl w:val="0"/>
        <w:ind w:left="3969" w:hanging="2269"/>
        <w:rPr>
          <w:szCs w:val="18"/>
        </w:rPr>
      </w:pPr>
      <w:r w:rsidRPr="00174744">
        <w:rPr>
          <w:szCs w:val="18"/>
        </w:rPr>
        <w:t>OP-CEDAW</w:t>
      </w:r>
      <w:r w:rsidRPr="00174744">
        <w:rPr>
          <w:szCs w:val="18"/>
        </w:rPr>
        <w:tab/>
        <w:t>Optional Protocol to CEDAW</w:t>
      </w:r>
    </w:p>
    <w:p w:rsidR="00B7727F" w:rsidRPr="00174744" w:rsidRDefault="00B7727F" w:rsidP="00B7727F">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rsidR="00B7727F" w:rsidRPr="00174744" w:rsidRDefault="00B7727F" w:rsidP="00B7727F">
      <w:pPr>
        <w:pStyle w:val="EndnoteText"/>
        <w:widowControl w:val="0"/>
        <w:ind w:left="3969" w:hanging="2269"/>
        <w:rPr>
          <w:szCs w:val="18"/>
        </w:rPr>
      </w:pPr>
      <w:r w:rsidRPr="00174744">
        <w:rPr>
          <w:szCs w:val="18"/>
        </w:rPr>
        <w:t>OP-CAT</w:t>
      </w:r>
      <w:r w:rsidRPr="00174744">
        <w:rPr>
          <w:szCs w:val="18"/>
        </w:rPr>
        <w:tab/>
        <w:t>Optional Protocol to CAT</w:t>
      </w:r>
    </w:p>
    <w:p w:rsidR="00B7727F" w:rsidRPr="00174744" w:rsidRDefault="00B7727F" w:rsidP="00B7727F">
      <w:pPr>
        <w:pStyle w:val="EndnoteText"/>
        <w:widowControl w:val="0"/>
        <w:ind w:left="3969" w:hanging="2269"/>
        <w:rPr>
          <w:szCs w:val="18"/>
        </w:rPr>
      </w:pPr>
      <w:r w:rsidRPr="00174744">
        <w:rPr>
          <w:szCs w:val="18"/>
        </w:rPr>
        <w:t>CRC</w:t>
      </w:r>
      <w:r w:rsidRPr="00174744">
        <w:rPr>
          <w:szCs w:val="18"/>
        </w:rPr>
        <w:tab/>
        <w:t>Convention on the Rights of the Child</w:t>
      </w:r>
    </w:p>
    <w:p w:rsidR="00B7727F" w:rsidRPr="00174744" w:rsidRDefault="00B7727F" w:rsidP="00B7727F">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rsidR="00B7727F" w:rsidRPr="00174744" w:rsidRDefault="00B7727F" w:rsidP="00B7727F">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rsidR="00B7727F" w:rsidRPr="00174744" w:rsidRDefault="00B7727F" w:rsidP="00B7727F">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rsidR="00B7727F" w:rsidRPr="00174744" w:rsidRDefault="00B7727F" w:rsidP="00B7727F">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rsidR="00B7727F" w:rsidRPr="00174744" w:rsidRDefault="00B7727F" w:rsidP="00B7727F">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rsidR="00B7727F" w:rsidRPr="00174744" w:rsidRDefault="00B7727F" w:rsidP="00B7727F">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rsidR="00B7727F" w:rsidRPr="00AC3610" w:rsidRDefault="00B7727F" w:rsidP="00B7727F">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rsidR="00B7727F" w:rsidRDefault="00B7727F"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AB1739" w:rsidRPr="00174744" w:rsidRDefault="00AB1739" w:rsidP="00120EBA">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B95696">
        <w:rPr>
          <w:szCs w:val="18"/>
        </w:rPr>
        <w:t xml:space="preserve"> </w:t>
      </w:r>
      <w:r w:rsidRPr="00221D7B">
        <w:rPr>
          <w:szCs w:val="18"/>
          <w:lang w:eastAsia="zh-CN"/>
        </w:rPr>
        <w:t>For the official s</w:t>
      </w:r>
      <w:r w:rsidRPr="00D653E5">
        <w:rPr>
          <w:szCs w:val="18"/>
          <w:lang w:eastAsia="zh-CN"/>
        </w:rPr>
        <w:t xml:space="preserve">tatus of ratifications, see Federal Department of Foreign Affairs of Switzerland, at </w:t>
      </w:r>
      <w:r w:rsidRPr="00D653E5">
        <w:rPr>
          <w:szCs w:val="18"/>
        </w:rPr>
        <w:t>https://www.eda.admin.ch/eda/fr/dfae/politique-exterieure/droit-international-public/traites-internationaux/depositaire/protection-des-victimes-de-la-guerre.html</w:t>
      </w:r>
    </w:p>
  </w:endnote>
  <w:endnote w:id="6">
    <w:p w:rsidR="00AB1739" w:rsidRPr="00AC3610" w:rsidRDefault="00AB1739" w:rsidP="00120EBA">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7">
    <w:p w:rsidR="00AB1739" w:rsidRPr="00174744" w:rsidRDefault="00AB1739" w:rsidP="00120EBA">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221D7B">
        <w:rPr>
          <w:szCs w:val="18"/>
          <w:lang w:eastAsia="zh-CN"/>
        </w:rPr>
        <w:t>For the official s</w:t>
      </w:r>
      <w:r w:rsidRPr="00D653E5">
        <w:rPr>
          <w:szCs w:val="18"/>
          <w:lang w:eastAsia="zh-CN"/>
        </w:rPr>
        <w:t xml:space="preserve">tatus of ratifications, see Federal Department of Foreign Affairs of Switzerland, at </w:t>
      </w:r>
      <w:r w:rsidRPr="00D653E5">
        <w:rPr>
          <w:szCs w:val="18"/>
        </w:rPr>
        <w:t>https://www.eda.admin.ch/eda/fr/dfae/politique-exterieure/droit-international-public/traites-internationaux/depositaire/protection-des-victimes-de-la-guerre.html</w:t>
      </w:r>
      <w:r w:rsidRPr="00174744">
        <w:rPr>
          <w:szCs w:val="18"/>
          <w:lang w:val="en-US"/>
        </w:rPr>
        <w:t>.</w:t>
      </w:r>
    </w:p>
  </w:endnote>
  <w:endnote w:id="8">
    <w:p w:rsidR="00AB1739" w:rsidRPr="00174744" w:rsidRDefault="00AB1739" w:rsidP="00120EBA">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1951 Convention relating to the Status of Refugees and its 1967 Protocol, 1954 Convention relating to the Status of Stateless Persons, and 1961 Convention on the Reduction of Statelessness</w:t>
      </w:r>
      <w:r>
        <w:rPr>
          <w:szCs w:val="18"/>
        </w:rPr>
        <w:t>.</w:t>
      </w:r>
    </w:p>
  </w:endnote>
  <w:endnote w:id="9">
    <w:p w:rsidR="00AB1739" w:rsidRPr="00F46601" w:rsidRDefault="00AB1739" w:rsidP="00120EBA">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0">
    <w:p w:rsidR="00AB1739" w:rsidRPr="00CE6B02" w:rsidRDefault="00AB1739" w:rsidP="00120EBA">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Indigenous and Tribal Peoples Convention, 1989 (No. 169) and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11">
    <w:p w:rsidR="009E607B" w:rsidRDefault="009E607B" w:rsidP="009E607B">
      <w:pPr>
        <w:pStyle w:val="EndnoteText"/>
        <w:widowControl w:val="0"/>
        <w:tabs>
          <w:tab w:val="clear" w:pos="1021"/>
          <w:tab w:val="right" w:pos="1020"/>
        </w:tabs>
      </w:pPr>
      <w:r>
        <w:tab/>
      </w:r>
      <w:r>
        <w:rPr>
          <w:rStyle w:val="EndnoteReference"/>
        </w:rPr>
        <w:endnoteRef/>
      </w:r>
      <w:r>
        <w:tab/>
      </w:r>
      <w:r w:rsidRPr="00941D91">
        <w:rPr>
          <w:lang w:val="es-ES"/>
        </w:rPr>
        <w:t xml:space="preserve">CERD/C/LKA/CO/10-17, para. </w:t>
      </w:r>
      <w:r w:rsidRPr="005D5EE1">
        <w:rPr>
          <w:lang w:val="es-ES"/>
        </w:rPr>
        <w:t>38.</w:t>
      </w:r>
    </w:p>
  </w:endnote>
  <w:endnote w:id="12">
    <w:p w:rsidR="009E607B" w:rsidRDefault="009E607B" w:rsidP="009E607B">
      <w:pPr>
        <w:pStyle w:val="EndnoteText"/>
        <w:widowControl w:val="0"/>
        <w:tabs>
          <w:tab w:val="clear" w:pos="1021"/>
          <w:tab w:val="right" w:pos="1020"/>
        </w:tabs>
      </w:pPr>
      <w:r>
        <w:tab/>
      </w:r>
      <w:r>
        <w:rPr>
          <w:rStyle w:val="EndnoteReference"/>
        </w:rPr>
        <w:endnoteRef/>
      </w:r>
      <w:r>
        <w:tab/>
      </w:r>
      <w:r>
        <w:rPr>
          <w:lang w:val="es-ES"/>
        </w:rPr>
        <w:t xml:space="preserve">E/C.12/LKA/CO/5, </w:t>
      </w:r>
      <w:r w:rsidRPr="00FA20BC">
        <w:rPr>
          <w:lang w:val="es-ES"/>
        </w:rPr>
        <w:t>para. 77</w:t>
      </w:r>
      <w:r>
        <w:rPr>
          <w:lang w:val="es-ES"/>
        </w:rPr>
        <w:t>.</w:t>
      </w:r>
    </w:p>
  </w:endnote>
  <w:endnote w:id="13">
    <w:p w:rsidR="009E607B" w:rsidRDefault="009E607B" w:rsidP="009E607B">
      <w:pPr>
        <w:pStyle w:val="EndnoteText"/>
        <w:widowControl w:val="0"/>
        <w:tabs>
          <w:tab w:val="clear" w:pos="1021"/>
          <w:tab w:val="right" w:pos="1020"/>
        </w:tabs>
      </w:pPr>
      <w:r>
        <w:tab/>
      </w:r>
      <w:r>
        <w:rPr>
          <w:rStyle w:val="EndnoteReference"/>
        </w:rPr>
        <w:endnoteRef/>
      </w:r>
      <w:r>
        <w:tab/>
      </w:r>
      <w:r w:rsidRPr="00941D91">
        <w:rPr>
          <w:lang w:val="es-ES"/>
        </w:rPr>
        <w:t xml:space="preserve">CCPR/C/LKA/CO/5, para. </w:t>
      </w:r>
      <w:r w:rsidRPr="005D5EE1">
        <w:rPr>
          <w:lang w:val="es-ES"/>
        </w:rPr>
        <w:t>25.</w:t>
      </w:r>
    </w:p>
  </w:endnote>
  <w:endnote w:id="14">
    <w:p w:rsidR="009E607B" w:rsidRDefault="009E607B" w:rsidP="009E607B">
      <w:pPr>
        <w:pStyle w:val="EndnoteText"/>
        <w:widowControl w:val="0"/>
        <w:tabs>
          <w:tab w:val="clear" w:pos="1021"/>
          <w:tab w:val="right" w:pos="1020"/>
        </w:tabs>
      </w:pPr>
      <w:r>
        <w:tab/>
      </w:r>
      <w:r>
        <w:rPr>
          <w:rStyle w:val="EndnoteReference"/>
        </w:rPr>
        <w:endnoteRef/>
      </w:r>
      <w:r>
        <w:tab/>
      </w:r>
      <w:r w:rsidRPr="005D5EE1">
        <w:rPr>
          <w:lang w:val="es-ES"/>
        </w:rPr>
        <w:t>CEDAW/C/LKA/CO/8, para. 52.</w:t>
      </w:r>
    </w:p>
  </w:endnote>
  <w:endnote w:id="15">
    <w:p w:rsidR="009E607B" w:rsidRDefault="009E607B" w:rsidP="009E607B">
      <w:pPr>
        <w:pStyle w:val="EndnoteText"/>
        <w:widowControl w:val="0"/>
        <w:tabs>
          <w:tab w:val="clear" w:pos="1021"/>
          <w:tab w:val="right" w:pos="1020"/>
        </w:tabs>
      </w:pPr>
      <w:r>
        <w:tab/>
      </w:r>
      <w:r>
        <w:rPr>
          <w:rStyle w:val="EndnoteReference"/>
        </w:rPr>
        <w:endnoteRef/>
      </w:r>
      <w:r>
        <w:tab/>
      </w:r>
      <w:r w:rsidRPr="00941D91">
        <w:rPr>
          <w:lang w:val="es-ES"/>
        </w:rPr>
        <w:t xml:space="preserve">CAT/C/LKA/CO/5, para. </w:t>
      </w:r>
      <w:r w:rsidRPr="005D5EE1">
        <w:t>49.</w:t>
      </w:r>
    </w:p>
  </w:endnote>
  <w:endnote w:id="16">
    <w:p w:rsidR="009E607B" w:rsidRDefault="009E607B" w:rsidP="009E607B">
      <w:pPr>
        <w:pStyle w:val="EndnoteText"/>
        <w:widowControl w:val="0"/>
        <w:tabs>
          <w:tab w:val="clear" w:pos="1021"/>
          <w:tab w:val="right" w:pos="1020"/>
        </w:tabs>
      </w:pPr>
      <w:r>
        <w:tab/>
      </w:r>
      <w:r>
        <w:rPr>
          <w:rStyle w:val="EndnoteReference"/>
        </w:rPr>
        <w:endnoteRef/>
      </w:r>
      <w:r>
        <w:tab/>
      </w:r>
      <w:r w:rsidRPr="005D5EE1">
        <w:t xml:space="preserve">CMW/C/LKA/CO/2, para. </w:t>
      </w:r>
      <w:r w:rsidRPr="00C27951">
        <w:t>62.</w:t>
      </w:r>
    </w:p>
  </w:endnote>
  <w:endnote w:id="17">
    <w:p w:rsidR="009E607B" w:rsidRDefault="009E607B" w:rsidP="009E607B">
      <w:pPr>
        <w:pStyle w:val="EndnoteText"/>
        <w:widowControl w:val="0"/>
        <w:tabs>
          <w:tab w:val="clear" w:pos="1021"/>
          <w:tab w:val="right" w:pos="1020"/>
        </w:tabs>
      </w:pPr>
      <w:r>
        <w:tab/>
      </w:r>
      <w:r>
        <w:rPr>
          <w:rStyle w:val="EndnoteReference"/>
        </w:rPr>
        <w:endnoteRef/>
      </w:r>
      <w:r>
        <w:tab/>
        <w:t xml:space="preserve">Follow-up report </w:t>
      </w:r>
      <w:r w:rsidRPr="00E869BB">
        <w:t xml:space="preserve"> sent to the Committee on 16 October 2015; Letter sent to the Permanent Representative of Sri Lanka to the United Nations Office at Geneva, dated 16 August 2016, available at http://tbinternet.ohchr.org/Treaties/CCPR/Shared%20Documents/LKA/INT_CCPR_FUL_LKA_24979_E.pdf; Letter sent to the Permanent Representative of Sri Lanka to the United Nations Office at Geneva, dated 7 December 2016, available at http://tbinternet.ohchr.org/Treaties/CCPR/Shared%20Documents/LKA/INT_CCPR_FUL_LKA_25999_E.pdf.</w:t>
      </w:r>
    </w:p>
  </w:endnote>
  <w:endnote w:id="18">
    <w:p w:rsidR="009E607B" w:rsidRDefault="009E607B" w:rsidP="009E607B">
      <w:pPr>
        <w:pStyle w:val="EndnoteText"/>
        <w:widowControl w:val="0"/>
        <w:tabs>
          <w:tab w:val="clear" w:pos="1021"/>
          <w:tab w:val="right" w:pos="1020"/>
        </w:tabs>
      </w:pPr>
      <w:r>
        <w:tab/>
      </w:r>
      <w:r>
        <w:rPr>
          <w:rStyle w:val="EndnoteReference"/>
        </w:rPr>
        <w:endnoteRef/>
      </w:r>
      <w:r>
        <w:tab/>
      </w:r>
      <w:r w:rsidRPr="00B25836">
        <w:rPr>
          <w:lang w:val="fr-CH"/>
        </w:rPr>
        <w:t>CCPR/C/115/D/2258/2013; CCPR/C/113/D/2087/2011.</w:t>
      </w:r>
    </w:p>
  </w:endnote>
  <w:endnote w:id="19">
    <w:p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20">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1">
    <w:p w:rsidR="00B10474" w:rsidRDefault="00B10474" w:rsidP="00B10474">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Pr>
          <w:szCs w:val="18"/>
        </w:rPr>
        <w:t xml:space="preserve"> </w:t>
      </w:r>
      <w:r w:rsidRPr="00247843">
        <w:rPr>
          <w:rStyle w:val="Hyperlink"/>
          <w:bCs/>
          <w:szCs w:val="18"/>
        </w:rPr>
        <w:t>http://www.ohchr.org/Documents/Countries/NHRI/Chart_Status_NIs.pdf</w:t>
      </w:r>
      <w:r>
        <w:rPr>
          <w:bCs/>
          <w:szCs w:val="18"/>
        </w:rPr>
        <w:t>.</w:t>
      </w:r>
    </w:p>
    <w:p w:rsidR="00B10474" w:rsidRPr="000138D7" w:rsidRDefault="00B10474" w:rsidP="00B10474">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rsidR="00674A7D" w:rsidRDefault="00674A7D">
        <w:pPr>
          <w:pStyle w:val="Footer"/>
          <w:jc w:val="right"/>
        </w:pPr>
        <w:r>
          <w:fldChar w:fldCharType="begin"/>
        </w:r>
        <w:r>
          <w:instrText xml:space="preserve"> PAGE   \* MERGEFORMAT </w:instrText>
        </w:r>
        <w:r>
          <w:fldChar w:fldCharType="separate"/>
        </w:r>
        <w:r w:rsidR="005844B0">
          <w:rPr>
            <w:noProof/>
          </w:rPr>
          <w:t>5</w:t>
        </w:r>
        <w:r>
          <w:rPr>
            <w:noProof/>
          </w:rPr>
          <w:fldChar w:fldCharType="end"/>
        </w:r>
      </w:p>
    </w:sdtContent>
  </w:sdt>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01" w:rsidRPr="000B175B" w:rsidRDefault="00FA0E01" w:rsidP="000B175B">
      <w:pPr>
        <w:tabs>
          <w:tab w:val="right" w:pos="2155"/>
        </w:tabs>
        <w:spacing w:after="80"/>
        <w:ind w:left="680"/>
        <w:rPr>
          <w:u w:val="single"/>
        </w:rPr>
      </w:pPr>
      <w:r>
        <w:rPr>
          <w:u w:val="single"/>
        </w:rPr>
        <w:tab/>
      </w:r>
    </w:p>
  </w:footnote>
  <w:footnote w:type="continuationSeparator" w:id="0">
    <w:p w:rsidR="00FA0E01" w:rsidRPr="00FC68B7" w:rsidRDefault="00FA0E01" w:rsidP="00FC68B7">
      <w:pPr>
        <w:tabs>
          <w:tab w:val="left" w:pos="2155"/>
        </w:tabs>
        <w:spacing w:after="80"/>
        <w:ind w:left="680"/>
        <w:rPr>
          <w:u w:val="single"/>
        </w:rPr>
      </w:pPr>
      <w:r>
        <w:rPr>
          <w:u w:val="single"/>
        </w:rPr>
        <w:tab/>
      </w:r>
    </w:p>
  </w:footnote>
  <w:footnote w:type="continuationNotice" w:id="1">
    <w:p w:rsidR="00FA0E01" w:rsidRDefault="00FA0E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558C"/>
    <w:rsid w:val="00007169"/>
    <w:rsid w:val="00007F7F"/>
    <w:rsid w:val="00022DB5"/>
    <w:rsid w:val="0002432F"/>
    <w:rsid w:val="00027EB4"/>
    <w:rsid w:val="000403D1"/>
    <w:rsid w:val="000449AA"/>
    <w:rsid w:val="00050F6B"/>
    <w:rsid w:val="00056DB9"/>
    <w:rsid w:val="00070058"/>
    <w:rsid w:val="00072C8C"/>
    <w:rsid w:val="00073E70"/>
    <w:rsid w:val="00075368"/>
    <w:rsid w:val="00075E18"/>
    <w:rsid w:val="000839CB"/>
    <w:rsid w:val="000876EB"/>
    <w:rsid w:val="00091419"/>
    <w:rsid w:val="000931C0"/>
    <w:rsid w:val="000973E2"/>
    <w:rsid w:val="000B1102"/>
    <w:rsid w:val="000B175B"/>
    <w:rsid w:val="000B3A0F"/>
    <w:rsid w:val="000B4A3B"/>
    <w:rsid w:val="000C65FD"/>
    <w:rsid w:val="000D0709"/>
    <w:rsid w:val="000D1851"/>
    <w:rsid w:val="000E0415"/>
    <w:rsid w:val="000E28B2"/>
    <w:rsid w:val="00120EBA"/>
    <w:rsid w:val="00124A32"/>
    <w:rsid w:val="0013065A"/>
    <w:rsid w:val="0013136E"/>
    <w:rsid w:val="00132BC7"/>
    <w:rsid w:val="001346DF"/>
    <w:rsid w:val="00146D32"/>
    <w:rsid w:val="001509BA"/>
    <w:rsid w:val="00157DD5"/>
    <w:rsid w:val="001614E7"/>
    <w:rsid w:val="0017188A"/>
    <w:rsid w:val="00185080"/>
    <w:rsid w:val="001B4B04"/>
    <w:rsid w:val="001C6663"/>
    <w:rsid w:val="001C7895"/>
    <w:rsid w:val="001D26DF"/>
    <w:rsid w:val="001E2790"/>
    <w:rsid w:val="001E5256"/>
    <w:rsid w:val="0021130C"/>
    <w:rsid w:val="00211E0B"/>
    <w:rsid w:val="00211E72"/>
    <w:rsid w:val="00214047"/>
    <w:rsid w:val="0022130F"/>
    <w:rsid w:val="002234A5"/>
    <w:rsid w:val="0022777B"/>
    <w:rsid w:val="00237785"/>
    <w:rsid w:val="002410DD"/>
    <w:rsid w:val="00241466"/>
    <w:rsid w:val="00253D58"/>
    <w:rsid w:val="00254654"/>
    <w:rsid w:val="00264FA3"/>
    <w:rsid w:val="002701D0"/>
    <w:rsid w:val="0027725F"/>
    <w:rsid w:val="00284911"/>
    <w:rsid w:val="00296EB7"/>
    <w:rsid w:val="002B4713"/>
    <w:rsid w:val="002C21F0"/>
    <w:rsid w:val="002C4DF7"/>
    <w:rsid w:val="002E646B"/>
    <w:rsid w:val="00307346"/>
    <w:rsid w:val="003107FA"/>
    <w:rsid w:val="00317977"/>
    <w:rsid w:val="003229D8"/>
    <w:rsid w:val="00324383"/>
    <w:rsid w:val="003314D1"/>
    <w:rsid w:val="00331EE5"/>
    <w:rsid w:val="00335A2F"/>
    <w:rsid w:val="00335A47"/>
    <w:rsid w:val="00341937"/>
    <w:rsid w:val="003465F9"/>
    <w:rsid w:val="00363F5E"/>
    <w:rsid w:val="0037215F"/>
    <w:rsid w:val="00380822"/>
    <w:rsid w:val="0039120E"/>
    <w:rsid w:val="0039277A"/>
    <w:rsid w:val="00392F9F"/>
    <w:rsid w:val="00395B7F"/>
    <w:rsid w:val="003972E0"/>
    <w:rsid w:val="003975ED"/>
    <w:rsid w:val="003A4E25"/>
    <w:rsid w:val="003A548B"/>
    <w:rsid w:val="003B1E50"/>
    <w:rsid w:val="003B362E"/>
    <w:rsid w:val="003C2CC4"/>
    <w:rsid w:val="003D2CE4"/>
    <w:rsid w:val="003D4B23"/>
    <w:rsid w:val="003E065C"/>
    <w:rsid w:val="003E33AE"/>
    <w:rsid w:val="003E6998"/>
    <w:rsid w:val="003F295F"/>
    <w:rsid w:val="00400E06"/>
    <w:rsid w:val="00402E7F"/>
    <w:rsid w:val="00404ADC"/>
    <w:rsid w:val="00420F8B"/>
    <w:rsid w:val="00424C80"/>
    <w:rsid w:val="00431A65"/>
    <w:rsid w:val="00431D2F"/>
    <w:rsid w:val="004325CB"/>
    <w:rsid w:val="00436516"/>
    <w:rsid w:val="0044503A"/>
    <w:rsid w:val="00446DE4"/>
    <w:rsid w:val="00447761"/>
    <w:rsid w:val="00451EC3"/>
    <w:rsid w:val="00463E61"/>
    <w:rsid w:val="004721B1"/>
    <w:rsid w:val="004766F2"/>
    <w:rsid w:val="004859EC"/>
    <w:rsid w:val="0049238C"/>
    <w:rsid w:val="00493243"/>
    <w:rsid w:val="00494C1F"/>
    <w:rsid w:val="00496A15"/>
    <w:rsid w:val="004A40D4"/>
    <w:rsid w:val="004A76BD"/>
    <w:rsid w:val="004B75D2"/>
    <w:rsid w:val="004C140D"/>
    <w:rsid w:val="004D105C"/>
    <w:rsid w:val="004D1140"/>
    <w:rsid w:val="004E01CE"/>
    <w:rsid w:val="004E25CB"/>
    <w:rsid w:val="004E2D48"/>
    <w:rsid w:val="004F55ED"/>
    <w:rsid w:val="00510C87"/>
    <w:rsid w:val="0052176C"/>
    <w:rsid w:val="0052226F"/>
    <w:rsid w:val="005261E5"/>
    <w:rsid w:val="005420F2"/>
    <w:rsid w:val="00542574"/>
    <w:rsid w:val="005436AB"/>
    <w:rsid w:val="005457B9"/>
    <w:rsid w:val="00546DBF"/>
    <w:rsid w:val="00546FC2"/>
    <w:rsid w:val="005512BA"/>
    <w:rsid w:val="00553D76"/>
    <w:rsid w:val="005552B5"/>
    <w:rsid w:val="0056117B"/>
    <w:rsid w:val="005620C3"/>
    <w:rsid w:val="00571365"/>
    <w:rsid w:val="00575EEB"/>
    <w:rsid w:val="005844B0"/>
    <w:rsid w:val="005A22DB"/>
    <w:rsid w:val="005B02E4"/>
    <w:rsid w:val="005B3DB3"/>
    <w:rsid w:val="005B5532"/>
    <w:rsid w:val="005B6E48"/>
    <w:rsid w:val="005C5F69"/>
    <w:rsid w:val="005E1712"/>
    <w:rsid w:val="005F1F84"/>
    <w:rsid w:val="00602803"/>
    <w:rsid w:val="00611FC4"/>
    <w:rsid w:val="00614239"/>
    <w:rsid w:val="00615FEF"/>
    <w:rsid w:val="006176FB"/>
    <w:rsid w:val="00626E6C"/>
    <w:rsid w:val="00640B26"/>
    <w:rsid w:val="00670741"/>
    <w:rsid w:val="00674A7D"/>
    <w:rsid w:val="00676C10"/>
    <w:rsid w:val="006808A9"/>
    <w:rsid w:val="00695BF3"/>
    <w:rsid w:val="00696BD6"/>
    <w:rsid w:val="006A6B9D"/>
    <w:rsid w:val="006A7392"/>
    <w:rsid w:val="006B3189"/>
    <w:rsid w:val="006B7D65"/>
    <w:rsid w:val="006D48FD"/>
    <w:rsid w:val="006D6DA6"/>
    <w:rsid w:val="006E564B"/>
    <w:rsid w:val="006F13F0"/>
    <w:rsid w:val="006F5035"/>
    <w:rsid w:val="007040C9"/>
    <w:rsid w:val="007065EB"/>
    <w:rsid w:val="00720183"/>
    <w:rsid w:val="0072632A"/>
    <w:rsid w:val="00731C9F"/>
    <w:rsid w:val="00741A0B"/>
    <w:rsid w:val="0074200B"/>
    <w:rsid w:val="00757201"/>
    <w:rsid w:val="007612E7"/>
    <w:rsid w:val="007745A5"/>
    <w:rsid w:val="007820E7"/>
    <w:rsid w:val="007971B3"/>
    <w:rsid w:val="007A6296"/>
    <w:rsid w:val="007B6BA5"/>
    <w:rsid w:val="007C1B62"/>
    <w:rsid w:val="007C3390"/>
    <w:rsid w:val="007C4F4B"/>
    <w:rsid w:val="007D2CDC"/>
    <w:rsid w:val="007D5213"/>
    <w:rsid w:val="007D5327"/>
    <w:rsid w:val="007E1E63"/>
    <w:rsid w:val="007E2C3B"/>
    <w:rsid w:val="007E75F7"/>
    <w:rsid w:val="007F085C"/>
    <w:rsid w:val="007F0C52"/>
    <w:rsid w:val="007F6611"/>
    <w:rsid w:val="008055B4"/>
    <w:rsid w:val="008155C3"/>
    <w:rsid w:val="008175E9"/>
    <w:rsid w:val="0082243E"/>
    <w:rsid w:val="008242D7"/>
    <w:rsid w:val="00824586"/>
    <w:rsid w:val="00856CD2"/>
    <w:rsid w:val="00861BC6"/>
    <w:rsid w:val="00871FD5"/>
    <w:rsid w:val="00872E6E"/>
    <w:rsid w:val="0087322C"/>
    <w:rsid w:val="00875FCF"/>
    <w:rsid w:val="008979B1"/>
    <w:rsid w:val="008A2019"/>
    <w:rsid w:val="008A42AA"/>
    <w:rsid w:val="008A6B25"/>
    <w:rsid w:val="008A6C4F"/>
    <w:rsid w:val="008C09F9"/>
    <w:rsid w:val="008C1E4D"/>
    <w:rsid w:val="008E0E46"/>
    <w:rsid w:val="008F6BA4"/>
    <w:rsid w:val="0090452C"/>
    <w:rsid w:val="009045C9"/>
    <w:rsid w:val="00907C3F"/>
    <w:rsid w:val="0091303F"/>
    <w:rsid w:val="0092237C"/>
    <w:rsid w:val="0093707B"/>
    <w:rsid w:val="009400EB"/>
    <w:rsid w:val="009427E3"/>
    <w:rsid w:val="0094563C"/>
    <w:rsid w:val="00954687"/>
    <w:rsid w:val="00956D9B"/>
    <w:rsid w:val="0096139A"/>
    <w:rsid w:val="00963CBA"/>
    <w:rsid w:val="009654B7"/>
    <w:rsid w:val="00967FA4"/>
    <w:rsid w:val="00974664"/>
    <w:rsid w:val="00975459"/>
    <w:rsid w:val="009822C1"/>
    <w:rsid w:val="00991261"/>
    <w:rsid w:val="009A0B83"/>
    <w:rsid w:val="009B07FF"/>
    <w:rsid w:val="009B3800"/>
    <w:rsid w:val="009D22AC"/>
    <w:rsid w:val="009D3FA1"/>
    <w:rsid w:val="009D50DB"/>
    <w:rsid w:val="009E1C4E"/>
    <w:rsid w:val="009E607B"/>
    <w:rsid w:val="009E78E3"/>
    <w:rsid w:val="00A02BFB"/>
    <w:rsid w:val="00A02F74"/>
    <w:rsid w:val="00A05E0B"/>
    <w:rsid w:val="00A074DD"/>
    <w:rsid w:val="00A1427D"/>
    <w:rsid w:val="00A34757"/>
    <w:rsid w:val="00A3619D"/>
    <w:rsid w:val="00A4634F"/>
    <w:rsid w:val="00A51CF3"/>
    <w:rsid w:val="00A72F22"/>
    <w:rsid w:val="00A748A6"/>
    <w:rsid w:val="00A75997"/>
    <w:rsid w:val="00A866F8"/>
    <w:rsid w:val="00A879A4"/>
    <w:rsid w:val="00A87E95"/>
    <w:rsid w:val="00A92E29"/>
    <w:rsid w:val="00AA643E"/>
    <w:rsid w:val="00AB0229"/>
    <w:rsid w:val="00AB1739"/>
    <w:rsid w:val="00AD09E9"/>
    <w:rsid w:val="00AD1D14"/>
    <w:rsid w:val="00AE6BB7"/>
    <w:rsid w:val="00AE7D5D"/>
    <w:rsid w:val="00AF0576"/>
    <w:rsid w:val="00AF3829"/>
    <w:rsid w:val="00AF3FD9"/>
    <w:rsid w:val="00B01F78"/>
    <w:rsid w:val="00B037F0"/>
    <w:rsid w:val="00B10474"/>
    <w:rsid w:val="00B14190"/>
    <w:rsid w:val="00B2327D"/>
    <w:rsid w:val="00B2718F"/>
    <w:rsid w:val="00B30179"/>
    <w:rsid w:val="00B3317B"/>
    <w:rsid w:val="00B334DC"/>
    <w:rsid w:val="00B3631A"/>
    <w:rsid w:val="00B53013"/>
    <w:rsid w:val="00B67F5E"/>
    <w:rsid w:val="00B71C74"/>
    <w:rsid w:val="00B73E65"/>
    <w:rsid w:val="00B7727F"/>
    <w:rsid w:val="00B81E12"/>
    <w:rsid w:val="00B87110"/>
    <w:rsid w:val="00B90627"/>
    <w:rsid w:val="00B97FA8"/>
    <w:rsid w:val="00BB2720"/>
    <w:rsid w:val="00BC1385"/>
    <w:rsid w:val="00BC4309"/>
    <w:rsid w:val="00BC74E9"/>
    <w:rsid w:val="00BD17E2"/>
    <w:rsid w:val="00BE618E"/>
    <w:rsid w:val="00C24693"/>
    <w:rsid w:val="00C3427B"/>
    <w:rsid w:val="00C35F0B"/>
    <w:rsid w:val="00C463DD"/>
    <w:rsid w:val="00C611E3"/>
    <w:rsid w:val="00C64458"/>
    <w:rsid w:val="00C674DE"/>
    <w:rsid w:val="00C745C3"/>
    <w:rsid w:val="00C81253"/>
    <w:rsid w:val="00CA2A58"/>
    <w:rsid w:val="00CA2E07"/>
    <w:rsid w:val="00CA6DE7"/>
    <w:rsid w:val="00CC0B55"/>
    <w:rsid w:val="00CD04E2"/>
    <w:rsid w:val="00CD52FF"/>
    <w:rsid w:val="00CD6995"/>
    <w:rsid w:val="00CD7649"/>
    <w:rsid w:val="00CE38ED"/>
    <w:rsid w:val="00CE4A8F"/>
    <w:rsid w:val="00CF0214"/>
    <w:rsid w:val="00CF33E7"/>
    <w:rsid w:val="00CF586F"/>
    <w:rsid w:val="00CF7D43"/>
    <w:rsid w:val="00D11129"/>
    <w:rsid w:val="00D2031B"/>
    <w:rsid w:val="00D22332"/>
    <w:rsid w:val="00D226FD"/>
    <w:rsid w:val="00D25FE2"/>
    <w:rsid w:val="00D378CB"/>
    <w:rsid w:val="00D43252"/>
    <w:rsid w:val="00D47642"/>
    <w:rsid w:val="00D550F9"/>
    <w:rsid w:val="00D572B0"/>
    <w:rsid w:val="00D57EDC"/>
    <w:rsid w:val="00D62E90"/>
    <w:rsid w:val="00D76BE5"/>
    <w:rsid w:val="00D80ECA"/>
    <w:rsid w:val="00D8128F"/>
    <w:rsid w:val="00D978C6"/>
    <w:rsid w:val="00DA21D7"/>
    <w:rsid w:val="00DA67AD"/>
    <w:rsid w:val="00DA7791"/>
    <w:rsid w:val="00DB18CE"/>
    <w:rsid w:val="00DB7FB6"/>
    <w:rsid w:val="00DD3674"/>
    <w:rsid w:val="00DE3B10"/>
    <w:rsid w:val="00DE3EC0"/>
    <w:rsid w:val="00DE7BF3"/>
    <w:rsid w:val="00DF0D58"/>
    <w:rsid w:val="00E026D4"/>
    <w:rsid w:val="00E11593"/>
    <w:rsid w:val="00E12B6B"/>
    <w:rsid w:val="00E130AB"/>
    <w:rsid w:val="00E170D4"/>
    <w:rsid w:val="00E200A8"/>
    <w:rsid w:val="00E438D9"/>
    <w:rsid w:val="00E44958"/>
    <w:rsid w:val="00E5644E"/>
    <w:rsid w:val="00E62E6C"/>
    <w:rsid w:val="00E7260F"/>
    <w:rsid w:val="00E806EE"/>
    <w:rsid w:val="00E86049"/>
    <w:rsid w:val="00E96630"/>
    <w:rsid w:val="00EB0FB9"/>
    <w:rsid w:val="00EB2CDB"/>
    <w:rsid w:val="00ED0CA9"/>
    <w:rsid w:val="00ED54E6"/>
    <w:rsid w:val="00ED7A2A"/>
    <w:rsid w:val="00EE7D5F"/>
    <w:rsid w:val="00EF1D7F"/>
    <w:rsid w:val="00EF1D8E"/>
    <w:rsid w:val="00EF45E8"/>
    <w:rsid w:val="00EF5BDB"/>
    <w:rsid w:val="00F05B42"/>
    <w:rsid w:val="00F07FD9"/>
    <w:rsid w:val="00F21B60"/>
    <w:rsid w:val="00F21C38"/>
    <w:rsid w:val="00F23933"/>
    <w:rsid w:val="00F24119"/>
    <w:rsid w:val="00F30B7B"/>
    <w:rsid w:val="00F40E75"/>
    <w:rsid w:val="00F42CD9"/>
    <w:rsid w:val="00F45884"/>
    <w:rsid w:val="00F52936"/>
    <w:rsid w:val="00F67051"/>
    <w:rsid w:val="00F677CB"/>
    <w:rsid w:val="00F72113"/>
    <w:rsid w:val="00F723A2"/>
    <w:rsid w:val="00F7626B"/>
    <w:rsid w:val="00F76CA4"/>
    <w:rsid w:val="00FA0E01"/>
    <w:rsid w:val="00FA7DF3"/>
    <w:rsid w:val="00FC68B7"/>
    <w:rsid w:val="00FD268F"/>
    <w:rsid w:val="00FD7C12"/>
    <w:rsid w:val="00FF40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F0D0CA-126D-48A1-A016-8BF5145C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1DDCD7-200C-470E-ABC6-45C47CF7FCD6}">
  <ds:schemaRefs>
    <ds:schemaRef ds:uri="http://schemas.openxmlformats.org/officeDocument/2006/bibliography"/>
  </ds:schemaRefs>
</ds:datastoreItem>
</file>

<file path=customXml/itemProps2.xml><?xml version="1.0" encoding="utf-8"?>
<ds:datastoreItem xmlns:ds="http://schemas.openxmlformats.org/officeDocument/2006/customXml" ds:itemID="{7BA6F967-01E1-4905-844F-2EDD6D9BC382}"/>
</file>

<file path=customXml/itemProps3.xml><?xml version="1.0" encoding="utf-8"?>
<ds:datastoreItem xmlns:ds="http://schemas.openxmlformats.org/officeDocument/2006/customXml" ds:itemID="{07363B3A-91DB-45E3-9B76-5FCB3EE4B51A}"/>
</file>

<file path=customXml/itemProps4.xml><?xml version="1.0" encoding="utf-8"?>
<ds:datastoreItem xmlns:ds="http://schemas.openxmlformats.org/officeDocument/2006/customXml" ds:itemID="{C191413A-8324-461F-9BBE-9D91D6211CB4}"/>
</file>

<file path=docProps/app.xml><?xml version="1.0" encoding="utf-8"?>
<Properties xmlns="http://schemas.openxmlformats.org/officeDocument/2006/extended-properties" xmlns:vt="http://schemas.openxmlformats.org/officeDocument/2006/docPropsVTypes">
  <Template>A_E.dotm</Template>
  <TotalTime>3</TotalTime>
  <Pages>8</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A.HRC.WG.6.28.LKA.2.Annex</dc:title>
  <dc:creator>Sumiko IHARA</dc:creator>
  <cp:lastModifiedBy>Feyikemi Oyewole</cp:lastModifiedBy>
  <cp:revision>7</cp:revision>
  <cp:lastPrinted>2008-01-29T07:30:00Z</cp:lastPrinted>
  <dcterms:created xsi:type="dcterms:W3CDTF">2017-09-12T15:01:00Z</dcterms:created>
  <dcterms:modified xsi:type="dcterms:W3CDTF">2017-09-20T09:49:00Z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1346700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