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284AF7" w:rsidRPr="00284AF7" w:rsidTr="00284AF7">
        <w:trPr>
          <w:cantSplit/>
          <w:trHeight w:val="400"/>
          <w:tblHeader/>
        </w:trPr>
        <w:tc>
          <w:tcPr>
            <w:tcW w:w="4520" w:type="dxa"/>
            <w:tcBorders>
              <w:bottom w:val="dotted" w:sz="4" w:space="0" w:color="auto"/>
            </w:tcBorders>
            <w:shd w:val="clear" w:color="auto" w:fill="auto"/>
          </w:tcPr>
          <w:p w:rsidR="00284AF7" w:rsidRPr="00284AF7" w:rsidRDefault="00284AF7" w:rsidP="00284AF7">
            <w:pPr>
              <w:suppressAutoHyphens w:val="0"/>
              <w:spacing w:before="40" w:after="40" w:line="240" w:lineRule="auto"/>
              <w:rPr>
                <w:b/>
                <w:color w:val="000000"/>
                <w:szCs w:val="22"/>
                <w:lang w:eastAsia="en-GB"/>
              </w:rPr>
            </w:pPr>
            <w:r w:rsidRPr="00284AF7">
              <w:rPr>
                <w:b/>
                <w:color w:val="000000"/>
                <w:szCs w:val="22"/>
                <w:lang w:eastAsia="en-GB"/>
              </w:rPr>
              <w:t>Recommendation</w:t>
            </w:r>
          </w:p>
        </w:tc>
        <w:tc>
          <w:tcPr>
            <w:tcW w:w="1100" w:type="dxa"/>
            <w:tcBorders>
              <w:bottom w:val="dotted" w:sz="4" w:space="0" w:color="auto"/>
            </w:tcBorders>
            <w:shd w:val="clear" w:color="auto" w:fill="auto"/>
          </w:tcPr>
          <w:p w:rsidR="00284AF7" w:rsidRPr="00284AF7" w:rsidRDefault="00284AF7" w:rsidP="00284AF7">
            <w:pPr>
              <w:suppressAutoHyphens w:val="0"/>
              <w:spacing w:before="40" w:after="40" w:line="240" w:lineRule="auto"/>
              <w:rPr>
                <w:b/>
                <w:lang w:eastAsia="en-GB"/>
              </w:rPr>
            </w:pPr>
            <w:r w:rsidRPr="00284AF7">
              <w:rPr>
                <w:b/>
                <w:lang w:eastAsia="en-GB"/>
              </w:rPr>
              <w:t>Position</w:t>
            </w:r>
          </w:p>
        </w:tc>
        <w:tc>
          <w:tcPr>
            <w:tcW w:w="5000" w:type="dxa"/>
            <w:tcBorders>
              <w:bottom w:val="dotted" w:sz="4" w:space="0" w:color="auto"/>
            </w:tcBorders>
            <w:shd w:val="clear" w:color="auto" w:fill="auto"/>
          </w:tcPr>
          <w:p w:rsidR="00284AF7" w:rsidRPr="00284AF7" w:rsidRDefault="00284AF7" w:rsidP="00284AF7">
            <w:pPr>
              <w:suppressAutoHyphens w:val="0"/>
              <w:spacing w:before="40" w:after="40" w:line="240" w:lineRule="auto"/>
              <w:rPr>
                <w:b/>
                <w:lang w:eastAsia="en-GB"/>
              </w:rPr>
            </w:pPr>
            <w:r w:rsidRPr="00284AF7">
              <w:rPr>
                <w:b/>
                <w:lang w:eastAsia="en-GB"/>
              </w:rPr>
              <w:t>Full list of themes</w:t>
            </w:r>
          </w:p>
        </w:tc>
        <w:tc>
          <w:tcPr>
            <w:tcW w:w="4600" w:type="dxa"/>
            <w:tcBorders>
              <w:bottom w:val="dotted" w:sz="4" w:space="0" w:color="auto"/>
            </w:tcBorders>
            <w:shd w:val="clear" w:color="auto" w:fill="auto"/>
          </w:tcPr>
          <w:p w:rsidR="00284AF7" w:rsidRPr="00284AF7" w:rsidRDefault="00284AF7" w:rsidP="00284AF7">
            <w:pPr>
              <w:suppressAutoHyphens w:val="0"/>
              <w:spacing w:before="60" w:after="60" w:line="240" w:lineRule="auto"/>
              <w:ind w:left="57" w:right="57"/>
              <w:rPr>
                <w:b/>
                <w:lang w:eastAsia="en-GB"/>
              </w:rPr>
            </w:pPr>
            <w:r w:rsidRPr="00284AF7">
              <w:rPr>
                <w:b/>
                <w:lang w:eastAsia="en-GB"/>
              </w:rPr>
              <w:t>Assessment/comments on level of implementation</w:t>
            </w:r>
          </w:p>
        </w:tc>
      </w:tr>
      <w:tr w:rsidR="00284AF7" w:rsidRPr="00284AF7" w:rsidTr="00F90131">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A22 Cooperation with treaty bodies</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114.11 Adopt an open, merit-based selection process when selecting national candidates for United Nations treaty body elections (United Kingdom of Great Britain and Northern Ireland);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A22 Cooperation with treaty bodies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D7 Right to participation in public affairs and right to vote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public officials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826E5B">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A24 Cooperation with special procedures</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 Issue an open, standing invitation to the special procedures of the Human Rights Council (Ukraine);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bookmarkStart w:id="0" w:name="_GoBack"/>
            <w:bookmarkEnd w:id="0"/>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A24 Cooperation with special procedures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public officials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114.115 Improve special procedures for asylum seekers (Iraq);</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A24 Cooperation with special procedures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B06FBB">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A28 Cooperation with other international mechanisms and institutions</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114.41 Cooperate fully with the International Residual Mechanism for Criminal Tribunals and implement the National Strategy for the Prosecution of War Crimes (Sweden);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A28 Cooperation with other international mechanisms and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114.45 Ensure the full cooperation with the International Residual Mechanism for Criminal Tribunals, as the successor to the International Criminal Tribunal for the former Yugoslavia (Belgium);</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A28 Cooperation with other international mechanisms and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33459C">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A41 Constitutional and legislative framework</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113.56 Continue to strengthen legislative mechanisms on the protection of the rights of persons with disabilities (Russian Federation);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persons with disabilities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114.35 Strengthen discrimination protections for lesbian, gay, bisexual, transgender and intersex persons, and enact legislation that includes protection from discrimination on the grounds of intersex status (Australia);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114.49 Apply more efficiently the legislation against hate speech, given reports of the continued rise in hate speech in Serbian public discourse (Norway);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114.58 Ensure the full implementation of the media laws that were adopted in 2014, as part of the necessary steps that need to be taken to improve media freedom and the protection of journalists (Netherlands);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114.62 Support the independence and pluralism of the media, including by creating transparency regarding the financing of media and media ownership, and by comprehensive implementation of the law on the privatization of the media (Germany);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114.63 Take the necessary measures to ensure that the media regulator can operate effectively and in complete independence (Belgium);</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114.73 Increase efforts to prevent cases of violence against journalists and media workers (Czechia);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114.74 Address threats and attacks against journalists and improve the transparency of media ownership and the independence of media outlets (Estonia);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114.82 Guarantee political pluralism by ensuring access for all parties to the media and to funding and by strengthening the power of independent institutions for the protection of the rights of citizens (France);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114.64 Conclude the work on a new media strategy, in full partnership with civil society, and ensure that the strategy is in conformity with Serbia’s international obligations and is fully implemented once adopted (Sweden);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A29 Cooperation with regional mechanisms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113.67 Take the necessary steps to ensure the rights of minorities, particularly the Roma (Afghanistan);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A42 Institutions &amp; policies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114.116 Adopt a comprehensive policy aimed at providing durable solutions for all internally displaced persons in Serbia, which would include local integration in a pragmatic way, taking into consideration return and settlement in other places, implementing the law on temporary and permanent residence in a holistic manner (Honduras).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A42 Institutions &amp; policies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internally displaced persons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114.17 Adopt a comprehensive law on children’s rights and establish an office of the Ombudsman for Children (Mongolia);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114.20 Guarantee the independence and strengthen the legal capacities of the Ombudsman by including in domestic legislation measures that would allow for proper interaction with the international human rights system and civil society organizations (Costa Rica);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114.104 Ensure the full implementation of the new strategy for Roma inclusion and adopt the action plan promptly (Austria);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A46 National Plans of Action on Human Rights (or specific areas)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114.12 Amend the Criminal Code in order to explicitly criminalize racism and discrimination based on sexual orientation and gender identity (Uruguay);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B32 Racial 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114.101 Consider adopting a law on racial discrimination and continue efforts to combat racial discrimination and hate speech against foreigners and minorities, particularly the Roma (Tunisia);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B32 Racial 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 Strengthen judicial independence by implementing the constitutional reform currently under way, in accordance with the standards of the Venice Commission, and improve access to justice for all citizens (France);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114.52 Ensure that police, prosecutors and the judiciary are all fully aware of their responsibilities with regard to the identification, prosecution and adjudication of hate crimes (Belgium);</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114.15 Accelerate the process of amending national legislation in line with the Convention against Torture and Other Cruel, Inhuman or Degrading Treatment or Punishment (Georgia);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D25 Prohibition of torture and cruel, inhuman or degrading treatment</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114.32 Strengthen measures to combat all forms of social stigmatization, discrimination and violence against persons based on their sexual orientation, gender identity and HIV status (Portugal);</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D28 Gender-based violence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114.36 Strengthen measures to eradicate all forms of social stigmatization, discrimination and violence against persons based on their sexual orientation and gender identity (Iceland);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D28 Gender-based violence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114.88 Improve legislation and laws related to domestic violence (Iraq);</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D29 Domestic violence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114.13 Take the necessary measures to incorporate the crime of enforced disappearance into national legislation and establish an adequate legislative framework to enable access to the files related to cases of enforced disappearance and other human rights violations (Argentina);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D32 Enforced disappearances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disappeared persons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114.51 Consider introducing the legislative amendments necessary to broaden the definition of victims of enforced disappearance to include the relatives of a disappeared person (Slovakia);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D32 Enforced disappearances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disappeared persons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113.24 Fully respect and implement the principles of the rule of law by taking all necessary measures to ensure the effective and independent functioning of the judiciary (Estonia);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113.26 Continue implementing all expedient measures in its National Strategy for Judicial Reform 2013–2018 that help strengthen the rule of law until a new national strategy is drawn up (Singapore);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 Strengthen the rule of law through constitutional amendments as well as other reforms that enhance the independence and efficiency of the judiciary (Norway);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113.2 Ensure that the discussions on constitutional reforms regarding the independence of the judiciary move ahead in a timely and inclusive manner and that the outcome of this process is swiftly implemented (Sweden);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114.87 Review and revise the Criminal Code, the Family Code and other relevant laws with a view to effectively preventing all forms of violence against women (Estonia);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D8 Rights related to marriage &amp; family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114.59 Implement reforms on media ownership and revenues, with the aim of guaranteeing transparency and a level playing field for the media, regardless of ownership and affiliations (Norway);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E32 Right to just and favourable conditions of 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114.61 Effectively guarantee the freedom of the press by ensuring the safety of journalists and their activities, and the independence of the media’s editorial boards (Republic of Korea);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E32 Right to just and favourable conditions of 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114.30 Ensure full implementation of the law on gender equality (Latvia);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113.48 Monitor and step up efforts to implement the legislation on domestic and gender-based violence and strengthen support for victims (Czechia);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114.89 Establish legislative and other measures to protect children from abuse and violence (Kyrgyzstan);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F31 Children: definition; general principles; protection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114.90 Establish legislative and other measures to ensure compliance with the general protocol on the protection of children from abuse and violence (Estonia);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F31 Children: definition; general principles; protection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114.91 Enact legislation to explicitly prohibit corporal punishment of children in all settings, including at home (Montenegro);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F32 Children: family environment and alternative care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114.92 Explicitly prohibit corporal punishment of children in legislation (Portugal);</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F32 Children: family environment and alternative care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114.95 Seriously consider prohibiting in its legislation any type of corporal punishment, promoting non-violent disciplinary alternatives and generating public awareness of the harmful effects of corporal punishment, in line with the recommendations made by Uruguay during the second cycle and accepted by Serbia (Uruguay);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F32 Children: family environment and alternative care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114.96 Adopt the planned legislative amendments to explicitly prohibit all corporal punishment of children, in all settings (Slovenia);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F32 Children: family environment and alternative care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113.61 Take further measures to upgrade the legislation on the promotion and protection of the rights of persons belonging to national minorities and ensure its implementation (Bulgaria);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114.21 Take all the necessary measures to ensure the full and effective implementation of the law on anti-discrimination, in particular with regard to national minorities, which remain the most vulnerable and socioeconomically marginalized (Switzerland);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113.4 Continue the harmonization of the Criminal Code provisions with international norms (Morocco);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1C4BCE">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A42 Institutions &amp; policies - General</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114.97 Strengthen further implementation of the deinstitutionalization process, with particular focus on children without parental care under age of 3 (Montenegro);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A42 Institutions &amp; policies - General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726640">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A45 National Human Rights Institution (NHRI)</w:t>
            </w:r>
            <w:r w:rsidRPr="00284AF7">
              <w:rPr>
                <w:b/>
                <w:i/>
                <w:sz w:val="28"/>
                <w:lang w:eastAsia="en-GB"/>
              </w:rPr>
              <w:t xml:space="preserve"> </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114.14 Establish a national human rights institution in accordance with the Paris Principles (Ukraine);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114.16 Strengthen the mandate and independence of its Ombudsman’s Office, ensuring that it is adequately resourced and that it can operate independently (Ireland);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114.18 Increase the funding for the national preventive mechanism within the budget of the Ombudsman’s Office and set up a separate national preventive mechanism unit or department within the Ombudsman’s Office (The former Yugoslav Republic of Macedonia);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114.19 Ensure swift and smooth adoption of the bill on a children’s ombudsmen (Slovakia);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113.10 Strengthen anti-discrimination mechanisms, including for lesbian, gay, bisexual, transgender and intersex persons, and continue efforts to promote the human rights of persons belonging to minorities, especially the Roma minority (France);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113.5 Strengthen the legal framework for the Ombudsman (Poland);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 Grant the Protector of Citizens (Ombudsman) the necessary legal and financial means to fulfil its mandate (Algeria);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113.7 Strengthen the mandate of the Protector of Citizens and ensure its independent functioning, in line with the Paris Principles, and by allocating sufficient financial and human resources to it (Republic of Moldova);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A45 National Human Rights Institution (NHRI)</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352C34">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A46 National Plans of Action on Human Rights (or specific areas)</w:t>
            </w:r>
            <w:r w:rsidRPr="00284AF7">
              <w:rPr>
                <w:b/>
                <w:i/>
                <w:sz w:val="28"/>
                <w:lang w:eastAsia="en-GB"/>
              </w:rPr>
              <w:t xml:space="preserve"> </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114.42 Implement fully the National Strategy for the Prosecution of War Crimes, beginning by defining clear and specific priorities (Switzerland);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A46 National Plans of Action on Human Rights (or specific areas)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public officials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113.8 Implement the Strategy for the Prevention of and Protection from Discrimination and the corresponding Action Plan (Cuba);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A46 National Plans of Action on Human Rights (or specific areas)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113.9 Continue to combat all forms of discrimination, including through the implementation of the Strategy for the Prevention of and Protection from Discrimination (Cyprus);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A46 National Plans of Action on Human Rights (or specific areas)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015ABD">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A47 Good governance</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114.37 Increase the Government’s control over Serbian companies operating abroad, particularly any negative impact of their activities on the protection of human rights, especially in conflict zones, including cases of foreign occupation, where there are heightened risks of human rights violations (State of Palestine);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A47 Good governance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114.54  Strengthen the legal framework for the fight against corruptionand strengthen the powers and resources of the anti-corruption agency (France);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A47 Good governance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113.22 Strengthen an independent judiciary that guarantees the rule of law and tackles corruption by implementing European Union recommendations (Germany);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A47 Good governance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113.23 Pursue efforts to strengthen the judiciary through the implementation of the national strategy adopted for this purpose (Morocco);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A47 Good governance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113.27 Take steps to improve judicial independence by limiting the scope for political influence over judicial appointments (Canada);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A47 Good governance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C92ED8">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A51 Human rights education - general</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114.38 Actively engage with the international community in efforts to promote and protect human rights in the context of climate change (Viet Nam);</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A51 Human rights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A3 Inter-State cooperation &amp; development assistance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public officials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064E50">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A53 Professional training in human rights</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113.35 Strengthen training programmes for State agents in the field of the rights of minorities (Algeria);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A53 Professional training in human rights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506F5C">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A54 Awareness raising and dissemination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113.12 Continue efforts towards promoting and protecting human rights, especially those of vulnerable groups (Bhutan);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A54 Awareness raising and dissemination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vulnerable persons/groups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113.15 Continue to organize regular information campaigns aimed at strengthening the equality of the sexes and overcoming gender stereotypes (Belarus);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A54 Awareness raising and dissemination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DE3CC1">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B31 Equality &amp; non-discrimination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113.14 Strengthen efforts to prevent and combat all forms of discrimination, including against women, children, Roma and lesbian, gay, bisexual, transgender and intersex persons (Italy);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114.29 Strengthen efforts to eliminate discrimination on the basis of sexual orientation and gender identity (Czechia);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113.55 Continue efforts to guarantee non-discrimination against persons with disabilities and adopt appropriate measures to ensure equal opportunities for them in education, employment and access to housing (Mexico);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E23 Right to adequate housing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E31 Right to 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persons with disabilities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113.71 Continue to ensure non-discriminatory and adequate maternal health care for Roma mothers and young children (Maldives);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E41 Right to health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S03 SDG 3 - health</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F72397">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84AF7">
              <w:rPr>
                <w:b/>
                <w:i/>
                <w:color w:val="000000"/>
                <w:sz w:val="28"/>
                <w:szCs w:val="22"/>
                <w:lang w:eastAsia="en-GB"/>
              </w:rPr>
              <w:t>B32 Racial discrimination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113.13 Strengthen national measures to promote tolerance and pluralism in order to prevent ethnic discrimination (Indonesia);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B32 Racial 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114.25 Improve policies aimed at preventing and combating racial discrimination (Mozambique);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B32 Racial 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114.24 Continue to strengthen the fight against incitement to violence and discrimination against vulnerable groups and ensure that crimes motivated by prejudice are investigated and their perpetrators punished (Bolivarian Republic of Venezuela);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B32 Racial discrimination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114.23 Take additional serious measures to combat xenophobia, hate speech and discrimination based on race, nationality, ethnicity and religion (Kyrgyzstan);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B32 Racial discrimination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D6 Rights related to name, identity, nationality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non-citizens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113.21 Increase efforts to combat hate speech (Lebanon);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B32 Racial discrimination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S16 SDG 16 - peace, justice and strong institutions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6D4640">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B51 Right to an effective remedy</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113.19 Initiate the application of innovative approaches and technological innovations for the efficient, accountable and transparent delivery of public services (Azerbaijan);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113.20 Put in place further measures to improve the independence, accountability and effectiveness of the justice system (Australia);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114.44 Fully investigate and hold accountable those responsible for the 1999 murder of the Bytyqi brothers (United States of America);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114.78 Fully investigate incidents of serious threats and violence against journalists and civil society activists, and hold the perpetrators accountable (United States of America);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114.40 Strengthen the fight against impunity for war crimes, in particular by accelerating investigations and prosecution, including high-level cases, and by ensuring access to justice and reparation to victims without discrimination and in line with the international standards (Croatia);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114.46 Take measures to guarantee the prosecution of those who participate in war crimes and to secure proper redress for the victims (Costa Rica);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114.98 Adopt specific measures to prevent and combat multiple and intersectional discrimination against women and girls with disabilities, in particular in access to justice, protection against domestic violence and abuse, and in education, health and employment (Honduras);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D29 Domestic violence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E31 Right to 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E41 Right to health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S03 SDG 3 - health</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6B6E0A">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B52 Impunity</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114.39 Take all the necessary steps to prevent impunity for serious crimes under international law and to further increase efforts to shed light on the fate of missing persons (Netherlands);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114.48 Strengthen investigative measures and punishment of the perpetrators of hate crimes motivated by prejudice (Argentina);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114.47 Increase efforts to protect human rights defenders and to put an end to the impunity of those who violate their rights (Côte d’Ivoire);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114.70 Ensure that all threats, intimidation and attacks against journalists and human rights defenders are thoroughly investigated, ensuring no impunity for perpetrators (United Kingdom of Great Britain and Northern Ireland);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114.71 Ensure thorough, prompt and independent investigations into all reports of human rights violations against human rights defenders and journalists and bring to justice those suspected of committing such crimes (Greece);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A11163">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D26 Conditions of detention</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114.85 Further develop the provision of health-care services, including mental health care, in prisons (Portugal);</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D26 Conditions of detention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E41 Right to health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S03 SDG 3 - health</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0864A5">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D27 Prohibition of slavery, trafficking</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114.105 Continue the efforts to enable tangible progress in combating trafficking in persons (Turkmenistan);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vulnerable persons/groups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114.106 Increase human and financial resources dedicated to the office for the coordination of measures against trafficking in persons, to help drive national improvements in support of achieving target 8.7 of the Sustainable Development Goals (United Kingdom of Great Britain and Northern Ireland);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vulnerable persons/groups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114.108 Continue increasing the actions to combat trafficking in persons, especially women and children, and reinforce measures to prevent and improve the detection of these cases (Bolivarian Republic of Venezuela);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114.107 Continue efforts to combat human trafficking, particularly trafficking of unaccompanied migrant children (Tunisia);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114.109 Strengthen measures to prevent and combat trafficking in persons, paying special attention to migrants and refugees (Honduras);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114.110 Strengthen measures to combat and eliminate trafficking in persons, particularly migrants and refugees (Sierra Leone);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114.111 Promote efforts to prevent and combat human trafficking, particularly of refugees and migrants (State of Palestine);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114.112 Strengthen its measures to prevent and combat trafficking in persons, with a specific focus on migrants and refugees (Timor-Leste);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114.113 Strengthen measures to prevent and combat trafficking in persons, placing a specific focus on migrants and refugees, in line with the Human Rights Committee’s recommendation (Ukraine);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114.114 Intensify efforts to prevent and combat trafficking in persons, focusing on migrants and refugees (Indonesia);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D27 Prohibition of slavery, trafficking</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AD6FF4">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D28 Gender-based violence</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114.34 Improve measures aimed at eradicating all forms of social stigmatization, discrimination and violence on the basis of sexual orientation, gender identity and HIV status (Honduras);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D28 Gender-based violence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07F97">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D29 Domestic violence</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113.49 Take further measures to combat domestic violence by, inter alia, establishing shelters and supporting centres with medical, psychological and legal support (Austria);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D29 Domestic violence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113.50 Continue its efforts to combat domestic violence (Gabon);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D29 Domestic violence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113.42 Strengthen the measures to prevent all forms of violence against women, in particular domestic violence, and strengthen the legal protection of women against discrimination and all forms of violence (Mexico);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D29 Domestic violence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113.45 Continue efforts to combat discrimination against women and all forms of violence against women, including domestic violence (Tunisia);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D29 Domestic violence</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D966FF">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D42 Freedom of thought, conscience and religion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113.63 Develop and promote strategies aimed at promoting tolerance for persons belonging to ethnic, national, racial, religious and other minorities (Sierra Leone);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113.64 Step up its efforts to promote tolerance for persons belonging to ethnic, religious and other minorities (Timor-Leste);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113.65 Continue to intensify efforts to promote tolerance towards persons belonging to ethnic, national, racial, religious and other minorities, including Roma (Bolivarian Republic of Venezuela);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113.66 Intensify the work for the promotion of tolerance towards persons belonging to ethnic, national, racial, religious and any other minorities, including Roma (Uruguay);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113.70 Increase efforts to promote tolerance towards people belonging to ethnic, national, racial and religious minorities, particularly the Roma (Côte d’Ivoire);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114.22 Increase efforts to promote tolerance for persons belonging to ethnic, national, racial, religious or other minorities and address hate speech, discrimination and hate crime more effectively (Croatia);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114.102 Redouble its efforts in the promotion of tolerance towards persons belonging to ethnic, national, racial, religious and other minorities, including Roma (Honduras);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114.99 Continue the efforts aimed at improving the conditions for persons belonging to national minorities to preserve and develop their own culture and to have access to education, religious services and media in their own languages throughout the entire territory of Serbia (Romania);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114.27 Increase Serbia’s tolerance towards people belonging to different ethnic, national or religious backgrounds and provide internally displaced persons with the necessary identification documents to receive basic services (State of Palestine);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D42 Freedom of thought, conscience and religion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internally displaced persons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B61F8F">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D43 Freedom of opinion and expression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114.66 Enhance efforts regarding the protection and promotion of the freedoms of expression and of the press (Brazil);</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114.68 Take steps to enable the exercise of freedom of expression, including by improving transparency of media ownership and financing, and investigating and prosecuting cases of intimidation of and violence against journalists (Australia);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114.75 Take steps to ensure conditions for the full exercise of freedom of expression, including by: (i) ensuring effective investigation and prosecution of alleged threats and attacks on journalists; and (ii) ensuring an equal opportunity for all media to access funding available from government sources (Canada);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114.76 Guarantee freedom of expression by combating intimidation of the media and civil society and by ensuring the transparency of media financing (France);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114.79 Foster an enabling environment where freedom of expression can be exercised without hindrance and ensure that all threats and violence against journalists and bloggers are publicly condemned and properly and promptly investigated (Austria);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114.50 Ensure full access to all information, including access to archives, to enable the tracing, identifying and ascertaining of the fate of missing persons or their remains (Croatia);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D32 Enforced disappearances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disappeared persons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114.33 Take concrete steps to protect lesbian, gay, bisexual, transgender and intersex people and their freedom of assembly and expression, and to eradicate all forms of discrimination and violence based on sexual orientation and gender identity (New Zealand);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D44 Right to peaceful assembly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xml:space="preserve">- lesbian, gay, bisexual, transgender and intersex persons (LGBTI) </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114.77 Ensure the safety of journalists and writers so that they can work freely, express critical opinions and cover topics that the Government might deem sensitive, without fear of reprisals (Switzerland);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E32 Right to just and favourable conditions of 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114.56 Adopt measures to protect and promote freedom of expression, including freedom of speech and information, and ensure that journalists and human rights defenders are able to work freely and safely (Italy);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DE388B">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D51 Administration of justice &amp; fair trial</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113.25 Continue with its judicial reforms to effectively introduce the rule of law in all aspects of society (Republic of Korea);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114.67 Conduct prompt and impartial investigations into all allegations of crimes against journalists and the media and bring the perpetrators to justice (Slovakia);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114.55 Take timely action to provide media workers with protection and ensure that perpetrators of crimes against media workers are duly investigated, prosecuted and sanctioned (Ireland);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E32 Right to just and favourable conditions of 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7419AC">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D6 Rights related to name, identity, nationality</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114.28 Ensure that all children born in Serbia have access to timely birth registration immediately after birth, without discrimination and regardless of the legal or documentation status of their parents (Brazil);</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D6 Rights related to name, identity, nationality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vulnerable persons/groups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402AAB">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D8 Rights related to marriage &amp; family</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113.47 Take efforts to combat gender-based violence, such as violence in family and partner relationships, sexual harassment and rape (Kyrgyzstan);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D8 Rights related to marriage &amp; family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113.43 Adopt the National Strategy for the Prevention and Suppression of Violence against Women and Young Girls in the Family and Partnership Relations and ensure its effective implementation (Republic of Moldova);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D8 Rights related to marriage &amp; family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girls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114.93 Prohibit by law corporal punishment of children, including in the family (Austria);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D8 Rights related to marriage &amp; family</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F32 Children: family environment and alternative care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6E1BCD">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E1 Economic, social &amp; cultural rights - general measures of implementation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113.57 Work to protect cultural heritage in Serbia and respect diversity (Lebanon);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E1 Economic, social &amp; cultural rights - general measures of implementation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114.103 Take further measures to overcome the prevailing discrimination against Roma in the enjoyment of economic, social and cultural rights (Albania);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E1 Economic, social &amp; cultural rights - general measures of implementation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B31 Equality &amp; non-discrimination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113.16 Continue to promote economic and social sustainable development to meet its people’s need for a better life (China);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E1 Economic, social &amp; cultural rights - general measures of implementation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E21 Right to an adequate standard of living - general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113.17 Continue pursuing appropriate policies to achieve more balanced economic and social development among the regions in the country (Bulgaria);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E1 Economic, social &amp; cultural rights - general measures of implementation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E21 Right to an adequate standard of living - general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C11589">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E23 Right to adequate housing</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114.84 Step up efforts towards meeting the goal of improving housing conditions for those most in need (Greece);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E23 Right to adequate housing</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936D38">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E31 Right to work</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113.18 Take the necessary measures to promote the participation of women in the labour market in a wider range of occupations, including through awareness-raising to overcome gender stereotypes (Iceland);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E31 Right to 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113.40 Promote the participation of women in public and political life, and in the labour market (Poland);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E31 Right to 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C6056B">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E32 Right to just and favourable conditions of work</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114.83 Adopt measures to fully apply the principle of equal pay for work of equal value, bearing in mind the gender wage gap (Portugal);</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E32 Right to just and favourable conditions of 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F37F84">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E41 Right to health - General</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113.58 Implement effective public policies to combat discrimination and ensure effective access to education and health-care services to ethnic minorities in the country (Mexico);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E41 Right to health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S03 SDG 3 - health</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6A4D72">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E51 Right to education - General</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113.54 Work towards the deinstitutionalization of children with disabilities and the removal of barriers that hinder the effective access of children with disabilities to education (New Zealand);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114.26 Develop educational materials that promote pluralism for combating ethnic polarization and discrimination (Albania);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113.51 Continue the promotion of educational policies against violence, particularly physical and gender-based violence against women and children (State of Palestine);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113.69 Continue efforts to promote the educational and economic level of national minorities and to help them integrate into society (Egypt);</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113.33 Support efforts to ensure students from ethnic minority groups have access to school textbooks in their native language (United States of America);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113.29 Pursue efforts with a view to improving accessibility to human rights training and education (Morocco);</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113.30 Enhance its efforts to reduce non-attendance and school drop-out rates, ensuring the effective implementation of the 2020 Education Strategy (Cyprus);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113.31 Make further efforts to promote opportunities for access to education for all (Iraq);</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113.32 Develop programmes to reduce dropout rates from schools (Timor-Leste);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113.34 Step up efforts towards achieving inclusive education for all children (Georgia);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114.86 Consider the possibility of elaborating programmes to provide inclusive education (Belarus);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E51 Right to education - General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131C9E">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F11 Advancement of women</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113.28 Continue the promotion of initiatives to empower the country’s women at the economic, political and social levels (Bosnia and Herzegovina);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F11 Advancement of women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6D754C">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F12 Discrimination against women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114.31 Harmonize gender equality to guarantee equal rights for men and women (Turkmenistan);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113.44 Formulate and implement systematic measures towards the eradication of stereotypes of women in society, creating a climate of zero tolerance for violence against women (Slovenia);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113.36 Continue to take effective measures to promote gender equality and to better protect women’s rights (China);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113.37 Continue developing actions to improve the status of women and gender equality (Cuba);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113.38 Continue to make efforts to improve equality between men and women, and in particular support rural women and assist them in their economic empowerment (Egypt);</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F12 Discrimination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D1201D">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84AF7">
              <w:rPr>
                <w:b/>
                <w:i/>
                <w:color w:val="000000"/>
                <w:sz w:val="28"/>
                <w:szCs w:val="22"/>
                <w:lang w:eastAsia="en-GB"/>
              </w:rPr>
              <w:t>F13 Violence against women</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113.46 Redouble efforts to effectively prevent all forms of violence against women (Indonesia);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F13 Violence against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E36B24">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F14 Participation of women in political and public life </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113.41 Continue enhancing the role of women in strengthening democracy and ensuring sustainable development (Azerbaijan);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F14 Participation of women in political and public life </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F11 Advancement of women</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113.39 Continue its efforts to increase the representation of women within State and local administrations (New Zealand);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F14 Participation of women in political and public life </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S04 SDG 4  - education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women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690411">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F31 Children: definition; general principles; protection</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113.11 Continue to strengthen its efforts on the promotion and protection of human rights, especially with regard to the rights of vulnerable populations, including women and children (Viet Nam);</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F31 Children: definition; general principles; protection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113.52 Continue efforts to effectively protect women and children against violence, particularly by considering running an awareness-raising campaign in this respect (Poland);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F31 Children: definition; general principles; protection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113.53 Complete efforts in order to effectively protect children from violence and abuse (Greece);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F31 Children: definition; general principles; protection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641FE3">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F32 Children: family environment and alternative care</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114.94 Adopt all necessary measures to eradicate corporal punishment of boys and girls (Chile);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F32 Children: family environment and alternative care</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girls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E348F2">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G1 Members of minorities</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113.59 Strengthen its efforts to promote respect for the rights of minorities, especially its national and ethnic minorities (Philippines);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113.60 Continue the work in the area of combating discrimination against national minorities (Russian Federation);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113.62 Work closely with the relevant stakeholders, such as the National Minorities Councils, to ensure the effective implementation of the Action Plan for the Realization of the Rights of National Minorities (Singapore);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113.68 Increase efforts to promote tolerance towards people belonging to ethnic and national minorities, including the Roma, and to do so through awareness-raising campaigns (Chile);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113.72 Improve the human rights situation of the Roma minority (Mozambique);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114.100 Further promote the effective participation of national minorities, especially the Roma minority, in electoral processes and their representation in public administration (The former Yugoslav Republic of Macedonia);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113.73 Ensure the effective integration of Roma people into Serbian society (Germany);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G1 Members of minorities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E21 Right to an adequate standard of living - general</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BB275F">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G5 Refugees &amp; asylum seekers</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113.74 Establish an efficient and coordinated system for the integration of refugees into society (Germany).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A/HRC/38/17 - Para. 113</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G5 Refugees &amp; asylum seekers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refugees &amp; asylum seekers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4C464B">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H1 Human rights defenders</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114.80 Recognize the important role of human rights defenders, many of whom face particular risks and threats, and provide practical support for them to carry out their human rights work, including by preventing any acts of reprisal or intimidation against them (New Zealand);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114.81 Protect human rights defenders by initiating independent, impartial and effective investigations into threats against them (Republic of Korea);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114.69 Conduct impartial, thorough and effective investigations into all cases of attacks, harassment and intimidation against journalists and human rights defenders, and bring perpetrators of such offences to justice (Germany);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Supported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B52 Impunity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3A36AB">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A12 Acceptance of international norms</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114.8 Ratify the Optional Protocol to the International Covenant on Economic, Social and Cultural Rights (Costa Rica);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E1 Economic, social &amp; cultural rights - general measures of implementation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general</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114.9 Ratify the Optional Protocol to the Convention on the Rights of the Child on a communications procedure (Slovakia);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F31 Children: definition; general principles; protection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children</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114.1 Consider ratifying the International Convention on the Protection of the Rights of All Migrant Workers and Members of Their Families (Uruguay);</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114.2 Consider ratifying the International Convention on the Protection of the Rights of All Migrant Workers and Members of Their Families (Bolivarian Republic of Venezuela);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114.3 Consider ratifying the International Convention on the Protection of the Rights of All Migrant Workers and Members of Their Families (Albania);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 Increase efforts to ratify the International Convention on the Protection of the Rights of all Migrant Workers and Members of Their Families (Chile);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 Finalize the ratification of the International Convention on the Protection of the Rights of All Migrant Workers and Members of Their Families (Afghanistan);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 Ratify the International Convention on the Protection of the Rights of All Migrant Workers and Members of Their Families (Honduras);</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 Accede to the International Convention on the Protection of the Rights of All Migrant Workers and Members of Their Families (Sierra Leone);</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A12 Acceptance of international norms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G4 Migrants</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migrants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C68E3">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A41 Constitutional and legislative framework</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lastRenderedPageBreak/>
              <w:t>114.57 Enhance laws on media freedom (Lebanon);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114.60 Strengthen the effectiveness of action taken to enhance editorial independence and media pluralism (Poland);</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A41 Constitutional and legislative framework</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E32 Right to just and favourable conditions of work</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894091">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D43 Freedom of opinion and expression</w:t>
            </w: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114.65 Enhance laws protecting freedom of expression (Lebanon);</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07196">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D51 Administration of justice &amp; fair trial</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114.43 Initiate a vetting process to identify all government officials who have allegedly been involved in the commission of war crimes (Albania);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B51 Right to an effective remedy</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judges, lawyers and prosecutors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284AF7">
        <w:trPr>
          <w:cantSplit/>
        </w:trPr>
        <w:tc>
          <w:tcPr>
            <w:tcW w:w="4520" w:type="dxa"/>
            <w:tcBorders>
              <w:bottom w:val="dotted" w:sz="4" w:space="0" w:color="auto"/>
            </w:tcBorders>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114.53 Take measures to strengthen the rule of law, including through a full and public enquiry into the police and municipal authorities’ alleged involvement in the Belgrade Waterfront night-time demolitions, the so-called Savamala case in the city centre in April 2016 (Canada);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tcBorders>
              <w:bottom w:val="dotted" w:sz="4" w:space="0" w:color="auto"/>
            </w:tcBorders>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tcBorders>
              <w:bottom w:val="dotted" w:sz="4" w:space="0" w:color="auto"/>
            </w:tcBorders>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D51 Administration of justice &amp; fair trial</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E26 Human Rights &amp; drinking water and sanitation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law enforcement / police officials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public officials</w:t>
            </w:r>
          </w:p>
        </w:tc>
        <w:tc>
          <w:tcPr>
            <w:tcW w:w="4600" w:type="dxa"/>
            <w:tcBorders>
              <w:bottom w:val="dotted" w:sz="4" w:space="0" w:color="auto"/>
            </w:tcBorders>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r w:rsidR="00284AF7" w:rsidRPr="00284AF7" w:rsidTr="00D131B6">
        <w:trPr>
          <w:cantSplit/>
        </w:trPr>
        <w:tc>
          <w:tcPr>
            <w:tcW w:w="15220" w:type="dxa"/>
            <w:gridSpan w:val="4"/>
            <w:shd w:val="clear" w:color="auto" w:fill="DBE5F1"/>
            <w:hideMark/>
          </w:tcPr>
          <w:p w:rsidR="00284AF7" w:rsidRPr="00284AF7" w:rsidRDefault="00284AF7" w:rsidP="00284AF7">
            <w:pPr>
              <w:suppressAutoHyphens w:val="0"/>
              <w:spacing w:before="40" w:after="40" w:line="240" w:lineRule="auto"/>
              <w:rPr>
                <w:b/>
                <w:i/>
                <w:sz w:val="28"/>
                <w:lang w:eastAsia="en-GB"/>
              </w:rPr>
            </w:pPr>
            <w:r>
              <w:rPr>
                <w:b/>
                <w:i/>
                <w:color w:val="000000"/>
                <w:sz w:val="28"/>
                <w:szCs w:val="22"/>
                <w:lang w:eastAsia="en-GB"/>
              </w:rPr>
              <w:t xml:space="preserve">Theme: </w:t>
            </w:r>
            <w:r w:rsidRPr="00284AF7">
              <w:rPr>
                <w:b/>
                <w:i/>
                <w:color w:val="000000"/>
                <w:sz w:val="28"/>
                <w:szCs w:val="22"/>
                <w:lang w:eastAsia="en-GB"/>
              </w:rPr>
              <w:t>H1 Human rights defenders</w:t>
            </w:r>
          </w:p>
        </w:tc>
      </w:tr>
      <w:tr w:rsidR="00284AF7" w:rsidRPr="00284AF7" w:rsidTr="00284AF7">
        <w:trPr>
          <w:cantSplit/>
        </w:trPr>
        <w:tc>
          <w:tcPr>
            <w:tcW w:w="4520" w:type="dxa"/>
            <w:shd w:val="clear" w:color="auto" w:fill="auto"/>
            <w:hideMark/>
          </w:tcPr>
          <w:p w:rsidR="00284AF7" w:rsidRDefault="00284AF7" w:rsidP="00284AF7">
            <w:pPr>
              <w:suppressAutoHyphens w:val="0"/>
              <w:spacing w:before="40" w:after="40" w:line="240" w:lineRule="auto"/>
              <w:rPr>
                <w:color w:val="000000"/>
                <w:szCs w:val="22"/>
                <w:lang w:eastAsia="en-GB"/>
              </w:rPr>
            </w:pPr>
            <w:r w:rsidRPr="00284AF7">
              <w:rPr>
                <w:color w:val="000000"/>
                <w:szCs w:val="22"/>
                <w:lang w:eastAsia="en-GB"/>
              </w:rPr>
              <w:t>114.72 Refrain from prosecuting journalists, human rights defenders and other members of civil society as a means of deterring or discouraging them from freely expressing their opinions (Latvia);</w:t>
            </w:r>
          </w:p>
          <w:p w:rsidR="00284AF7" w:rsidRPr="00284AF7" w:rsidRDefault="00284AF7" w:rsidP="00284AF7">
            <w:pPr>
              <w:suppressAutoHyphens w:val="0"/>
              <w:spacing w:before="40" w:after="40" w:line="240" w:lineRule="auto"/>
              <w:rPr>
                <w:color w:val="000000"/>
                <w:szCs w:val="22"/>
                <w:lang w:eastAsia="en-GB"/>
              </w:rPr>
            </w:pPr>
            <w:r w:rsidRPr="00284AF7">
              <w:rPr>
                <w:b/>
                <w:color w:val="000000"/>
                <w:szCs w:val="22"/>
                <w:lang w:eastAsia="en-GB"/>
              </w:rPr>
              <w:t>Source of position:</w:t>
            </w:r>
            <w:r w:rsidRPr="00284AF7">
              <w:rPr>
                <w:color w:val="000000"/>
                <w:szCs w:val="22"/>
                <w:lang w:eastAsia="en-GB"/>
              </w:rPr>
              <w:t xml:space="preserve"> A/HRC/38/17/Add.1 - Para. 1</w:t>
            </w:r>
          </w:p>
        </w:tc>
        <w:tc>
          <w:tcPr>
            <w:tcW w:w="1100" w:type="dxa"/>
            <w:shd w:val="clear" w:color="auto" w:fill="auto"/>
            <w:hideMark/>
          </w:tcPr>
          <w:p w:rsidR="00284AF7" w:rsidRPr="00284AF7" w:rsidRDefault="00284AF7" w:rsidP="00284AF7">
            <w:pPr>
              <w:suppressAutoHyphens w:val="0"/>
              <w:spacing w:before="40" w:after="40" w:line="240" w:lineRule="auto"/>
              <w:rPr>
                <w:color w:val="000000"/>
                <w:szCs w:val="22"/>
                <w:lang w:eastAsia="en-GB"/>
              </w:rPr>
            </w:pPr>
            <w:r w:rsidRPr="00284AF7">
              <w:rPr>
                <w:color w:val="000000"/>
                <w:szCs w:val="22"/>
                <w:lang w:eastAsia="en-GB"/>
              </w:rPr>
              <w:t>Noted</w:t>
            </w:r>
          </w:p>
        </w:tc>
        <w:tc>
          <w:tcPr>
            <w:tcW w:w="5000" w:type="dxa"/>
            <w:shd w:val="clear" w:color="auto" w:fill="auto"/>
            <w:hideMark/>
          </w:tcPr>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H1 Human rights defenders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D43 Freedom of opinion and expression</w:t>
            </w:r>
          </w:p>
          <w:p w:rsidR="00284AF7" w:rsidRPr="00284AF7" w:rsidRDefault="00284AF7" w:rsidP="00284AF7">
            <w:pPr>
              <w:suppressAutoHyphens w:val="0"/>
              <w:spacing w:line="240" w:lineRule="auto"/>
              <w:rPr>
                <w:color w:val="000000"/>
                <w:sz w:val="16"/>
                <w:szCs w:val="22"/>
                <w:lang w:eastAsia="en-GB"/>
              </w:rPr>
            </w:pPr>
            <w:r w:rsidRPr="00284AF7">
              <w:rPr>
                <w:b/>
                <w:color w:val="000000"/>
                <w:sz w:val="16"/>
                <w:szCs w:val="22"/>
                <w:lang w:eastAsia="en-GB"/>
              </w:rPr>
              <w:t>Affected persons:</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media</w:t>
            </w:r>
          </w:p>
          <w:p w:rsidR="00284AF7" w:rsidRPr="00284AF7" w:rsidRDefault="00284AF7" w:rsidP="00284AF7">
            <w:pPr>
              <w:suppressAutoHyphens w:val="0"/>
              <w:spacing w:line="240" w:lineRule="auto"/>
              <w:rPr>
                <w:color w:val="000000"/>
                <w:sz w:val="16"/>
                <w:szCs w:val="22"/>
                <w:lang w:eastAsia="en-GB"/>
              </w:rPr>
            </w:pPr>
            <w:r w:rsidRPr="00284AF7">
              <w:rPr>
                <w:color w:val="000000"/>
                <w:sz w:val="16"/>
                <w:szCs w:val="22"/>
                <w:lang w:eastAsia="en-GB"/>
              </w:rPr>
              <w:t>- human rights defenders</w:t>
            </w:r>
          </w:p>
        </w:tc>
        <w:tc>
          <w:tcPr>
            <w:tcW w:w="4600" w:type="dxa"/>
            <w:shd w:val="clear" w:color="auto" w:fill="auto"/>
            <w:hideMark/>
          </w:tcPr>
          <w:p w:rsidR="00284AF7" w:rsidRDefault="00284AF7" w:rsidP="00284AF7">
            <w:pPr>
              <w:suppressAutoHyphens w:val="0"/>
              <w:spacing w:before="60" w:after="60" w:line="240" w:lineRule="auto"/>
              <w:ind w:left="57" w:right="57"/>
              <w:rPr>
                <w:color w:val="000000"/>
                <w:szCs w:val="22"/>
                <w:lang w:eastAsia="en-GB"/>
              </w:rPr>
            </w:pPr>
          </w:p>
          <w:p w:rsidR="00284AF7" w:rsidRPr="00284AF7" w:rsidRDefault="00284AF7" w:rsidP="00284AF7">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AF7" w:rsidRDefault="00284AF7"/>
  </w:endnote>
  <w:endnote w:type="continuationSeparator" w:id="0">
    <w:p w:rsidR="00284AF7" w:rsidRDefault="00284AF7"/>
  </w:endnote>
  <w:endnote w:type="continuationNotice" w:id="1">
    <w:p w:rsidR="00284AF7" w:rsidRDefault="00284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AF7" w:rsidRPr="000B175B" w:rsidRDefault="00284AF7" w:rsidP="000B175B">
      <w:pPr>
        <w:tabs>
          <w:tab w:val="right" w:pos="2155"/>
        </w:tabs>
        <w:spacing w:after="80"/>
        <w:ind w:left="680"/>
        <w:rPr>
          <w:u w:val="single"/>
        </w:rPr>
      </w:pPr>
      <w:r>
        <w:rPr>
          <w:u w:val="single"/>
        </w:rPr>
        <w:tab/>
      </w:r>
    </w:p>
  </w:footnote>
  <w:footnote w:type="continuationSeparator" w:id="0">
    <w:p w:rsidR="00284AF7" w:rsidRPr="00FC68B7" w:rsidRDefault="00284AF7" w:rsidP="00FC68B7">
      <w:pPr>
        <w:tabs>
          <w:tab w:val="left" w:pos="2155"/>
        </w:tabs>
        <w:spacing w:after="80"/>
        <w:ind w:left="680"/>
        <w:rPr>
          <w:u w:val="single"/>
        </w:rPr>
      </w:pPr>
      <w:r>
        <w:rPr>
          <w:u w:val="single"/>
        </w:rPr>
        <w:tab/>
      </w:r>
    </w:p>
  </w:footnote>
  <w:footnote w:type="continuationNotice" w:id="1">
    <w:p w:rsidR="00284AF7" w:rsidRDefault="00284A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284AF7">
      <w:rPr>
        <w:sz w:val="28"/>
        <w:szCs w:val="28"/>
      </w:rPr>
      <w:t>Serbia</w:t>
    </w:r>
    <w:r>
      <w:rPr>
        <w:sz w:val="28"/>
        <w:szCs w:val="28"/>
      </w:rPr>
      <w:t xml:space="preserve"> </w:t>
    </w:r>
    <w:r w:rsidRPr="0064076F">
      <w:rPr>
        <w:sz w:val="20"/>
      </w:rPr>
      <w:t>(</w:t>
    </w:r>
    <w:r w:rsidR="00284AF7" w:rsidRPr="00284AF7">
      <w:rPr>
        <w:sz w:val="20"/>
      </w:rPr>
      <w:t>3</w:t>
    </w:r>
    <w:r w:rsidR="00284AF7" w:rsidRPr="00284AF7">
      <w:rPr>
        <w:sz w:val="20"/>
        <w:vertAlign w:val="superscript"/>
      </w:rPr>
      <w:t>rd</w:t>
    </w:r>
    <w:r w:rsidR="00284AF7" w:rsidRPr="00284AF7">
      <w:rPr>
        <w:sz w:val="20"/>
      </w:rPr>
      <w:t xml:space="preserve"> </w:t>
    </w:r>
    <w:r w:rsidR="002A5EFC">
      <w:rPr>
        <w:sz w:val="20"/>
      </w:rPr>
      <w:t>Cycle –</w:t>
    </w:r>
    <w:r w:rsidR="00484D9F">
      <w:rPr>
        <w:sz w:val="20"/>
      </w:rPr>
      <w:t xml:space="preserve"> </w:t>
    </w:r>
    <w:r w:rsidR="00284AF7">
      <w:rPr>
        <w:sz w:val="20"/>
      </w:rPr>
      <w:t>29</w:t>
    </w:r>
    <w:r w:rsidR="00284AF7" w:rsidRPr="00284AF7">
      <w:rPr>
        <w:sz w:val="20"/>
        <w:vertAlign w:val="superscript"/>
      </w:rPr>
      <w:t>th</w:t>
    </w:r>
    <w:r w:rsidR="00284AF7">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284AF7">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284AF7">
      <w:rPr>
        <w:noProof/>
        <w:sz w:val="20"/>
      </w:rPr>
      <w:t>29</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84AF7"/>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7002"/>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232738928">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17F2B2-8F9F-4A96-9CA6-E2D071AF8510}"/>
</file>

<file path=customXml/itemProps2.xml><?xml version="1.0" encoding="utf-8"?>
<ds:datastoreItem xmlns:ds="http://schemas.openxmlformats.org/officeDocument/2006/customXml" ds:itemID="{6D47099C-1778-45F7-91A4-7FF0638DF1B4}"/>
</file>

<file path=customXml/itemProps3.xml><?xml version="1.0" encoding="utf-8"?>
<ds:datastoreItem xmlns:ds="http://schemas.openxmlformats.org/officeDocument/2006/customXml" ds:itemID="{C91AA629-F0CC-437E-8D21-5A84E2C65CE1}"/>
</file>

<file path=docProps/app.xml><?xml version="1.0" encoding="utf-8"?>
<Properties xmlns="http://schemas.openxmlformats.org/officeDocument/2006/extended-properties" xmlns:vt="http://schemas.openxmlformats.org/officeDocument/2006/docPropsVTypes">
  <Template>Normal.dotm</Template>
  <TotalTime>7</TotalTime>
  <Pages>29</Pages>
  <Words>9693</Words>
  <Characters>55256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2019-03-29T10:13:00Z</dcterms:created>
  <dcterms:modified xsi:type="dcterms:W3CDTF">2019-03-29T10:20:00Z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