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8D1E1C" w:rsidRPr="007E7BCC" w14:paraId="369F900B" w14:textId="77777777" w:rsidTr="0040017C">
        <w:trPr>
          <w:trHeight w:val="851"/>
        </w:trPr>
        <w:tc>
          <w:tcPr>
            <w:tcW w:w="1259" w:type="dxa"/>
            <w:tcBorders>
              <w:top w:val="nil"/>
              <w:left w:val="nil"/>
              <w:bottom w:val="single" w:sz="4" w:space="0" w:color="auto"/>
              <w:right w:val="nil"/>
            </w:tcBorders>
          </w:tcPr>
          <w:p w14:paraId="369F9008" w14:textId="77777777" w:rsidR="00E52109" w:rsidRPr="007E7BCC" w:rsidRDefault="00E52109" w:rsidP="0040017C">
            <w:pPr>
              <w:pStyle w:val="HMG"/>
            </w:pPr>
          </w:p>
        </w:tc>
        <w:tc>
          <w:tcPr>
            <w:tcW w:w="2236" w:type="dxa"/>
            <w:tcBorders>
              <w:top w:val="nil"/>
              <w:left w:val="nil"/>
              <w:bottom w:val="single" w:sz="4" w:space="0" w:color="auto"/>
              <w:right w:val="nil"/>
            </w:tcBorders>
            <w:vAlign w:val="bottom"/>
          </w:tcPr>
          <w:p w14:paraId="369F9009" w14:textId="3E9129D7" w:rsidR="00E52109" w:rsidRPr="007E7BCC"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69F900A" w14:textId="34779F45" w:rsidR="00E52109" w:rsidRPr="007E7BCC" w:rsidRDefault="00483428" w:rsidP="00547B76">
            <w:pPr>
              <w:suppressAutoHyphens w:val="0"/>
              <w:spacing w:after="20"/>
              <w:jc w:val="right"/>
            </w:pPr>
            <w:r w:rsidRPr="007E7BCC">
              <w:rPr>
                <w:sz w:val="40"/>
              </w:rPr>
              <w:t>A</w:t>
            </w:r>
            <w:r w:rsidR="0037370B" w:rsidRPr="007E7BCC">
              <w:t>/7</w:t>
            </w:r>
            <w:r w:rsidR="00BD416B" w:rsidRPr="007E7BCC">
              <w:t>7</w:t>
            </w:r>
            <w:r w:rsidRPr="007E7BCC">
              <w:t>/</w:t>
            </w:r>
            <w:r w:rsidR="00BD416B" w:rsidRPr="007E7BCC">
              <w:t>2972</w:t>
            </w:r>
          </w:p>
        </w:tc>
      </w:tr>
      <w:tr w:rsidR="008D1E1C" w:rsidRPr="007E7BCC" w14:paraId="369F9012" w14:textId="77777777" w:rsidTr="0040017C">
        <w:trPr>
          <w:trHeight w:val="2835"/>
        </w:trPr>
        <w:tc>
          <w:tcPr>
            <w:tcW w:w="1259" w:type="dxa"/>
            <w:tcBorders>
              <w:top w:val="single" w:sz="4" w:space="0" w:color="auto"/>
              <w:left w:val="nil"/>
              <w:bottom w:val="single" w:sz="12" w:space="0" w:color="auto"/>
              <w:right w:val="nil"/>
            </w:tcBorders>
          </w:tcPr>
          <w:p w14:paraId="369F900C" w14:textId="24A9A9E6" w:rsidR="00E52109" w:rsidRPr="007E7BCC"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369F900D" w14:textId="6A0EC73C" w:rsidR="00E52109" w:rsidRPr="007E7BCC" w:rsidRDefault="00363FE3"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69F900E" w14:textId="77777777" w:rsidR="00E52109" w:rsidRPr="007E7BCC" w:rsidRDefault="00483428" w:rsidP="00483428">
            <w:pPr>
              <w:spacing w:before="240"/>
            </w:pPr>
            <w:r w:rsidRPr="007E7BCC">
              <w:t>Distr.: General</w:t>
            </w:r>
          </w:p>
          <w:p w14:paraId="369F900F" w14:textId="79806A84" w:rsidR="00483428" w:rsidRPr="007E7BCC" w:rsidRDefault="00547B76" w:rsidP="00483428">
            <w:pPr>
              <w:suppressAutoHyphens w:val="0"/>
            </w:pPr>
            <w:r>
              <w:t>4</w:t>
            </w:r>
            <w:r w:rsidR="00BD416B" w:rsidRPr="007E7BCC">
              <w:t xml:space="preserve"> October 2022</w:t>
            </w:r>
          </w:p>
          <w:p w14:paraId="369F9010" w14:textId="77777777" w:rsidR="00483428" w:rsidRPr="007E7BCC" w:rsidRDefault="00483428" w:rsidP="00483428">
            <w:pPr>
              <w:suppressAutoHyphens w:val="0"/>
            </w:pPr>
          </w:p>
          <w:p w14:paraId="369F9011" w14:textId="77777777" w:rsidR="00483428" w:rsidRPr="007E7BCC" w:rsidRDefault="00483428" w:rsidP="00483428">
            <w:pPr>
              <w:suppressAutoHyphens w:val="0"/>
            </w:pPr>
            <w:r w:rsidRPr="007E7BCC">
              <w:t xml:space="preserve">Original: </w:t>
            </w:r>
            <w:r w:rsidR="0037370B" w:rsidRPr="007E7BCC">
              <w:t>English</w:t>
            </w:r>
          </w:p>
        </w:tc>
      </w:tr>
    </w:tbl>
    <w:p w14:paraId="369F9014" w14:textId="7D0E6B9A" w:rsidR="00FF5C9C" w:rsidRPr="007E7BCC" w:rsidRDefault="007E5052" w:rsidP="00364175">
      <w:pPr>
        <w:spacing w:before="120"/>
        <w:rPr>
          <w:rFonts w:eastAsia="Times New Roman"/>
          <w:b/>
          <w:bCs/>
          <w:sz w:val="24"/>
          <w:szCs w:val="24"/>
        </w:rPr>
      </w:pPr>
      <w:r w:rsidRPr="007E7BCC">
        <w:rPr>
          <w:rFonts w:eastAsia="Times New Roman"/>
          <w:b/>
          <w:bCs/>
          <w:sz w:val="24"/>
          <w:szCs w:val="24"/>
        </w:rPr>
        <w:t>Seventy-</w:t>
      </w:r>
      <w:r w:rsidR="008F7BF4" w:rsidRPr="007E7BCC">
        <w:rPr>
          <w:rFonts w:eastAsia="Times New Roman"/>
          <w:b/>
          <w:bCs/>
          <w:sz w:val="24"/>
          <w:szCs w:val="24"/>
        </w:rPr>
        <w:t>seventh session</w:t>
      </w:r>
    </w:p>
    <w:p w14:paraId="369F9015" w14:textId="02EE34B9" w:rsidR="00FF5C9C" w:rsidRPr="007E7BCC" w:rsidRDefault="002E6B21" w:rsidP="006D4DC4">
      <w:r w:rsidRPr="007E7BCC">
        <w:t>14</w:t>
      </w:r>
      <w:r w:rsidR="006D4DC4" w:rsidRPr="007E7BCC">
        <w:t>-</w:t>
      </w:r>
      <w:r w:rsidRPr="007E7BCC">
        <w:t xml:space="preserve"> 30 September 2021</w:t>
      </w:r>
    </w:p>
    <w:p w14:paraId="344D38A7" w14:textId="7C7E704A" w:rsidR="00E6207F" w:rsidRPr="007E7BCC" w:rsidRDefault="00E6207F" w:rsidP="00E6207F">
      <w:pPr>
        <w:pStyle w:val="AgendaItemNormal"/>
      </w:pPr>
      <w:r w:rsidRPr="007E7BCC">
        <w:t>Item 7</w:t>
      </w:r>
      <w:r w:rsidR="00547B76">
        <w:t>4 (a) of the provisional agenda</w:t>
      </w:r>
      <w:r w:rsidR="00547B76" w:rsidRPr="00547B76">
        <w:rPr>
          <w:rStyle w:val="FootnoteReference"/>
          <w:sz w:val="20"/>
          <w:vertAlign w:val="baseline"/>
        </w:rPr>
        <w:footnoteReference w:customMarkFollows="1" w:id="2"/>
        <w:t>*</w:t>
      </w:r>
    </w:p>
    <w:p w14:paraId="369F9017" w14:textId="3969A430" w:rsidR="00583E48" w:rsidRPr="007E7BCC" w:rsidRDefault="00583E48" w:rsidP="00583E48">
      <w:pPr>
        <w:pStyle w:val="Default"/>
        <w:rPr>
          <w:b/>
          <w:bCs/>
          <w:color w:val="auto"/>
          <w:sz w:val="20"/>
          <w:szCs w:val="20"/>
        </w:rPr>
      </w:pPr>
      <w:r w:rsidRPr="007E7BCC">
        <w:rPr>
          <w:b/>
          <w:bCs/>
          <w:color w:val="auto"/>
          <w:sz w:val="20"/>
          <w:szCs w:val="20"/>
        </w:rPr>
        <w:t>Promotion and protection of human rights</w:t>
      </w:r>
    </w:p>
    <w:p w14:paraId="369F9018" w14:textId="77777777" w:rsidR="00583E48" w:rsidRPr="007E7BCC" w:rsidRDefault="00583E48" w:rsidP="00583E48">
      <w:pPr>
        <w:pStyle w:val="Default"/>
        <w:rPr>
          <w:bCs/>
          <w:sz w:val="20"/>
        </w:rPr>
      </w:pPr>
      <w:r w:rsidRPr="007E7BCC">
        <w:rPr>
          <w:b/>
          <w:bCs/>
          <w:color w:val="auto"/>
          <w:sz w:val="20"/>
          <w:szCs w:val="20"/>
        </w:rPr>
        <w:t>Implementation of human rights instruments</w:t>
      </w:r>
    </w:p>
    <w:p w14:paraId="3F3743FB" w14:textId="77777777" w:rsidR="008F7BF4" w:rsidRPr="007E7BCC" w:rsidRDefault="00FF5C9C" w:rsidP="008F7BF4">
      <w:pPr>
        <w:pStyle w:val="HChG"/>
      </w:pPr>
      <w:r w:rsidRPr="007E7BCC">
        <w:tab/>
      </w:r>
      <w:r w:rsidRPr="007E7BCC">
        <w:tab/>
      </w:r>
      <w:r w:rsidR="008F7BF4" w:rsidRPr="007E7BCC">
        <w:tab/>
        <w:t>Torture and other cruel, inhuman or degrading treatment or punishment</w:t>
      </w:r>
    </w:p>
    <w:p w14:paraId="24F12531" w14:textId="2CB78D0E" w:rsidR="008F7BF4" w:rsidRPr="007E7BCC" w:rsidRDefault="008F7BF4" w:rsidP="008F7BF4">
      <w:pPr>
        <w:pStyle w:val="H1G"/>
      </w:pPr>
      <w:r w:rsidRPr="007E7BCC">
        <w:tab/>
      </w:r>
      <w:r w:rsidRPr="007E7BCC">
        <w:tab/>
        <w:t>Note by the Secretary-General</w:t>
      </w:r>
      <w:r w:rsidR="00547B76" w:rsidRPr="00547B76">
        <w:rPr>
          <w:rStyle w:val="FootnoteReference"/>
          <w:b w:val="0"/>
          <w:sz w:val="20"/>
          <w:vertAlign w:val="baseline"/>
        </w:rPr>
        <w:footnoteReference w:customMarkFollows="1" w:id="3"/>
        <w:t>**</w:t>
      </w:r>
    </w:p>
    <w:p w14:paraId="522C8112" w14:textId="77777777" w:rsidR="008F7BF4" w:rsidRPr="007E7BCC" w:rsidRDefault="008F7BF4" w:rsidP="008F7BF4">
      <w:pPr>
        <w:pStyle w:val="SingleTxt"/>
      </w:pPr>
      <w:r w:rsidRPr="007E7BCC">
        <w:tab/>
        <w:t xml:space="preserve">The Secretary-General has the honour to transmit to the members of the General Assembly the interim report of the Special Rapporteur on torture and other cruel, inhuman or degrading treatment or punishment, Alice Jill Edwards, submitted in accordance with Assembly resolution </w:t>
      </w:r>
      <w:hyperlink r:id="rId11" w:history="1">
        <w:r w:rsidRPr="007E7BCC">
          <w:rPr>
            <w:rStyle w:val="Hyperlink"/>
          </w:rPr>
          <w:t>72/163</w:t>
        </w:r>
      </w:hyperlink>
      <w:r w:rsidRPr="007E7BCC">
        <w:t>.</w:t>
      </w:r>
    </w:p>
    <w:p w14:paraId="369F901C" w14:textId="10607931" w:rsidR="008D1E1C" w:rsidRPr="007E7BCC" w:rsidRDefault="008D1E1C" w:rsidP="008F7BF4">
      <w:pPr>
        <w:pStyle w:val="HChG"/>
        <w:rPr>
          <w:b w:val="0"/>
          <w:bCs/>
        </w:rPr>
      </w:pPr>
      <w:r w:rsidRPr="007E7BCC">
        <w:rPr>
          <w:bCs/>
        </w:rPr>
        <w:br w:type="page"/>
      </w:r>
    </w:p>
    <w:p w14:paraId="681CB81A" w14:textId="7CA22B65" w:rsidR="00BD416B" w:rsidRPr="007E7BCC" w:rsidRDefault="00627BD3" w:rsidP="00BD416B">
      <w:pPr>
        <w:pStyle w:val="HChG"/>
      </w:pPr>
      <w:bookmarkStart w:id="1" w:name="_Toc73957285"/>
      <w:bookmarkStart w:id="2" w:name="_Toc74600996"/>
      <w:r w:rsidRPr="007E7BCC">
        <w:lastRenderedPageBreak/>
        <w:tab/>
      </w:r>
      <w:bookmarkEnd w:id="1"/>
      <w:bookmarkEnd w:id="2"/>
      <w:r w:rsidR="00BD416B" w:rsidRPr="007E7BCC">
        <w:tab/>
      </w:r>
      <w:r w:rsidR="00BD416B" w:rsidRPr="007E7BCC">
        <w:tab/>
        <w:t>Interim report of the Special Rapporteur on torture and other cruel, inhuman or degrading treatment or punishment, Alice Jill Edwards</w:t>
      </w:r>
    </w:p>
    <w:tbl>
      <w:tblPr>
        <w:tblW w:w="9850"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BD416B" w:rsidRPr="007E7BCC" w14:paraId="318784C6" w14:textId="77777777" w:rsidTr="006A05D6">
        <w:tc>
          <w:tcPr>
            <w:tcW w:w="9850" w:type="dxa"/>
            <w:tcBorders>
              <w:top w:val="single" w:sz="2" w:space="0" w:color="auto"/>
            </w:tcBorders>
            <w:shd w:val="clear" w:color="auto" w:fill="auto"/>
          </w:tcPr>
          <w:p w14:paraId="3036632D" w14:textId="77777777" w:rsidR="00BD416B" w:rsidRPr="007E7BCC" w:rsidRDefault="00BD416B" w:rsidP="006A05D6">
            <w:pPr>
              <w:tabs>
                <w:tab w:val="left" w:pos="240"/>
              </w:tabs>
              <w:spacing w:before="240" w:after="120"/>
              <w:rPr>
                <w:i/>
                <w:sz w:val="24"/>
              </w:rPr>
            </w:pPr>
            <w:r w:rsidRPr="007E7BCC">
              <w:rPr>
                <w:i/>
                <w:sz w:val="24"/>
              </w:rPr>
              <w:tab/>
              <w:t>Summary</w:t>
            </w:r>
          </w:p>
        </w:tc>
      </w:tr>
      <w:tr w:rsidR="00BD416B" w:rsidRPr="007E7BCC" w14:paraId="328EEAC3" w14:textId="77777777" w:rsidTr="006A05D6">
        <w:tc>
          <w:tcPr>
            <w:tcW w:w="9850" w:type="dxa"/>
            <w:shd w:val="clear" w:color="auto" w:fill="auto"/>
          </w:tcPr>
          <w:p w14:paraId="36FD6816" w14:textId="77777777" w:rsidR="00BD416B" w:rsidRPr="007E7BCC" w:rsidRDefault="00BD416B" w:rsidP="006A05D6">
            <w:pPr>
              <w:pStyle w:val="SingleTxt"/>
            </w:pPr>
            <w:r w:rsidRPr="007E7BCC">
              <w:tab/>
              <w:t>This is the first report of the Special Rapporteur on torture and other cruel, inhuman or degrading treatment or punishment, Alice Jill Edwards, and sets out her vision and approach to the mandate, the thematic priorities for her next reports and summarizes the applicable international legal framework. The Special Rapporteur was appointed in July 2022 in accordance with Human Rights Council resolution 43/20 and assumed her functions on 1 August 2022. She is the seventh Special Rapporteur on Torture, and the first woman, to hold the post. This is her first report to the General Assembly.</w:t>
            </w:r>
          </w:p>
        </w:tc>
      </w:tr>
      <w:tr w:rsidR="00BD416B" w:rsidRPr="007E7BCC" w14:paraId="7F479497" w14:textId="77777777" w:rsidTr="006A05D6">
        <w:tc>
          <w:tcPr>
            <w:tcW w:w="9850" w:type="dxa"/>
            <w:tcBorders>
              <w:bottom w:val="single" w:sz="2" w:space="0" w:color="auto"/>
            </w:tcBorders>
            <w:shd w:val="clear" w:color="auto" w:fill="auto"/>
          </w:tcPr>
          <w:p w14:paraId="2FD0FB5B" w14:textId="77777777" w:rsidR="00BD416B" w:rsidRPr="007E7BCC" w:rsidRDefault="00BD416B" w:rsidP="006A05D6">
            <w:pPr>
              <w:pStyle w:val="SingleTxt"/>
            </w:pPr>
          </w:p>
        </w:tc>
      </w:tr>
    </w:tbl>
    <w:p w14:paraId="544881A3" w14:textId="77777777" w:rsidR="00BD416B" w:rsidRPr="007E7BCC" w:rsidRDefault="00BD416B">
      <w:pPr>
        <w:suppressAutoHyphens w:val="0"/>
        <w:kinsoku/>
        <w:overflowPunct/>
        <w:autoSpaceDE/>
        <w:autoSpaceDN/>
        <w:adjustRightInd/>
        <w:snapToGrid/>
        <w:spacing w:after="200" w:line="276" w:lineRule="auto"/>
        <w:rPr>
          <w:b/>
          <w:bCs/>
          <w:sz w:val="28"/>
        </w:rPr>
      </w:pPr>
      <w:r w:rsidRPr="007E7BCC">
        <w:rPr>
          <w:bCs/>
        </w:rPr>
        <w:br w:type="page"/>
      </w:r>
    </w:p>
    <w:p w14:paraId="58FD2639" w14:textId="62F1C7F2" w:rsidR="00BD416B" w:rsidRPr="007E7BCC" w:rsidRDefault="00BD416B" w:rsidP="00D67C99">
      <w:pPr>
        <w:pStyle w:val="HChG"/>
        <w:numPr>
          <w:ilvl w:val="0"/>
          <w:numId w:val="9"/>
        </w:numPr>
        <w:rPr>
          <w:w w:val="103"/>
        </w:rPr>
      </w:pPr>
      <w:r w:rsidRPr="007E7BCC">
        <w:rPr>
          <w:w w:val="103"/>
        </w:rPr>
        <w:lastRenderedPageBreak/>
        <w:t>Introduction</w:t>
      </w:r>
    </w:p>
    <w:p w14:paraId="02B03758" w14:textId="77777777" w:rsidR="00BD416B" w:rsidRPr="007E7BCC" w:rsidRDefault="00BD416B" w:rsidP="00D67C99">
      <w:pPr>
        <w:pStyle w:val="SingleTxt"/>
        <w:numPr>
          <w:ilvl w:val="0"/>
          <w:numId w:val="8"/>
        </w:numPr>
        <w:ind w:left="1134" w:right="1134" w:firstLine="0"/>
      </w:pPr>
      <w:r w:rsidRPr="007E7BCC">
        <w:t xml:space="preserve">The mandate of the Special Rapporteur on torture and other cruel, inhuman or degrading treatment or punishment was established by the Human Rights Commission in its resolution 1985/33 and extended without interruption by the Human Rights Council until its most recent resolution 43/20. </w:t>
      </w:r>
    </w:p>
    <w:p w14:paraId="3D47EE41" w14:textId="77777777" w:rsidR="00BD416B" w:rsidRPr="007E7BCC" w:rsidRDefault="00BD416B" w:rsidP="00D67C99">
      <w:pPr>
        <w:pStyle w:val="SingleTxt"/>
        <w:numPr>
          <w:ilvl w:val="0"/>
          <w:numId w:val="8"/>
        </w:numPr>
        <w:ind w:left="1134" w:right="1134" w:firstLine="0"/>
      </w:pPr>
      <w:r w:rsidRPr="007E7BCC">
        <w:t>In July 2022, the Human Rights Council appointed Alice Jill Edwards from Australia as the Special Rapporteur; she began her tenure on 1 August 2022. The Special Rapporteur gratefully acknowledges the trust that has been placed in her appointment by the Council.</w:t>
      </w:r>
    </w:p>
    <w:p w14:paraId="0B8C11CE" w14:textId="77777777" w:rsidR="00BD416B" w:rsidRPr="007E7BCC" w:rsidRDefault="00BD416B" w:rsidP="00D67C99">
      <w:pPr>
        <w:pStyle w:val="SingleTxt"/>
        <w:numPr>
          <w:ilvl w:val="0"/>
          <w:numId w:val="8"/>
        </w:numPr>
        <w:ind w:left="1134" w:right="1134" w:firstLine="0"/>
      </w:pPr>
      <w:r w:rsidRPr="007E7BCC">
        <w:t xml:space="preserve">The Rapporteur is the first woman appointed to the position after thirty-seven years of the mandate. This appointment carries symbolic and substantive significance. Symbolically, the appointment sends a positive signal to women everywhere that they can lead at the highest levels and in  areas traditionally dominated by men, such as those covered by the mandate including diplomacy, the military, security, police and law enforcement, and prison services. Substantively, women and girls make up half of the world’s population and have an equal right to live their lives free from torture and other cruel, inhuman or degrading treatment or punishment. The Special Rapporteur has been working for the human rights of women and girls and for a world without discrimination for over twenty-five years and will bring this expertise and experience to bear on her programme of work.    </w:t>
      </w:r>
    </w:p>
    <w:p w14:paraId="1793BC51" w14:textId="77777777" w:rsidR="00BD416B" w:rsidRPr="007E7BCC" w:rsidRDefault="00BD416B" w:rsidP="00D67C99">
      <w:pPr>
        <w:pStyle w:val="SingleTxt"/>
        <w:numPr>
          <w:ilvl w:val="0"/>
          <w:numId w:val="8"/>
        </w:numPr>
        <w:ind w:left="1134" w:right="1134" w:firstLine="0"/>
      </w:pPr>
      <w:r w:rsidRPr="007E7BCC">
        <w:t>The present report contains the Special Rapporteur’s vision and approach to the mandate, announces the topics for her first thematic reports, and summarises the international legal framework pertaining to torture and other cruel, inhuman or degrading treatment or punishment. She will report on her activities to the 52</w:t>
      </w:r>
      <w:r w:rsidRPr="007E7BCC">
        <w:rPr>
          <w:vertAlign w:val="superscript"/>
        </w:rPr>
        <w:t>nd</w:t>
      </w:r>
      <w:r w:rsidRPr="007E7BCC">
        <w:t xml:space="preserve"> session of the Human Rights Council.</w:t>
      </w:r>
    </w:p>
    <w:p w14:paraId="19AC36E9" w14:textId="77777777" w:rsidR="00BD416B" w:rsidRPr="007E7BCC" w:rsidRDefault="00BD416B" w:rsidP="00D67C99">
      <w:pPr>
        <w:pStyle w:val="SingleTxt"/>
        <w:numPr>
          <w:ilvl w:val="0"/>
          <w:numId w:val="8"/>
        </w:numPr>
        <w:ind w:left="1134" w:right="1134" w:firstLine="0"/>
      </w:pPr>
      <w:r w:rsidRPr="007E7BCC">
        <w:t>The Special Rapporteur wishes to express her deep appreciation and respect for the six previous mandate-holders for their noteworthy contributions to the mandate, each of whom has strengthened applicable international standards and the global commitment to the absolute prohibition of torture and other forms of ill-treatment or -punishment.</w:t>
      </w:r>
    </w:p>
    <w:p w14:paraId="7EC3470E" w14:textId="77777777" w:rsidR="00BD416B" w:rsidRPr="007E7BCC" w:rsidRDefault="00BD416B" w:rsidP="00086437">
      <w:pPr>
        <w:pStyle w:val="HChG"/>
        <w:rPr>
          <w:w w:val="103"/>
        </w:rPr>
      </w:pPr>
      <w:r w:rsidRPr="007E7BCC">
        <w:rPr>
          <w:w w:val="103"/>
        </w:rPr>
        <w:tab/>
        <w:t>II.</w:t>
      </w:r>
      <w:r w:rsidRPr="007E7BCC">
        <w:rPr>
          <w:w w:val="103"/>
        </w:rPr>
        <w:tab/>
        <w:t xml:space="preserve">Understanding torture: Causes, consequences and context </w:t>
      </w:r>
    </w:p>
    <w:p w14:paraId="2489F00E" w14:textId="77777777" w:rsidR="00BD416B" w:rsidRPr="007E7BCC" w:rsidRDefault="00BD416B" w:rsidP="00D67C99">
      <w:pPr>
        <w:pStyle w:val="SingleTxt"/>
        <w:numPr>
          <w:ilvl w:val="0"/>
          <w:numId w:val="8"/>
        </w:numPr>
        <w:ind w:left="1134" w:right="1134" w:firstLine="0"/>
      </w:pPr>
      <w:r w:rsidRPr="007E7BCC">
        <w:t xml:space="preserve">The prohibition of torture is one of the greatest social contracts of humanity. The prohibition underpins who we are as human beings, expressing our shared, universal aspiration to live in societies free of fear, discrimination, intimidation and oppression. The absolute prohibition against torture and other cruel, inhuman or degrading treatment or punishment, as found in article 5 of the Universal Declaration of Human Rights of 1948 and many international treaties, is absolute and sacrosanct, yet it is a fragile right, constantly being tested, resurrected and at times, tolerated or excused. It is our individual and collective responsibility to preserve it; as without it, there is only darkness and despair. </w:t>
      </w:r>
    </w:p>
    <w:p w14:paraId="5ACB0840" w14:textId="77777777" w:rsidR="00BD416B" w:rsidRPr="007E7BCC" w:rsidRDefault="00BD416B" w:rsidP="00D67C99">
      <w:pPr>
        <w:pStyle w:val="SingleTxt"/>
        <w:numPr>
          <w:ilvl w:val="0"/>
          <w:numId w:val="8"/>
        </w:numPr>
        <w:ind w:left="1134" w:right="1134" w:firstLine="0"/>
      </w:pPr>
      <w:r w:rsidRPr="007E7BCC">
        <w:t xml:space="preserve">Possessing power carries great responsibility. The act of torture is the ultimate betrayal of a state’s pact with its citizens to govern in their interests, in respect for their human rights, and within constitutionally set limits on governmental authority. Even a singular incident of torture or inhuman treatment can send ripple effects through society and community, instilling fear and suspicion. More broadly, the regular and unaddressed threat or actual use of such violence weakens a country’s own short- and long-term political and economic stability and can spill over to its neighbours, creating fragile neighbourhoods. Long-term wounds from torture – often embedded in discrimination and prejudice – are hard to repair and we have seen how they are easy triggers for hatred against ‘the other’, provoked for ugly purposes, including insurrection, coups d’état, election violence, authoritarian rule, occupation, and outright war. Torture is a threat to international peace and security. Confident human rights-promoting states neither employ nor tolerate torture; and if incidents do </w:t>
      </w:r>
      <w:r w:rsidRPr="007E7BCC">
        <w:lastRenderedPageBreak/>
        <w:t xml:space="preserve">occur, they root them out quickly and investigate, prosecute and punish those responsible. Victims are compensated and rehabilitated.  </w:t>
      </w:r>
    </w:p>
    <w:p w14:paraId="3A085DCF" w14:textId="77777777" w:rsidR="00BD416B" w:rsidRPr="007E7BCC" w:rsidRDefault="00BD416B" w:rsidP="00D67C99">
      <w:pPr>
        <w:pStyle w:val="SingleTxt"/>
        <w:numPr>
          <w:ilvl w:val="0"/>
          <w:numId w:val="8"/>
        </w:numPr>
        <w:ind w:left="1134" w:right="1134" w:firstLine="0"/>
      </w:pPr>
      <w:r w:rsidRPr="007E7BCC">
        <w:t>Torture is cruelty, plain and simple. It is inherently inhumane and degrades in effect or purpose the victim. The impact of torture can be physical, psychological, social, functional and existential.</w:t>
      </w:r>
      <w:r w:rsidRPr="007E7BCC">
        <w:rPr>
          <w:vertAlign w:val="superscript"/>
        </w:rPr>
        <w:footnoteReference w:id="4"/>
      </w:r>
      <w:r w:rsidRPr="007E7BCC">
        <w:t xml:space="preserve"> Physical forms of torture often cause psychological trauma, while psychological torture can result in short and long-term physiological symptoms and illnesses</w:t>
      </w:r>
      <w:r w:rsidRPr="007E7BCC">
        <w:rPr>
          <w:vertAlign w:val="superscript"/>
        </w:rPr>
        <w:footnoteReference w:id="5"/>
      </w:r>
      <w:r w:rsidRPr="007E7BCC">
        <w:t xml:space="preserve">; the relationship is non-linear, life-altering and inter-generational. For families and wider communities too, and for countries, it can disrupt social norms and community coherence. Such trust is not easily restored. </w:t>
      </w:r>
    </w:p>
    <w:p w14:paraId="6E03B0E1" w14:textId="77777777" w:rsidR="00BD416B" w:rsidRPr="007E7BCC" w:rsidRDefault="00BD416B" w:rsidP="00D67C99">
      <w:pPr>
        <w:pStyle w:val="SingleTxt"/>
        <w:numPr>
          <w:ilvl w:val="0"/>
          <w:numId w:val="8"/>
        </w:numPr>
        <w:ind w:left="1134" w:right="1134" w:firstLine="0"/>
      </w:pPr>
      <w:r w:rsidRPr="007E7BCC">
        <w:t>While there continue to be many sensational or extreme forms of torture that rightly provoke our collective disgust and moral judgment, the majority of incidents that fall within the class of prohibited conduct are ‘everyday’ or routine forms of inhuman or degrading treatment, perpetrated against persons deprived of their liberty or who come into contact with the law, often committed by officers who are poorly trained, under-prepared, and prejudiced, and who are emboldened  to act owing to a lack of disciplinary consequences and impunity. Such abuse and misconduct by a public authority can be a telltale sign of other insipid problems of a society. We ignore perceived ‘minor’ assaults at our peril.</w:t>
      </w:r>
    </w:p>
    <w:p w14:paraId="1EA58A0C" w14:textId="77777777" w:rsidR="00BD416B" w:rsidRPr="007E7BCC" w:rsidRDefault="00BD416B" w:rsidP="00D67C99">
      <w:pPr>
        <w:pStyle w:val="SingleTxt"/>
        <w:numPr>
          <w:ilvl w:val="0"/>
          <w:numId w:val="8"/>
        </w:numPr>
        <w:ind w:left="1134" w:right="1134" w:firstLine="0"/>
      </w:pPr>
      <w:r w:rsidRPr="007E7BCC">
        <w:t>The struggle to eradicate torture and ill-treatment is very real. Many of today’s conflicts are characterised by widespread and unconstrained torture and other similar war crimes perpetrated as deliberate military strategies or by delinquent or opportunistic soldiers, paramilitaries, militias, mercenaries, and criminals. We continue to witness heavy-handedness, racism and discrimination by police and law enforcement</w:t>
      </w:r>
      <w:r w:rsidRPr="007E7BCC">
        <w:rPr>
          <w:vertAlign w:val="superscript"/>
        </w:rPr>
        <w:footnoteReference w:id="6"/>
      </w:r>
      <w:r w:rsidRPr="007E7BCC">
        <w:t xml:space="preserve"> in many settings (</w:t>
      </w:r>
      <w:hyperlink r:id="rId12" w:history="1">
        <w:r w:rsidRPr="007E7BCC">
          <w:rPr>
            <w:rStyle w:val="Hyperlink"/>
          </w:rPr>
          <w:t>A/HRC/47/53</w:t>
        </w:r>
      </w:hyperlink>
      <w:r w:rsidRPr="007E7BCC">
        <w:t>). The revival and extension of torture and other inhumane practices in the name of counter-terrorism and fighting extremism undermine basic principles of humanity. In some countries, prisons are so overcrowded – and conditions so poor – that the whole system is on the verge of collapsing. Psychiatric hospitals, healthcare settings, and homes for orphans, juveniles, persons with disabilities  and the elderly are prone to terrifying abuse and neglect, compounded by the residents’ acute vulnerability and powerlessness (</w:t>
      </w:r>
      <w:hyperlink r:id="rId13" w:history="1">
        <w:r w:rsidRPr="007E7BCC">
          <w:rPr>
            <w:rStyle w:val="Hyperlink"/>
          </w:rPr>
          <w:t>A/HRC/22/53</w:t>
        </w:r>
      </w:hyperlink>
      <w:r w:rsidRPr="007E7BCC">
        <w:t>). The distressing risks, violence and exploitation facing refugees and migrants are unresolved, and potentially worsening (</w:t>
      </w:r>
      <w:hyperlink r:id="rId14" w:history="1">
        <w:r w:rsidRPr="007E7BCC">
          <w:rPr>
            <w:rStyle w:val="Hyperlink"/>
          </w:rPr>
          <w:t>A/HRC/37/50</w:t>
        </w:r>
      </w:hyperlink>
      <w:r w:rsidRPr="007E7BCC">
        <w:t xml:space="preserve">); while the lack of legal recognition and nationality of stateless persons – and the consequent deprivation of rights – is tantamount to inhuman and degrading treatment. The global campaign to end violence against women and girls, as well as against lesbian, gay, bisexual, transgender and intersex persons, often rooted in discriminatory laws, policies and practices, has gained impressive momentum yet is far from attaining its goal that all persons can live their lives freely and peacefully, in their own way and able to take their own decisions, without risking private or public forms of harassment, abuse or torture. </w:t>
      </w:r>
    </w:p>
    <w:p w14:paraId="4FADADD3" w14:textId="77777777" w:rsidR="00BD416B" w:rsidRPr="007E7BCC" w:rsidRDefault="00BD416B" w:rsidP="00D67C99">
      <w:pPr>
        <w:pStyle w:val="SingleTxt"/>
        <w:numPr>
          <w:ilvl w:val="0"/>
          <w:numId w:val="8"/>
        </w:numPr>
        <w:ind w:left="1134" w:right="1134" w:firstLine="0"/>
      </w:pPr>
      <w:r w:rsidRPr="007E7BCC">
        <w:t xml:space="preserve">Risks of abuse and torture are inextricably interlinked with the enjoyment and exercise of other human rights, such as those of freedom of expression and assembly, liberty and security of person, fair trial, and the prohibition on discrimination in all its forms. Justice, reconciliation and the rule of law cannot exist alongside impunity for </w:t>
      </w:r>
      <w:r w:rsidRPr="007E7BCC">
        <w:lastRenderedPageBreak/>
        <w:t>torture and other similar treatment or punishment. Sustainable Development Goal 16, which compels governments to create transparent and inclusive societies where justice is available to all, is especially relevant to eradicating a number of underlying causes of torture and other ill-treatment. Moreover, economic disadvantage and poverty, which lie at the heart of the 2030 Agenda for Sustainable Development, and which are compounded by other such factors as gender and/or ethnicity, also interface with a heightened risk of being subjected to torture or other misconduct and thus need to be addressed in national development and human rights strategies and plans. Lack of equality, recognition, participation, and access to resources are underlying risk factors facing persons living on the margins of society.</w:t>
      </w:r>
      <w:r w:rsidRPr="007E7BCC" w:rsidDel="00B96862">
        <w:rPr>
          <w:vertAlign w:val="superscript"/>
        </w:rPr>
        <w:footnoteReference w:id="7"/>
      </w:r>
      <w:r w:rsidRPr="007E7BCC">
        <w:t xml:space="preserve"> Relatedly, we must stay attuned to the impacts of climate change, as well as the design and implementation of mitigation and adaptation measures, so that all affected persons are treated humanely and with dignity.     </w:t>
      </w:r>
    </w:p>
    <w:p w14:paraId="54F24BB9" w14:textId="316330E9" w:rsidR="00BD416B" w:rsidRPr="007E7BCC" w:rsidRDefault="00BD416B" w:rsidP="00D67C99">
      <w:pPr>
        <w:pStyle w:val="SingleTxt"/>
        <w:numPr>
          <w:ilvl w:val="0"/>
          <w:numId w:val="8"/>
        </w:numPr>
        <w:ind w:left="1134" w:right="1134" w:firstLine="0"/>
      </w:pPr>
      <w:r w:rsidRPr="007E7BCC">
        <w:t>At the same time, there has been marked progress in many countries. Every country in the world is party to at least one of the binding international treaties that prohibits torture and other ill-treatment (see Part IV). Almost every regional grouping has additionally outlawed torture and other ill-treatment, and regional courts have developed a robust set of jurisprudence reinforcing guiding principles. Many countries and communities recovering from sustained periods of oppressive control have committed to never return to those dark days. Reconciliation and reparations processes have given voice to victims and survivors to tell their stories, as well as to have a say in the future design and governance of their communities. Torture-specific rehabilitation services, while far from sufficient to meet demand, are these days available in all corners of the globe, driven by the irreplaceable work being undertaken by civil society and private practitioners. Today there are more avenues than ever before for victims to obtain a remedy thanks to the growth in national human rights institutions and courts, the emergence and entrenchment of international criminal law, and the deployment of the concept of universal jurisdiction, though far more action is required.</w:t>
      </w:r>
      <w:r w:rsidR="001E41FD" w:rsidRPr="007E7BCC">
        <w:t xml:space="preserve"> </w:t>
      </w:r>
      <w:r w:rsidRPr="007E7BCC">
        <w:t>The adoption and training on the standard-setting Istanbul Protocol</w:t>
      </w:r>
      <w:r w:rsidRPr="007E7BCC">
        <w:rPr>
          <w:vertAlign w:val="superscript"/>
        </w:rPr>
        <w:footnoteReference w:id="8"/>
      </w:r>
      <w:r w:rsidRPr="007E7BCC">
        <w:t xml:space="preserve">, which was recently updated, is providing quality forensic reports to assist in the documentation and investigation of torture crimes; and is also relied upon in asylum hearings. Additionally, and too numerous to mention, there are small and bold actions being taken every day by a wide number of countries and their officers – supported by civil society – to enforce a human rights oriented society that is committed to preventing torture in all its forms. While the picture is far from perfect, and at times and in some places it can only be described as bleak, examples of progress provide us with symbols of hope. </w:t>
      </w:r>
    </w:p>
    <w:p w14:paraId="6E4FCA67" w14:textId="77777777" w:rsidR="00BD416B" w:rsidRPr="007E7BCC" w:rsidRDefault="00BD416B" w:rsidP="00D67C99">
      <w:pPr>
        <w:pStyle w:val="SingleTxt"/>
        <w:numPr>
          <w:ilvl w:val="0"/>
          <w:numId w:val="8"/>
        </w:numPr>
        <w:ind w:left="1134" w:right="1134" w:firstLine="0"/>
      </w:pPr>
      <w:r w:rsidRPr="007E7BCC">
        <w:t>Decades of research and practice catalogue that some of the best means of preventing torture and inhuman treatment include: enacting clear laws and regulations (</w:t>
      </w:r>
      <w:hyperlink r:id="rId15" w:history="1">
        <w:r w:rsidRPr="007E7BCC">
          <w:rPr>
            <w:rStyle w:val="Hyperlink"/>
          </w:rPr>
          <w:t>A/65/273</w:t>
        </w:r>
      </w:hyperlink>
      <w:r w:rsidRPr="007E7BCC">
        <w:t xml:space="preserve">, paras. 42-52; </w:t>
      </w:r>
      <w:hyperlink r:id="rId16" w:history="1">
        <w:r w:rsidRPr="007E7BCC">
          <w:rPr>
            <w:rStyle w:val="Hyperlink"/>
          </w:rPr>
          <w:t>A/76/168</w:t>
        </w:r>
      </w:hyperlink>
      <w:r w:rsidRPr="007E7BCC">
        <w:t>); actively enforcing legal and procedural safeguards and adopting non-coercive interviewing methods and techniques (</w:t>
      </w:r>
      <w:hyperlink r:id="rId17" w:history="1">
        <w:r w:rsidRPr="007E7BCC">
          <w:rPr>
            <w:rStyle w:val="Hyperlink"/>
          </w:rPr>
          <w:t>A/71/298</w:t>
        </w:r>
      </w:hyperlink>
      <w:r w:rsidRPr="007E7BCC">
        <w:t xml:space="preserve">; </w:t>
      </w:r>
      <w:hyperlink r:id="rId18" w:history="1">
        <w:r w:rsidRPr="007E7BCC">
          <w:rPr>
            <w:rStyle w:val="Hyperlink"/>
          </w:rPr>
          <w:t>A/68/295</w:t>
        </w:r>
      </w:hyperlink>
      <w:r w:rsidRPr="007E7BCC">
        <w:t>); investing in modern and human rights-infused training and education; open, transparent and non-discriminatory recruitment and promotions criteria and processes (</w:t>
      </w:r>
      <w:hyperlink r:id="rId19" w:history="1">
        <w:r w:rsidRPr="007E7BCC">
          <w:rPr>
            <w:rStyle w:val="Hyperlink"/>
          </w:rPr>
          <w:t>A/HRC/46/L.27</w:t>
        </w:r>
      </w:hyperlink>
      <w:r w:rsidRPr="007E7BCC">
        <w:t xml:space="preserve">); rigorous disciplinary codes; oversight by independent, arms-length and fully funded visiting and monitoring entities (as envisaged in the Optional Protocol to the Convention against Torture (OPCAT); </w:t>
      </w:r>
      <w:hyperlink r:id="rId20" w:history="1">
        <w:r w:rsidRPr="007E7BCC">
          <w:rPr>
            <w:rStyle w:val="Hyperlink"/>
          </w:rPr>
          <w:t>A/61/259</w:t>
        </w:r>
      </w:hyperlink>
      <w:r w:rsidRPr="007E7BCC">
        <w:t>); safe complaints procedures and victim and witness protection; independent and impartial rights-based investigations, backed up by independent prosecutors and judges (</w:t>
      </w:r>
      <w:hyperlink r:id="rId21" w:history="1">
        <w:r w:rsidRPr="007E7BCC">
          <w:rPr>
            <w:rStyle w:val="Hyperlink"/>
          </w:rPr>
          <w:t>A/76/168</w:t>
        </w:r>
      </w:hyperlink>
      <w:r w:rsidRPr="007E7BCC">
        <w:t>); and clear rules that exclude from proceedings any evidence obtained by torture (</w:t>
      </w:r>
      <w:hyperlink r:id="rId22" w:history="1">
        <w:r w:rsidRPr="007E7BCC">
          <w:rPr>
            <w:rStyle w:val="Hyperlink"/>
          </w:rPr>
          <w:t>A/61/259</w:t>
        </w:r>
      </w:hyperlink>
      <w:r w:rsidRPr="007E7BCC">
        <w:t xml:space="preserve">, paras. 44-48). Political, executive and military </w:t>
      </w:r>
      <w:r w:rsidRPr="007E7BCC">
        <w:lastRenderedPageBreak/>
        <w:t>leadership are key to breaking cycles of entrenched, recurring or institutionalised abuse and impunity. Ministerial and parliamentary</w:t>
      </w:r>
      <w:r w:rsidRPr="007E7BCC">
        <w:rPr>
          <w:vertAlign w:val="superscript"/>
        </w:rPr>
        <w:footnoteReference w:id="9"/>
      </w:r>
      <w:r w:rsidRPr="007E7BCC">
        <w:t xml:space="preserve"> responsibility, engagement and oversight are further pre-requisites for a torture-proof society. </w:t>
      </w:r>
    </w:p>
    <w:p w14:paraId="0614B53A" w14:textId="2F699229" w:rsidR="00BD416B" w:rsidRPr="007E7BCC" w:rsidRDefault="00BD416B" w:rsidP="00D67C99">
      <w:pPr>
        <w:pStyle w:val="SingleTxt"/>
        <w:numPr>
          <w:ilvl w:val="0"/>
          <w:numId w:val="8"/>
        </w:numPr>
        <w:ind w:left="1134" w:right="1134" w:firstLine="0"/>
      </w:pPr>
      <w:r w:rsidRPr="007E7BCC">
        <w:t xml:space="preserve">The extent to which governments cover up, explain away or justify acts of torture, including through elaborate or obtuse legal arguments, tell us that it is a deeply shameful practice, not endorsed by any constitution or religion. Torture and related ill-treatment have no place in our contemporary world and should be relics of the past relegated to museums of medieval and colonial periods. If left unchecked, excused or unaddressed, the perpetration or tolerance of torture and ill-treatment can lead to reputational damage, disruption of trade and tourism, and loss of international standing. Trying to recover one’s place among law-abiding nations after endemic or systemic torture is fraught with </w:t>
      </w:r>
      <w:r w:rsidR="001E41FD" w:rsidRPr="007E7BCC">
        <w:t>scepticism</w:t>
      </w:r>
      <w:r w:rsidRPr="007E7BCC">
        <w:t>, suspicion and scrutiny.</w:t>
      </w:r>
    </w:p>
    <w:p w14:paraId="63792372" w14:textId="77777777" w:rsidR="00BD416B" w:rsidRPr="007E7BCC" w:rsidRDefault="00BD416B" w:rsidP="00D67C99">
      <w:pPr>
        <w:pStyle w:val="SingleTxt"/>
        <w:numPr>
          <w:ilvl w:val="0"/>
          <w:numId w:val="8"/>
        </w:numPr>
        <w:ind w:left="1134" w:right="1134" w:firstLine="0"/>
      </w:pPr>
      <w:r w:rsidRPr="007E7BCC">
        <w:t xml:space="preserve">Despite progress in many domains and in many countries, torture and other ill-treatment and -punishment are widely practiced. Taking action to address torture and ill-treatment ranked in the top five recommendations in the first three cycles of the Universal Periodic Review, a salient reminder that there is much work still to be done. It is our individual and joint responsibility to invest in that work. Acknowledging that no state has a perfect record would be a welcome breakthrough and would allow authorities and the public to remedy and heal from past abuses, take steps to prevent recurrence, and move forward guided by human rights. </w:t>
      </w:r>
    </w:p>
    <w:p w14:paraId="3951C127" w14:textId="77777777" w:rsidR="00BD416B" w:rsidRPr="007E7BCC" w:rsidRDefault="00BD416B" w:rsidP="00086437">
      <w:pPr>
        <w:pStyle w:val="HChG"/>
        <w:rPr>
          <w:w w:val="103"/>
        </w:rPr>
      </w:pPr>
      <w:r w:rsidRPr="007E7BCC">
        <w:rPr>
          <w:bCs/>
          <w:w w:val="103"/>
        </w:rPr>
        <w:tab/>
        <w:t>III</w:t>
      </w:r>
      <w:r w:rsidRPr="007E7BCC">
        <w:rPr>
          <w:w w:val="103"/>
        </w:rPr>
        <w:t>.</w:t>
      </w:r>
      <w:r w:rsidRPr="007E7BCC">
        <w:rPr>
          <w:w w:val="103"/>
        </w:rPr>
        <w:tab/>
        <w:t xml:space="preserve">The Special Rapporteur’s vision, approach and priorities </w:t>
      </w:r>
    </w:p>
    <w:p w14:paraId="106BCEDC" w14:textId="77777777" w:rsidR="00BD416B" w:rsidRPr="007E7BCC" w:rsidRDefault="00BD416B" w:rsidP="00D67C99">
      <w:pPr>
        <w:pStyle w:val="SingleTxt"/>
        <w:numPr>
          <w:ilvl w:val="0"/>
          <w:numId w:val="8"/>
        </w:numPr>
        <w:ind w:left="1134" w:right="1134" w:firstLine="0"/>
      </w:pPr>
      <w:r w:rsidRPr="007E7BCC">
        <w:t xml:space="preserve">The Special Rapporteur will capitalize on the benefits of cooperation and constructive conversation, and intends to share concrete and pragmatic advice in line with international law and best practice. She will place a heavy emphasis on leadership and ownership by relevant authorities. The key to sustained and long-term change is in the hands of leaders at all levels, who need to be involved in identifying the problem and being part of the solution.  Without ownership and involvement, there is no impact. Credit will be given to progress made and reparations granted. </w:t>
      </w:r>
    </w:p>
    <w:p w14:paraId="12EB91A9" w14:textId="77777777" w:rsidR="00BD416B" w:rsidRPr="007E7BCC" w:rsidRDefault="00BD416B" w:rsidP="00D67C99">
      <w:pPr>
        <w:pStyle w:val="SingleTxt"/>
        <w:numPr>
          <w:ilvl w:val="0"/>
          <w:numId w:val="8"/>
        </w:numPr>
        <w:ind w:left="1134" w:right="1134" w:firstLine="0"/>
      </w:pPr>
      <w:r w:rsidRPr="007E7BCC">
        <w:t>The Special Rapporteur will perform her functions in accordance with Human Rights Council resolutions 5/1, on institution-building, and 5/2, on the code of conduct for mandate-holders and the annexes thereto; and resolution 43/20 and later resolutions.</w:t>
      </w:r>
    </w:p>
    <w:p w14:paraId="723FBBA9" w14:textId="4CCA6D5C" w:rsidR="00BD416B" w:rsidRPr="007E7BCC" w:rsidRDefault="00BD416B" w:rsidP="00D67C99">
      <w:pPr>
        <w:pStyle w:val="SingleTxt"/>
        <w:numPr>
          <w:ilvl w:val="0"/>
          <w:numId w:val="8"/>
        </w:numPr>
        <w:ind w:left="1134" w:right="1134" w:firstLine="0"/>
      </w:pPr>
      <w:r w:rsidRPr="007E7BCC">
        <w:t xml:space="preserve">The Special Rapporteur, in line with resolution 43/20, will put the rights of victims and survivors, as well as their families, </w:t>
      </w:r>
      <w:r w:rsidR="007E7BCC" w:rsidRPr="007E7BCC">
        <w:t>centre</w:t>
      </w:r>
      <w:r w:rsidRPr="007E7BCC">
        <w:t>-stage, including their right to speak and to be heard, to participate in decisions affecting them, to rehabilitation, and to a remedy. She will inte</w:t>
      </w:r>
      <w:r w:rsidR="007E7BCC" w:rsidRPr="007E7BCC">
        <w:t xml:space="preserve">grate a gender perspective and </w:t>
      </w:r>
      <w:r w:rsidRPr="007E7BCC">
        <w:t>apply feminist techniques and methods, the basic premise of which is inclusiveness and equality, which can be helpfully transferable to other minority, marginalized, disadvantaged or under-represented groups. She will work with governments to adopt a whole-of-government approach such that policies, actions and solutions are coordinated and integrated across departments. Her programme of work will tackle root causes and be prevention- and justice-oriented.</w:t>
      </w:r>
    </w:p>
    <w:p w14:paraId="120F363D" w14:textId="3D280484" w:rsidR="00BD416B" w:rsidRPr="007E7BCC" w:rsidRDefault="00BD416B" w:rsidP="00D67C99">
      <w:pPr>
        <w:pStyle w:val="SingleTxt"/>
        <w:numPr>
          <w:ilvl w:val="0"/>
          <w:numId w:val="8"/>
        </w:numPr>
        <w:ind w:left="1134" w:right="1134" w:firstLine="0"/>
      </w:pPr>
      <w:r w:rsidRPr="007E7BCC">
        <w:rPr>
          <w:b/>
          <w:bCs/>
        </w:rPr>
        <w:t xml:space="preserve">Country visits: </w:t>
      </w:r>
      <w:r w:rsidRPr="007E7BCC">
        <w:t>The Special Rapporteur’s country visits w</w:t>
      </w:r>
      <w:r w:rsidR="007E7BCC">
        <w:t xml:space="preserve">ill be made up of constructive </w:t>
      </w:r>
      <w:r w:rsidRPr="007E7BCC">
        <w:t xml:space="preserve">dialogue and will provide an opportunity for states to showcase some of their good laws, practices and innovations where progress has been made, as well as importantly to discuss and inquire into difficult areas where advice and guidance is particularly sought. The goal is to support visited governments to change and adjust their practices, drawing on best international practices and guided by international standards. She expects open and unhindered access to relevant ministries, as well as national human rights institutions, independent investigative bodies, national prevention mechanisms and the like, civil society, the academy, victims and survivors, persons deprived of their liberty and their representatives and advocates. </w:t>
      </w:r>
    </w:p>
    <w:p w14:paraId="6CA06EBD" w14:textId="34BEE6CC" w:rsidR="00BD416B" w:rsidRPr="007E7BCC" w:rsidRDefault="00BD416B" w:rsidP="00D67C99">
      <w:pPr>
        <w:pStyle w:val="SingleTxt"/>
        <w:numPr>
          <w:ilvl w:val="0"/>
          <w:numId w:val="8"/>
        </w:numPr>
        <w:ind w:left="1134" w:right="1134" w:firstLine="0"/>
      </w:pPr>
      <w:r w:rsidRPr="007E7BCC">
        <w:rPr>
          <w:b/>
          <w:bCs/>
        </w:rPr>
        <w:t xml:space="preserve">Communications: </w:t>
      </w:r>
      <w:r w:rsidRPr="007E7BCC">
        <w:t>The Special Rapporteur requests the cooperation of states with her mandate in responding in a timely manner to urgent appeals and other allegations of torture or ill-treatment.</w:t>
      </w:r>
      <w:r w:rsidRPr="007E7BCC">
        <w:rPr>
          <w:vertAlign w:val="superscript"/>
        </w:rPr>
        <w:footnoteReference w:id="10"/>
      </w:r>
      <w:r w:rsidRPr="007E7BCC">
        <w:t xml:space="preserve"> Given the large demand for action by alleged victims and the associated heavy workload, there is a consequent need for streamlining and prioritizing. Although the Special Rapporteur is not a responder of last resort, as neither domestic nor international avenues of redress need to have been exhausted prior to seeking support from the mandate, she has a preference for following up on emblematic urgent actions or allegations that can support, encourage or </w:t>
      </w:r>
      <w:r w:rsidR="007E7BCC" w:rsidRPr="007E7BCC">
        <w:t>catalyse</w:t>
      </w:r>
      <w:r w:rsidRPr="007E7BCC">
        <w:t xml:space="preserve"> institutional or structural changes, so that all victims as well as society as a whole can benefit from her interventions. In this respect, emblematic cases are those that form part of a pattern, trend or system-wide challenge. Such communications do not need to be the most extreme cases, but can entail evidence of everyday patterns of common abuse or deprivation that need remedying and would benefit from the Special Rapporteur’s intervention. </w:t>
      </w:r>
    </w:p>
    <w:p w14:paraId="61C54BC8" w14:textId="361DBE23" w:rsidR="00BD416B" w:rsidRPr="007E7BCC" w:rsidRDefault="00BD416B" w:rsidP="00D67C99">
      <w:pPr>
        <w:pStyle w:val="SingleTxt"/>
        <w:numPr>
          <w:ilvl w:val="0"/>
          <w:numId w:val="8"/>
        </w:numPr>
        <w:ind w:left="1134" w:right="1134" w:firstLine="0"/>
      </w:pPr>
      <w:r w:rsidRPr="007E7BCC">
        <w:rPr>
          <w:b/>
          <w:bCs/>
        </w:rPr>
        <w:t xml:space="preserve">Reports: </w:t>
      </w:r>
      <w:r w:rsidRPr="007E7BCC">
        <w:t xml:space="preserve">The Special Rapporteur’s reports will bring into sharp focus issues of the day and of the future and will be oriented to showcasing good practices in order to share and learn from other’s experiences, enriching our international brain trust of solutions, while also recapping and raising the alarm on negative practices and trends. Reports and recommendations </w:t>
      </w:r>
      <w:r w:rsidR="007E7BCC">
        <w:t xml:space="preserve">will be accessible, practical, </w:t>
      </w:r>
      <w:r w:rsidRPr="007E7BCC">
        <w:t>and implementable, with the hope that her reports (or parts therein) will be transmitted directly to frontline ministries and functionaries. The Special Rapporteur’s next two reports</w:t>
      </w:r>
      <w:r w:rsidRPr="007E7BCC">
        <w:rPr>
          <w:vertAlign w:val="superscript"/>
        </w:rPr>
        <w:footnoteReference w:id="11"/>
      </w:r>
      <w:r w:rsidRPr="007E7BCC">
        <w:t xml:space="preserve"> will focus on: </w:t>
      </w:r>
    </w:p>
    <w:p w14:paraId="68F93310" w14:textId="77777777" w:rsidR="00BD416B" w:rsidRPr="007E7BCC" w:rsidRDefault="00BD416B" w:rsidP="00086437">
      <w:pPr>
        <w:pStyle w:val="Bullet1G"/>
        <w:rPr>
          <w:w w:val="103"/>
        </w:rPr>
      </w:pPr>
      <w:r w:rsidRPr="007E7BCC">
        <w:rPr>
          <w:w w:val="103"/>
        </w:rPr>
        <w:t>Good practices in national criminalization, investigation, prosecution and sentencing for offenses of torture, and remedies for victims, covering both common criminal and military contexts;</w:t>
      </w:r>
    </w:p>
    <w:p w14:paraId="3B28CCDF" w14:textId="77777777" w:rsidR="00BD416B" w:rsidRPr="007E7BCC" w:rsidRDefault="00BD416B" w:rsidP="00086437">
      <w:pPr>
        <w:pStyle w:val="Bullet1G"/>
        <w:rPr>
          <w:spacing w:val="4"/>
          <w:w w:val="103"/>
          <w:kern w:val="14"/>
        </w:rPr>
      </w:pPr>
      <w:r w:rsidRPr="007E7BCC">
        <w:rPr>
          <w:spacing w:val="4"/>
          <w:w w:val="103"/>
          <w:kern w:val="14"/>
        </w:rPr>
        <w:t xml:space="preserve">Good </w:t>
      </w:r>
      <w:r w:rsidRPr="007E7BCC">
        <w:rPr>
          <w:w w:val="103"/>
        </w:rPr>
        <w:t>practices</w:t>
      </w:r>
      <w:r w:rsidRPr="007E7BCC">
        <w:rPr>
          <w:spacing w:val="4"/>
          <w:w w:val="103"/>
          <w:kern w:val="14"/>
        </w:rPr>
        <w:t xml:space="preserve"> in community-oriented, representative and accountable police and other law enforcement. </w:t>
      </w:r>
    </w:p>
    <w:p w14:paraId="27485B9C" w14:textId="77777777" w:rsidR="00BD416B" w:rsidRPr="007E7BCC" w:rsidRDefault="00BD416B" w:rsidP="00D67C99">
      <w:pPr>
        <w:pStyle w:val="SingleTxt"/>
        <w:numPr>
          <w:ilvl w:val="0"/>
          <w:numId w:val="8"/>
        </w:numPr>
        <w:ind w:left="1134" w:right="1134" w:firstLine="0"/>
      </w:pPr>
      <w:r w:rsidRPr="007E7BCC">
        <w:rPr>
          <w:b/>
          <w:bCs/>
        </w:rPr>
        <w:t xml:space="preserve">Technical advice: </w:t>
      </w:r>
      <w:r w:rsidRPr="007E7BCC">
        <w:t>Technical advice will be built on real-life examples and practices, noting that there is no one size fits all, and taking into account differing national constitutional, legal and procedural systems and idiosyncrasies, cultural and political specificities (within limits of international law), localized conditions, and respect for difference and diversity. Her work and recommendations will be guided always by the applicable international legal frameworks, most notably international human rights law, international humanitarian law and international criminal law.</w:t>
      </w:r>
    </w:p>
    <w:p w14:paraId="1DEF25EC" w14:textId="77777777" w:rsidR="00BD416B" w:rsidRPr="007E7BCC" w:rsidRDefault="00BD416B" w:rsidP="00D67C99">
      <w:pPr>
        <w:pStyle w:val="SingleTxt"/>
        <w:numPr>
          <w:ilvl w:val="0"/>
          <w:numId w:val="8"/>
        </w:numPr>
        <w:ind w:left="1134" w:right="1134" w:firstLine="0"/>
      </w:pPr>
      <w:r w:rsidRPr="007E7BCC">
        <w:rPr>
          <w:b/>
          <w:bCs/>
        </w:rPr>
        <w:t xml:space="preserve">Raising awareness: </w:t>
      </w:r>
      <w:r w:rsidRPr="007E7BCC">
        <w:t>An important part of the Special Rapporteur’s focus will be on raising awareness with relevant stakeholders and the general public about their right to be treated humanely in all interactions with the state. She will participate in relevant events, conferences and capacity-building activities with this goal in mind, as well as utilize all forms of media. Reports show that among the general public there has been at times misunderstandings of one’s rights, what torture is and some surveys have even showed a growing tolerance for it.</w:t>
      </w:r>
      <w:r w:rsidRPr="007E7BCC">
        <w:rPr>
          <w:vertAlign w:val="superscript"/>
        </w:rPr>
        <w:footnoteReference w:id="12"/>
      </w:r>
      <w:r w:rsidRPr="007E7BCC">
        <w:t xml:space="preserve"> That complacency needs to be countered. </w:t>
      </w:r>
    </w:p>
    <w:p w14:paraId="7A8E95B0" w14:textId="539DF122" w:rsidR="00BD416B" w:rsidRPr="007E7BCC" w:rsidRDefault="00BD416B" w:rsidP="007E7BCC">
      <w:pPr>
        <w:pStyle w:val="SingleTxt"/>
        <w:numPr>
          <w:ilvl w:val="0"/>
          <w:numId w:val="8"/>
        </w:numPr>
        <w:ind w:left="1134" w:right="1134" w:firstLine="0"/>
      </w:pPr>
      <w:r w:rsidRPr="007E7BCC">
        <w:rPr>
          <w:b/>
          <w:bCs/>
        </w:rPr>
        <w:t xml:space="preserve">Promoting international law: </w:t>
      </w:r>
      <w:r w:rsidRPr="007E7BCC">
        <w:t>The Special Rapporteur will promote the international legal framework and its adoption and implementation at the national level, in all aspects of the Rapporteur’s work. While noting that the Special Rapporteur’s mandate is not bound by a specific treaty and will be exercised globally, she considers that the ratification of the subject-specific treaty, the United Nations Convention against Torture and Other Cruel, Inhuman or Degrading Treatment or Punishment (the Convention against torture, or UNCAT), to be one of the clearest statements of a rejection of torture and a commitment to non-repetition and total eradication. As the 40</w:t>
      </w:r>
      <w:r w:rsidRPr="007E7BCC">
        <w:rPr>
          <w:vertAlign w:val="superscript"/>
        </w:rPr>
        <w:t>th</w:t>
      </w:r>
      <w:r w:rsidRPr="007E7BCC">
        <w:t xml:space="preserve"> anniversary of the Convention falls within the term of her mandate in 2024, the Special Rapporteur looks forward to reinforcing efforts by states, the United Nations, and other organizations, as well as collective projects such as the </w:t>
      </w:r>
      <w:r w:rsidR="007E7BCC">
        <w:t>S</w:t>
      </w:r>
      <w:r w:rsidRPr="007E7BCC">
        <w:t xml:space="preserve">tate-led Convention against Torture Initiative (CTI), to bring about global ratification of the Convention. She will report periodically on progress towards global ratification. </w:t>
      </w:r>
    </w:p>
    <w:p w14:paraId="4B1181AA" w14:textId="77777777" w:rsidR="00BD416B" w:rsidRPr="007E7BCC" w:rsidRDefault="00BD416B" w:rsidP="00D67C99">
      <w:pPr>
        <w:pStyle w:val="SingleTxt"/>
        <w:numPr>
          <w:ilvl w:val="0"/>
          <w:numId w:val="8"/>
        </w:numPr>
        <w:ind w:left="1134" w:right="1134" w:firstLine="0"/>
      </w:pPr>
      <w:r w:rsidRPr="007E7BCC">
        <w:t xml:space="preserve">Another milestone during the tenure of the mandate-holder is that of the anniversary of the mandate of the Special Rapporteur on Torture itself, which will have been in operation for 40 years in March 2025. This anniversary presents another opportunity for the broad community of states and other stakeholders to acknowledge and take stock of progress made and to address continuing challenges. </w:t>
      </w:r>
    </w:p>
    <w:p w14:paraId="79A832FE" w14:textId="77777777" w:rsidR="00BD416B" w:rsidRPr="007E7BCC" w:rsidRDefault="00BD416B" w:rsidP="00D67C99">
      <w:pPr>
        <w:pStyle w:val="SingleTxt"/>
        <w:numPr>
          <w:ilvl w:val="0"/>
          <w:numId w:val="8"/>
        </w:numPr>
        <w:ind w:left="1134" w:right="1134" w:firstLine="0"/>
      </w:pPr>
      <w:r w:rsidRPr="007E7BCC">
        <w:t xml:space="preserve">As a contribution to the promotion of international law and the aforementioned anniversaries, the Special Rapporteur intends to update the </w:t>
      </w:r>
      <w:hyperlink r:id="rId23" w:history="1">
        <w:r w:rsidRPr="007E7BCC">
          <w:rPr>
            <w:rStyle w:val="Hyperlink"/>
          </w:rPr>
          <w:t>General Recommendations</w:t>
        </w:r>
      </w:hyperlink>
      <w:r w:rsidRPr="007E7BCC">
        <w:t xml:space="preserve"> of the Special Rapporteur on torture, first prepared by Sir Nigel Rodley in 2001 (</w:t>
      </w:r>
      <w:hyperlink r:id="rId24" w:history="1">
        <w:r w:rsidRPr="007E7BCC">
          <w:rPr>
            <w:rStyle w:val="Hyperlink"/>
          </w:rPr>
          <w:t>A/56/156</w:t>
        </w:r>
      </w:hyperlink>
      <w:r w:rsidRPr="007E7BCC">
        <w:t>, para. 39), and subsequently updated by Theo van Boven in 2002 (</w:t>
      </w:r>
      <w:hyperlink r:id="rId25" w:history="1">
        <w:r w:rsidRPr="007E7BCC">
          <w:rPr>
            <w:rStyle w:val="Hyperlink"/>
          </w:rPr>
          <w:t>E/CN.4/2003/68</w:t>
        </w:r>
      </w:hyperlink>
      <w:r w:rsidRPr="007E7BCC">
        <w:t>, para. 26). Much has happened in the intervening twenty years since the last update and it is the intention of this Special Rapporteur to reflect upon the considerable legal and procedural developments and compile basic standards and best practices towards preventing and responding to torture and other ill-treatment.</w:t>
      </w:r>
    </w:p>
    <w:p w14:paraId="44B92B1E" w14:textId="77777777" w:rsidR="00BD416B" w:rsidRPr="007E7BCC" w:rsidRDefault="00BD416B" w:rsidP="00D67C99">
      <w:pPr>
        <w:pStyle w:val="SingleTxt"/>
        <w:numPr>
          <w:ilvl w:val="0"/>
          <w:numId w:val="8"/>
        </w:numPr>
        <w:ind w:left="1134" w:right="1134" w:firstLine="0"/>
      </w:pPr>
      <w:r w:rsidRPr="007E7BCC">
        <w:rPr>
          <w:b/>
          <w:bCs/>
        </w:rPr>
        <w:t xml:space="preserve">Coordinating and cooperating with other mechanisms and treaty bodies: </w:t>
      </w:r>
      <w:r w:rsidRPr="007E7BCC">
        <w:t xml:space="preserve">The Special Rapporteur will use all available means to advance the absolute prohibition against torture by promoting respectful dialogue in the tradition of the United Nations system, keeping doors of diplomacy open, and escalating in accordance with threat and risks. The Special Rapporteur will cooperate with other mechanisms, treaty bodies and Special procedures, respecting mandates and independence. </w:t>
      </w:r>
    </w:p>
    <w:p w14:paraId="0EB7E6A8" w14:textId="77777777" w:rsidR="00BD416B" w:rsidRPr="007E7BCC" w:rsidRDefault="00BD416B" w:rsidP="0047499D">
      <w:pPr>
        <w:pStyle w:val="HChG"/>
        <w:rPr>
          <w:w w:val="103"/>
        </w:rPr>
      </w:pPr>
      <w:r w:rsidRPr="007E7BCC">
        <w:rPr>
          <w:w w:val="103"/>
        </w:rPr>
        <w:tab/>
        <w:t>IV.</w:t>
      </w:r>
      <w:r w:rsidRPr="007E7BCC">
        <w:rPr>
          <w:w w:val="103"/>
        </w:rPr>
        <w:tab/>
        <w:t xml:space="preserve">The applicable international legal framework against torture and other ill-treatment </w:t>
      </w:r>
    </w:p>
    <w:p w14:paraId="40187CD2" w14:textId="5DAC32D4" w:rsidR="00BD416B" w:rsidRPr="007E7BCC" w:rsidRDefault="00E31B95" w:rsidP="00E31B95">
      <w:pPr>
        <w:pStyle w:val="H1G"/>
        <w:ind w:left="0" w:firstLine="0"/>
        <w:rPr>
          <w:w w:val="103"/>
        </w:rPr>
      </w:pPr>
      <w:r w:rsidRPr="007E7BCC">
        <w:rPr>
          <w:b w:val="0"/>
          <w:w w:val="103"/>
        </w:rPr>
        <w:tab/>
      </w:r>
      <w:r w:rsidRPr="007E7BCC">
        <w:rPr>
          <w:bCs/>
          <w:w w:val="103"/>
        </w:rPr>
        <w:t>A.</w:t>
      </w:r>
      <w:r w:rsidRPr="007E7BCC">
        <w:rPr>
          <w:bCs/>
          <w:w w:val="103"/>
        </w:rPr>
        <w:tab/>
      </w:r>
      <w:r w:rsidR="00BD416B" w:rsidRPr="007E7BCC">
        <w:rPr>
          <w:w w:val="103"/>
        </w:rPr>
        <w:t xml:space="preserve">The definition of torture under international law </w:t>
      </w:r>
    </w:p>
    <w:p w14:paraId="06794A33" w14:textId="26317F79" w:rsidR="00BD416B" w:rsidRPr="007E7BCC" w:rsidRDefault="00BD416B" w:rsidP="00D67C99">
      <w:pPr>
        <w:pStyle w:val="SingleTxt"/>
        <w:numPr>
          <w:ilvl w:val="0"/>
          <w:numId w:val="8"/>
        </w:numPr>
        <w:ind w:left="1134" w:right="1134" w:firstLine="0"/>
      </w:pPr>
      <w:r w:rsidRPr="007E7BCC">
        <w:t xml:space="preserve">The prohibition of torture – an </w:t>
      </w:r>
      <w:r w:rsidRPr="007E7BCC">
        <w:rPr>
          <w:i/>
          <w:iCs/>
        </w:rPr>
        <w:t>erga omnes</w:t>
      </w:r>
      <w:r w:rsidRPr="007E7BCC">
        <w:t xml:space="preserve"> and </w:t>
      </w:r>
      <w:r w:rsidRPr="007E7BCC">
        <w:rPr>
          <w:i/>
          <w:iCs/>
        </w:rPr>
        <w:t>jus cogens</w:t>
      </w:r>
      <w:r w:rsidRPr="007E7BCC">
        <w:t xml:space="preserve"> norm</w:t>
      </w:r>
      <w:r w:rsidRPr="007E7BCC">
        <w:rPr>
          <w:vertAlign w:val="superscript"/>
        </w:rPr>
        <w:footnoteReference w:id="13"/>
      </w:r>
      <w:r w:rsidRPr="007E7BCC">
        <w:t xml:space="preserve"> - is one of the first and few absolute human rights, reflected in its non-derogability status. It is prohibited</w:t>
      </w:r>
      <w:r w:rsidR="007E7BCC">
        <w:t xml:space="preserve"> in peacetime, in </w:t>
      </w:r>
      <w:r w:rsidRPr="007E7BCC">
        <w:t>armed conflict and during other public emergencies, and is without territorial limits. Lesser forms of cruel, inhuman or degrading treatment or punishment are prohibited under customary international law.</w:t>
      </w:r>
      <w:r w:rsidRPr="007E7BCC">
        <w:rPr>
          <w:vertAlign w:val="superscript"/>
        </w:rPr>
        <w:footnoteReference w:id="14"/>
      </w:r>
    </w:p>
    <w:p w14:paraId="76204C0F" w14:textId="77777777" w:rsidR="00BD416B" w:rsidRPr="007E7BCC" w:rsidRDefault="00BD416B" w:rsidP="00D67C99">
      <w:pPr>
        <w:pStyle w:val="SingleTxt"/>
        <w:numPr>
          <w:ilvl w:val="0"/>
          <w:numId w:val="8"/>
        </w:numPr>
        <w:ind w:left="1134" w:right="1134" w:firstLine="0"/>
      </w:pPr>
      <w:r w:rsidRPr="007E7BCC">
        <w:t>Torture is within a unique class of international norm that is both (i) a human rights violation actionable by individuals against governments and by governments against governments,</w:t>
      </w:r>
      <w:r w:rsidRPr="007E7BCC">
        <w:rPr>
          <w:vertAlign w:val="superscript"/>
        </w:rPr>
        <w:footnoteReference w:id="15"/>
      </w:r>
      <w:r w:rsidRPr="007E7BCC">
        <w:t xml:space="preserve"> as well as (ii) a crime under international law. The systematic or widespread practice of torture constitutes a crime against humanity; while torture, cruel treatment and outrages upon human dignity committed during armed conflict are war crimes. Torture is often used as a form of genocide,</w:t>
      </w:r>
      <w:r w:rsidRPr="007E7BCC">
        <w:rPr>
          <w:vertAlign w:val="superscript"/>
        </w:rPr>
        <w:footnoteReference w:id="16"/>
      </w:r>
      <w:r w:rsidRPr="007E7BCC">
        <w:t xml:space="preserve"> to reinforce apartheid systems and is regularly a precursor to enforced disappearances and extrajudicial executions. Rape and sexualized torture are prohibited in all circumstances.</w:t>
      </w:r>
      <w:r w:rsidRPr="007E7BCC">
        <w:rPr>
          <w:vertAlign w:val="superscript"/>
        </w:rPr>
        <w:footnoteReference w:id="17"/>
      </w:r>
      <w:r w:rsidRPr="007E7BCC">
        <w:t xml:space="preserve"> Other prohibited conduct includes: medical or scientific experimentation or punishment</w:t>
      </w:r>
      <w:r w:rsidRPr="007E7BCC">
        <w:rPr>
          <w:vertAlign w:val="superscript"/>
        </w:rPr>
        <w:footnoteReference w:id="18"/>
      </w:r>
      <w:r w:rsidRPr="007E7BCC">
        <w:t>; and corporal punishment used as an educative or disciplinary measure, or as unlawful punishment for a crime</w:t>
      </w:r>
      <w:r w:rsidRPr="007E7BCC">
        <w:rPr>
          <w:vertAlign w:val="superscript"/>
        </w:rPr>
        <w:footnoteReference w:id="19"/>
      </w:r>
      <w:r w:rsidRPr="007E7BCC">
        <w:t xml:space="preserve">. Torture and inhuman treatment can define the persecution from which refugees are granted asylum, representing the loss of protection of their own governments. </w:t>
      </w:r>
    </w:p>
    <w:p w14:paraId="5012CADE" w14:textId="77777777" w:rsidR="00BD416B" w:rsidRPr="007E7BCC" w:rsidRDefault="00BD416B" w:rsidP="00D67C99">
      <w:pPr>
        <w:pStyle w:val="SingleTxt"/>
        <w:numPr>
          <w:ilvl w:val="0"/>
          <w:numId w:val="8"/>
        </w:numPr>
        <w:ind w:left="1134" w:right="1134" w:firstLine="0"/>
      </w:pPr>
      <w:r w:rsidRPr="007E7BCC">
        <w:t xml:space="preserve">What is understood globally as ‘torture’ is best laid out in the definition contained in the UN Convention against Torture and Other Cruel, Inhuman or Degrading Treatment or Punishment (1984) (UNCAT), Article 1.1: </w:t>
      </w:r>
    </w:p>
    <w:p w14:paraId="7BFD8461" w14:textId="77777777" w:rsidR="00BD416B" w:rsidRPr="007E7BCC" w:rsidRDefault="00BD416B" w:rsidP="00BD416B">
      <w:pPr>
        <w:pStyle w:val="SingleTxt"/>
      </w:pPr>
      <w:r w:rsidRPr="007E7BCC">
        <w:tab/>
        <w:t>‘</w:t>
      </w:r>
      <w:r w:rsidRPr="007E7BCC">
        <w:rPr>
          <w:i/>
          <w:iCs/>
        </w:rPr>
        <w:t>[-]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47CC865B" w14:textId="77777777" w:rsidR="00BD416B" w:rsidRPr="007E7BCC" w:rsidRDefault="00BD416B" w:rsidP="00D67C99">
      <w:pPr>
        <w:pStyle w:val="SingleTxt"/>
        <w:numPr>
          <w:ilvl w:val="0"/>
          <w:numId w:val="8"/>
        </w:numPr>
        <w:ind w:left="1134" w:right="1134" w:firstLine="0"/>
      </w:pPr>
      <w:r w:rsidRPr="007E7BCC">
        <w:t>Article 1.1 represents the dominant definition accepted by the world’s leading human rights bodies and courts, even if it is not the only international legal definition. Whereas certain modifications have been required to adapt that definition to specific contexts or for specific crimes, such as war crimes or crimes against humanity</w:t>
      </w:r>
      <w:r w:rsidRPr="007E7BCC">
        <w:rPr>
          <w:vertAlign w:val="superscript"/>
        </w:rPr>
        <w:footnoteReference w:id="20"/>
      </w:r>
      <w:r w:rsidRPr="007E7BCC">
        <w:t>, the essence of the definition has remained unchanged and unchallenged. A consensus definition of torture can be lauded as a successful achievement of the international community.</w:t>
      </w:r>
    </w:p>
    <w:p w14:paraId="0C4B3A7C" w14:textId="77777777" w:rsidR="00BD416B" w:rsidRPr="007E7BCC" w:rsidRDefault="00BD416B" w:rsidP="00D67C99">
      <w:pPr>
        <w:pStyle w:val="SingleTxt"/>
        <w:numPr>
          <w:ilvl w:val="0"/>
          <w:numId w:val="8"/>
        </w:numPr>
        <w:ind w:left="1134" w:right="1134" w:firstLine="0"/>
      </w:pPr>
      <w:r w:rsidRPr="007E7BCC">
        <w:t xml:space="preserve">Perpetrated by those with power against those without it, torture and other ill-treatment are examples of an abuse of power or authority. They involve exercising </w:t>
      </w:r>
      <w:r w:rsidRPr="007E7BCC">
        <w:rPr>
          <w:i/>
          <w:iCs/>
        </w:rPr>
        <w:t xml:space="preserve">ultra </w:t>
      </w:r>
      <w:r w:rsidRPr="007E7BCC">
        <w:t>vires authority over its victims, rendering them powerless. Powerlessness is not however a legal criterion to establish torture as a definitional matter; it is rather implicit in the observation of what is actually taking place when someone is put under the custody or control of an officer of the state and subjected to this unlawful conduct.</w:t>
      </w:r>
    </w:p>
    <w:p w14:paraId="3D0F7054" w14:textId="42F3AACE" w:rsidR="00BD416B" w:rsidRPr="007E7BCC" w:rsidRDefault="00BD416B" w:rsidP="00D67C99">
      <w:pPr>
        <w:pStyle w:val="SingleTxt"/>
        <w:numPr>
          <w:ilvl w:val="0"/>
          <w:numId w:val="8"/>
        </w:numPr>
        <w:ind w:left="1134" w:right="1134" w:firstLine="0"/>
      </w:pPr>
      <w:r w:rsidRPr="007E7BCC">
        <w:t>International law calls for a distinction between torture and ot</w:t>
      </w:r>
      <w:r w:rsidR="007E7BCC">
        <w:t xml:space="preserve">her forms of ill-treatment and </w:t>
      </w:r>
      <w:r w:rsidRPr="007E7BCC">
        <w:t>punishment. Carrying a ‘special stigma’</w:t>
      </w:r>
      <w:r w:rsidRPr="007E7BCC">
        <w:rPr>
          <w:vertAlign w:val="superscript"/>
        </w:rPr>
        <w:footnoteReference w:id="21"/>
      </w:r>
      <w:r w:rsidRPr="007E7BCC">
        <w:t xml:space="preserve"> the torture threshold should be respected and reserved for the most heinous of crimes; unfortunately such cases are not in short supply. In practice, however, navigating the boundaries between torture, on the one hand, and other forms of ill-treatment, on the other, can be difficult.</w:t>
      </w:r>
      <w:r w:rsidRPr="007E7BCC">
        <w:rPr>
          <w:vertAlign w:val="superscript"/>
        </w:rPr>
        <w:footnoteReference w:id="22"/>
      </w:r>
      <w:r w:rsidRPr="007E7BCC">
        <w:t xml:space="preserve"> Making a distinction is nonetheless important, and is most relevant when dealing with criminal activity as the penalty must fit the crime. </w:t>
      </w:r>
    </w:p>
    <w:p w14:paraId="145512B8" w14:textId="5F29ED82" w:rsidR="00BD416B" w:rsidRPr="007E7BCC" w:rsidRDefault="00BD416B" w:rsidP="00D67C99">
      <w:pPr>
        <w:pStyle w:val="SingleTxt"/>
        <w:numPr>
          <w:ilvl w:val="0"/>
          <w:numId w:val="8"/>
        </w:numPr>
        <w:ind w:left="1134" w:right="1134" w:firstLine="0"/>
      </w:pPr>
      <w:r w:rsidRPr="007E7BCC">
        <w:t xml:space="preserve">Whether a particular harm amounts to torture often turns on factual – rather than legal – factors. </w:t>
      </w:r>
      <w:r w:rsidR="007E7BCC" w:rsidRPr="007E7BCC">
        <w:t>Regrettably,</w:t>
      </w:r>
      <w:r w:rsidRPr="007E7BCC">
        <w:t xml:space="preserve"> we have not yet reached the limits of the deliberate or gratuitous ways or means why public officials and governments perpetrate torture, and forms of torture or inhuman treatment or punishment may never be fully elaborated. For this reason, the severe pain or suffering threshold is a dominant element of the definition of torture.</w:t>
      </w:r>
      <w:r w:rsidRPr="007E7BCC">
        <w:rPr>
          <w:vertAlign w:val="superscript"/>
        </w:rPr>
        <w:footnoteReference w:id="23"/>
      </w:r>
      <w:r w:rsidRPr="007E7BCC">
        <w:t xml:space="preserve"> The definition of ‘torture’, and its constituent elements, will be examined in more detail in the Special Rapporteur’s second report on national criminalization, investigation and prosecution of torture and other ill-treatment.</w:t>
      </w:r>
    </w:p>
    <w:p w14:paraId="1EBBEC45" w14:textId="77777777" w:rsidR="00BD416B" w:rsidRPr="007E7BCC" w:rsidRDefault="00BD416B" w:rsidP="00D67C99">
      <w:pPr>
        <w:pStyle w:val="SingleTxt"/>
        <w:numPr>
          <w:ilvl w:val="0"/>
          <w:numId w:val="8"/>
        </w:numPr>
        <w:ind w:left="1134" w:right="1134" w:firstLine="0"/>
      </w:pPr>
      <w:r w:rsidRPr="007E7BCC">
        <w:t>The international community has spoken and repeatedly denied any excuses for torture.</w:t>
      </w:r>
      <w:r w:rsidRPr="007E7BCC">
        <w:rPr>
          <w:vertAlign w:val="superscript"/>
        </w:rPr>
        <w:footnoteReference w:id="24"/>
      </w:r>
      <w:r w:rsidRPr="007E7BCC">
        <w:t xml:space="preserve"> While state necessity (or state-preservation) as a doctrine may legitimize otherwise unlawful acts in certain carefully circumscribed circumstances, the doctrine is never applicable against peremptory norms of international law from which no derogation is permissible.</w:t>
      </w:r>
      <w:r w:rsidRPr="007E7BCC">
        <w:rPr>
          <w:vertAlign w:val="superscript"/>
        </w:rPr>
        <w:footnoteReference w:id="25"/>
      </w:r>
      <w:r w:rsidRPr="007E7BCC">
        <w:t xml:space="preserve"> As such, the relevance of the concept of proportionality that may apply to qualified freedoms, or arguments around balancing the harm in question with national security or other similar interests, are ruled out as justifications for torture. Neither is torture an acceptable response in the face of terrorism or other similar serious threats; and there is ample evidence to demonstrate the inherent unreliability of deploying torture techniques as a method of intelligence or information gathering.</w:t>
      </w:r>
      <w:r w:rsidRPr="007E7BCC">
        <w:rPr>
          <w:vertAlign w:val="superscript"/>
        </w:rPr>
        <w:footnoteReference w:id="26"/>
      </w:r>
      <w:r w:rsidRPr="007E7BCC">
        <w:t xml:space="preserve"> The legality of the actions of the victim is immaterial.</w:t>
      </w:r>
      <w:r w:rsidRPr="007E7BCC">
        <w:rPr>
          <w:vertAlign w:val="superscript"/>
        </w:rPr>
        <w:footnoteReference w:id="27"/>
      </w:r>
      <w:r w:rsidRPr="007E7BCC">
        <w:t xml:space="preserve"> This is not to say that national security interests are not valid concerns but rather it is to recognize that in our modern times, we have adequate and effective ways to handle these situations without recourse to torture or other ill-treatment. Disseminating humane and rights-compatible interviewing and evidence gathering techniques will be part of the Special Rapporteur’s role. </w:t>
      </w:r>
    </w:p>
    <w:p w14:paraId="2A63DB39" w14:textId="77777777" w:rsidR="00BD416B" w:rsidRPr="007E7BCC" w:rsidRDefault="00BD416B" w:rsidP="00D67C99">
      <w:pPr>
        <w:pStyle w:val="SingleTxt"/>
        <w:numPr>
          <w:ilvl w:val="0"/>
          <w:numId w:val="8"/>
        </w:numPr>
        <w:ind w:left="1134" w:right="1134" w:firstLine="0"/>
      </w:pPr>
      <w:r w:rsidRPr="007E7BCC">
        <w:t>The international framework further allows no personal justifications for torture or other inhuman treatment.</w:t>
      </w:r>
      <w:r w:rsidRPr="007E7BCC">
        <w:rPr>
          <w:vertAlign w:val="superscript"/>
        </w:rPr>
        <w:footnoteReference w:id="28"/>
      </w:r>
      <w:r w:rsidRPr="007E7BCC">
        <w:t xml:space="preserve"> The orders of a superior officer or public authority do not exonerate from criminal liability, for example, a junior ranked police officer who beats or harasses a suspect or witness, a prison warden who denies food, water or basic sanitation to a detainee, or a soldier who breaks the rules of war during armed conflict. Command responsibility for torture must be prosecutable, and public officials are accountable when they refuse or fail to protect citizens from harm (including the bystander phenomenon</w:t>
      </w:r>
      <w:r w:rsidRPr="007E7BCC">
        <w:rPr>
          <w:vertAlign w:val="superscript"/>
        </w:rPr>
        <w:footnoteReference w:id="29"/>
      </w:r>
      <w:r w:rsidRPr="007E7BCC">
        <w:t>). The absolute prohibition against torture permits no temporal limits on prosecution (also known as ‘statutes of limitations’),</w:t>
      </w:r>
      <w:r w:rsidRPr="007E7BCC">
        <w:rPr>
          <w:vertAlign w:val="superscript"/>
        </w:rPr>
        <w:footnoteReference w:id="30"/>
      </w:r>
      <w:r w:rsidRPr="007E7BCC">
        <w:t xml:space="preserve"> amnesties</w:t>
      </w:r>
      <w:r w:rsidRPr="007E7BCC">
        <w:rPr>
          <w:vertAlign w:val="superscript"/>
        </w:rPr>
        <w:footnoteReference w:id="31"/>
      </w:r>
      <w:r w:rsidRPr="007E7BCC">
        <w:t xml:space="preserve"> or immunities.</w:t>
      </w:r>
      <w:r w:rsidRPr="007E7BCC">
        <w:rPr>
          <w:vertAlign w:val="superscript"/>
        </w:rPr>
        <w:footnoteReference w:id="32"/>
      </w:r>
      <w:r w:rsidRPr="007E7BCC">
        <w:t xml:space="preserve"> </w:t>
      </w:r>
    </w:p>
    <w:p w14:paraId="53DDF079" w14:textId="77777777" w:rsidR="00BD416B" w:rsidRPr="007E7BCC" w:rsidRDefault="00BD416B" w:rsidP="00D67C99">
      <w:pPr>
        <w:pStyle w:val="SingleTxt"/>
        <w:numPr>
          <w:ilvl w:val="0"/>
          <w:numId w:val="8"/>
        </w:numPr>
        <w:ind w:left="1134" w:right="1134" w:firstLine="0"/>
      </w:pPr>
      <w:r w:rsidRPr="007E7BCC">
        <w:t>Lesser forms of cruel, inhuman or degrading treatment or punishment are equally prohibited, are to be investigated and punished, commensurate with applicable penalties. They should not be under-estimated as to their impact on victims, nor on institutional cultures in which impunity can create and incentivize conditions that can escalate to insipid forms of ill-treatment or even torture. Cumulative effects of lesser cruelty however less dramatic can amount to torture; and negligent mistreatment or deprivations of essential rights (safety, clean water, hygiene, social interaction) of persons deprived of their liberty are never to be tolerated.</w:t>
      </w:r>
    </w:p>
    <w:p w14:paraId="045F38D6" w14:textId="77777777" w:rsidR="00BD416B" w:rsidRPr="007E7BCC" w:rsidRDefault="00BD416B" w:rsidP="00D67C99">
      <w:pPr>
        <w:pStyle w:val="SingleTxt"/>
        <w:numPr>
          <w:ilvl w:val="0"/>
          <w:numId w:val="8"/>
        </w:numPr>
        <w:ind w:left="1134" w:right="1134" w:firstLine="0"/>
      </w:pPr>
      <w:r w:rsidRPr="007E7BCC">
        <w:t>‘Discrimination’ is one of the explicit purposes in the Article 1.1 definition of torture in recognition of the fact that it is often the reason why torturous behaviour is perpetrated against specific individuals or groups, or why it is neither investigated nor prosecuted and why victims are so regularly left remedy-less. Previous rapporteurs have dealt with discriminatory forms of torture and ill-treatment in the context of domestic violence (</w:t>
      </w:r>
      <w:hyperlink r:id="rId26" w:history="1">
        <w:r w:rsidRPr="007E7BCC">
          <w:rPr>
            <w:rStyle w:val="Hyperlink"/>
          </w:rPr>
          <w:t>A/74/148</w:t>
        </w:r>
      </w:hyperlink>
      <w:r w:rsidRPr="007E7BCC">
        <w:t>) and in respect of women, girls, and lesbian, gay, bisexual, transgender and intersex persons (</w:t>
      </w:r>
      <w:hyperlink r:id="rId27" w:history="1">
        <w:r w:rsidRPr="007E7BCC">
          <w:rPr>
            <w:rStyle w:val="Hyperlink"/>
          </w:rPr>
          <w:t>A/HRC/31/57</w:t>
        </w:r>
      </w:hyperlink>
      <w:r w:rsidRPr="007E7BCC">
        <w:t>). Where abuse is perpetrated by private actors, the state is accountable where it fails in its ‘due diligence’ responsibilities to prevent said harm by failing to take all reasonable steps to protect the victim, or to investigate and prosecute those responsible, and provide redress.</w:t>
      </w:r>
      <w:r w:rsidRPr="007E7BCC">
        <w:rPr>
          <w:vertAlign w:val="superscript"/>
        </w:rPr>
        <w:footnoteReference w:id="33"/>
      </w:r>
      <w:r w:rsidRPr="007E7BCC">
        <w:t xml:space="preserve"> States have an obligation to enact legislation that provides ‘effective protection’ against rape and sexual assault, such legislation must go beyond only investigating or prosecuting crimes where the victim physically resisted.</w:t>
      </w:r>
      <w:r w:rsidRPr="007E7BCC">
        <w:rPr>
          <w:vertAlign w:val="superscript"/>
        </w:rPr>
        <w:footnoteReference w:id="34"/>
      </w:r>
      <w:r w:rsidRPr="007E7BCC">
        <w:t xml:space="preserve"> International case law robustly portends that only consent-based rape laws meet the standard of legislative due diligence required for compatibility with the obligations to prohibit and prevent torture and other cruel, inhuman or degrading treatment or punishment.</w:t>
      </w:r>
    </w:p>
    <w:p w14:paraId="54142C47" w14:textId="737C22D1" w:rsidR="00BD416B" w:rsidRPr="007E7BCC" w:rsidRDefault="00031290" w:rsidP="00031290">
      <w:pPr>
        <w:pStyle w:val="H1G"/>
        <w:rPr>
          <w:w w:val="103"/>
        </w:rPr>
      </w:pPr>
      <w:r w:rsidRPr="007E7BCC">
        <w:rPr>
          <w:w w:val="103"/>
        </w:rPr>
        <w:tab/>
        <w:t>B.</w:t>
      </w:r>
      <w:r w:rsidRPr="007E7BCC">
        <w:rPr>
          <w:w w:val="103"/>
        </w:rPr>
        <w:tab/>
      </w:r>
      <w:r w:rsidR="00BD416B" w:rsidRPr="007E7BCC">
        <w:rPr>
          <w:w w:val="103"/>
        </w:rPr>
        <w:t xml:space="preserve">International and regional standards </w:t>
      </w:r>
    </w:p>
    <w:p w14:paraId="24F38506" w14:textId="77777777" w:rsidR="00BD416B" w:rsidRPr="007E7BCC" w:rsidRDefault="00BD416B" w:rsidP="00D67C99">
      <w:pPr>
        <w:pStyle w:val="SingleTxt"/>
        <w:numPr>
          <w:ilvl w:val="0"/>
          <w:numId w:val="8"/>
        </w:numPr>
        <w:ind w:left="1134" w:right="1134" w:firstLine="0"/>
      </w:pPr>
      <w:r w:rsidRPr="007E7BCC">
        <w:t>There is no state in the world that has not accepted voluntarily the obligation to prohibit, prevent and respond to torture and other ill-treatment, in one or more of the below treaties covering a range of contexts or in respect of particular protected groups.</w:t>
      </w:r>
    </w:p>
    <w:p w14:paraId="2D42F9DE" w14:textId="77777777" w:rsidR="00BD416B" w:rsidRPr="007E7BCC" w:rsidRDefault="00BD416B" w:rsidP="00D67C99">
      <w:pPr>
        <w:pStyle w:val="SingleTxt"/>
        <w:numPr>
          <w:ilvl w:val="0"/>
          <w:numId w:val="8"/>
        </w:numPr>
        <w:ind w:left="1134" w:right="1134" w:firstLine="0"/>
      </w:pPr>
      <w:r w:rsidRPr="007E7BCC">
        <w:t>The absolute prohibition of torture is found in and reinforced by a wide number of international treaties and declarations: </w:t>
      </w:r>
    </w:p>
    <w:p w14:paraId="7D788672" w14:textId="77777777" w:rsidR="00BD416B" w:rsidRPr="007E7BCC" w:rsidRDefault="00BD416B" w:rsidP="008572F4">
      <w:pPr>
        <w:pStyle w:val="Bullet1G"/>
        <w:rPr>
          <w:w w:val="103"/>
        </w:rPr>
      </w:pPr>
      <w:r w:rsidRPr="007E7BCC">
        <w:rPr>
          <w:w w:val="103"/>
        </w:rPr>
        <w:t>Universal Declaration of Human Rights (1948), art. 5</w:t>
      </w:r>
    </w:p>
    <w:p w14:paraId="13CACA96" w14:textId="77777777" w:rsidR="00BD416B" w:rsidRPr="007E7BCC" w:rsidRDefault="00BD416B" w:rsidP="008572F4">
      <w:pPr>
        <w:pStyle w:val="Bullet1G"/>
        <w:rPr>
          <w:spacing w:val="4"/>
          <w:w w:val="103"/>
          <w:kern w:val="14"/>
        </w:rPr>
      </w:pPr>
      <w:r w:rsidRPr="007E7BCC">
        <w:rPr>
          <w:spacing w:val="4"/>
          <w:w w:val="103"/>
          <w:kern w:val="14"/>
        </w:rPr>
        <w:t xml:space="preserve">Convention on the Prevention and Punishment of the Crime of </w:t>
      </w:r>
      <w:r w:rsidRPr="007E7BCC">
        <w:rPr>
          <w:w w:val="103"/>
        </w:rPr>
        <w:t>Genocide</w:t>
      </w:r>
      <w:r w:rsidRPr="007E7BCC">
        <w:rPr>
          <w:spacing w:val="4"/>
          <w:w w:val="103"/>
          <w:kern w:val="14"/>
        </w:rPr>
        <w:t xml:space="preserve"> (1948), art. II(b) and (c)</w:t>
      </w:r>
    </w:p>
    <w:p w14:paraId="65CAAA0A" w14:textId="77777777" w:rsidR="00BD416B" w:rsidRPr="007E7BCC" w:rsidRDefault="00BD416B" w:rsidP="008572F4">
      <w:pPr>
        <w:pStyle w:val="Bullet1G"/>
        <w:rPr>
          <w:spacing w:val="4"/>
          <w:w w:val="103"/>
          <w:kern w:val="14"/>
        </w:rPr>
      </w:pPr>
      <w:r w:rsidRPr="007E7BCC">
        <w:rPr>
          <w:w w:val="103"/>
        </w:rPr>
        <w:t>International</w:t>
      </w:r>
      <w:r w:rsidRPr="007E7BCC">
        <w:rPr>
          <w:spacing w:val="4"/>
          <w:w w:val="103"/>
          <w:kern w:val="14"/>
        </w:rPr>
        <w:t xml:space="preserve"> Convention on the Elimination of All Forms of Racial Discrimination (1965), art 5(b)</w:t>
      </w:r>
    </w:p>
    <w:p w14:paraId="2AEA41C3" w14:textId="77777777" w:rsidR="00BD416B" w:rsidRPr="007E7BCC" w:rsidRDefault="00BD416B" w:rsidP="008572F4">
      <w:pPr>
        <w:pStyle w:val="Bullet1G"/>
        <w:rPr>
          <w:spacing w:val="4"/>
          <w:w w:val="103"/>
          <w:kern w:val="14"/>
        </w:rPr>
      </w:pPr>
      <w:r w:rsidRPr="007E7BCC">
        <w:rPr>
          <w:spacing w:val="4"/>
          <w:w w:val="103"/>
          <w:kern w:val="14"/>
        </w:rPr>
        <w:t xml:space="preserve">The Supplementary Convention on the Abolition of Slavery, the </w:t>
      </w:r>
      <w:r w:rsidRPr="007E7BCC">
        <w:rPr>
          <w:w w:val="103"/>
        </w:rPr>
        <w:t>Slave</w:t>
      </w:r>
      <w:r w:rsidRPr="007E7BCC">
        <w:rPr>
          <w:spacing w:val="4"/>
          <w:w w:val="103"/>
          <w:kern w:val="14"/>
        </w:rPr>
        <w:t xml:space="preserve"> Trade, and Institutions and Practices Similar to Slavery (1965), art.5</w:t>
      </w:r>
    </w:p>
    <w:p w14:paraId="77E9A08A" w14:textId="77777777" w:rsidR="00BD416B" w:rsidRPr="007E7BCC" w:rsidRDefault="00BD416B" w:rsidP="008572F4">
      <w:pPr>
        <w:pStyle w:val="Bullet1G"/>
        <w:rPr>
          <w:spacing w:val="4"/>
          <w:w w:val="103"/>
          <w:kern w:val="14"/>
        </w:rPr>
      </w:pPr>
      <w:r w:rsidRPr="007E7BCC">
        <w:rPr>
          <w:spacing w:val="4"/>
          <w:w w:val="103"/>
          <w:kern w:val="14"/>
        </w:rPr>
        <w:t>International Covenant on Civil and Political Rights (1966), art. 7</w:t>
      </w:r>
    </w:p>
    <w:p w14:paraId="58C0D201" w14:textId="77777777" w:rsidR="00BD416B" w:rsidRPr="007E7BCC" w:rsidRDefault="00BD416B" w:rsidP="008572F4">
      <w:pPr>
        <w:pStyle w:val="Bullet1G"/>
        <w:rPr>
          <w:spacing w:val="4"/>
          <w:w w:val="103"/>
          <w:kern w:val="14"/>
        </w:rPr>
      </w:pPr>
      <w:r w:rsidRPr="007E7BCC">
        <w:rPr>
          <w:w w:val="103"/>
        </w:rPr>
        <w:t>International</w:t>
      </w:r>
      <w:r w:rsidRPr="007E7BCC">
        <w:rPr>
          <w:spacing w:val="4"/>
          <w:w w:val="103"/>
          <w:kern w:val="14"/>
        </w:rPr>
        <w:t xml:space="preserve"> Convention on the Suppression and Punishment of the Crime of Apartheid (1973), art. II(a)(ii), (a) (iii), (b), (c), (d) and (f)</w:t>
      </w:r>
    </w:p>
    <w:p w14:paraId="78456493" w14:textId="77777777" w:rsidR="00BD416B" w:rsidRPr="007E7BCC" w:rsidRDefault="00BD416B" w:rsidP="008572F4">
      <w:pPr>
        <w:pStyle w:val="Bullet1G"/>
        <w:rPr>
          <w:spacing w:val="4"/>
          <w:w w:val="103"/>
          <w:kern w:val="14"/>
        </w:rPr>
      </w:pPr>
      <w:r w:rsidRPr="007E7BCC">
        <w:rPr>
          <w:spacing w:val="4"/>
          <w:w w:val="103"/>
          <w:kern w:val="14"/>
        </w:rPr>
        <w:t>United Nations Declaration on the Protection of All Persons from Being Subjected to Torture and Other Cruel, Inhuman or Degrading Treatment or Punishment (1975) (in its entirety)</w:t>
      </w:r>
    </w:p>
    <w:p w14:paraId="1930510B" w14:textId="77777777" w:rsidR="00BD416B" w:rsidRPr="007E7BCC" w:rsidRDefault="00BD416B" w:rsidP="008572F4">
      <w:pPr>
        <w:pStyle w:val="Bullet1G"/>
        <w:rPr>
          <w:spacing w:val="4"/>
          <w:w w:val="103"/>
          <w:kern w:val="14"/>
        </w:rPr>
      </w:pPr>
      <w:r w:rsidRPr="007E7BCC">
        <w:rPr>
          <w:w w:val="103"/>
        </w:rPr>
        <w:t>Geneva</w:t>
      </w:r>
      <w:r w:rsidRPr="007E7BCC">
        <w:rPr>
          <w:spacing w:val="4"/>
          <w:w w:val="103"/>
          <w:kern w:val="14"/>
        </w:rPr>
        <w:t xml:space="preserve"> Conventions (1949), various articles</w:t>
      </w:r>
      <w:r w:rsidRPr="007E7BCC">
        <w:rPr>
          <w:spacing w:val="4"/>
          <w:w w:val="103"/>
          <w:kern w:val="14"/>
          <w:vertAlign w:val="superscript"/>
        </w:rPr>
        <w:footnoteReference w:id="35"/>
      </w:r>
      <w:r w:rsidRPr="007E7BCC">
        <w:rPr>
          <w:spacing w:val="4"/>
          <w:w w:val="103"/>
          <w:kern w:val="14"/>
        </w:rPr>
        <w:t xml:space="preserve"> and Additional Protocols (1977)</w:t>
      </w:r>
      <w:r w:rsidRPr="007E7BCC">
        <w:rPr>
          <w:spacing w:val="4"/>
          <w:w w:val="103"/>
          <w:kern w:val="14"/>
          <w:vertAlign w:val="superscript"/>
        </w:rPr>
        <w:footnoteReference w:id="36"/>
      </w:r>
    </w:p>
    <w:p w14:paraId="6DA1CD5D" w14:textId="77777777" w:rsidR="00BD416B" w:rsidRPr="007E7BCC" w:rsidRDefault="00BD416B" w:rsidP="008572F4">
      <w:pPr>
        <w:pStyle w:val="Bullet1G"/>
        <w:rPr>
          <w:spacing w:val="4"/>
          <w:w w:val="103"/>
          <w:kern w:val="14"/>
        </w:rPr>
      </w:pPr>
      <w:r w:rsidRPr="007E7BCC">
        <w:rPr>
          <w:w w:val="103"/>
        </w:rPr>
        <w:t>Convention</w:t>
      </w:r>
      <w:r w:rsidRPr="007E7BCC">
        <w:rPr>
          <w:spacing w:val="4"/>
          <w:w w:val="103"/>
          <w:kern w:val="14"/>
        </w:rPr>
        <w:t xml:space="preserve"> against Torture and Other Cruel, Inhuman or Degrading Treatment or Punishment (1984) (in its entirety)</w:t>
      </w:r>
    </w:p>
    <w:p w14:paraId="735055BA" w14:textId="77777777" w:rsidR="00BD416B" w:rsidRPr="007E7BCC" w:rsidRDefault="00BD416B" w:rsidP="008572F4">
      <w:pPr>
        <w:pStyle w:val="Bullet1G"/>
        <w:rPr>
          <w:spacing w:val="4"/>
          <w:w w:val="103"/>
          <w:kern w:val="14"/>
        </w:rPr>
      </w:pPr>
      <w:r w:rsidRPr="007E7BCC">
        <w:rPr>
          <w:spacing w:val="4"/>
          <w:w w:val="103"/>
          <w:kern w:val="14"/>
        </w:rPr>
        <w:t xml:space="preserve">Convention on the Rights of the Child (1989), arts. 37, 39, and </w:t>
      </w:r>
      <w:r w:rsidRPr="007E7BCC">
        <w:rPr>
          <w:w w:val="103"/>
        </w:rPr>
        <w:t>40</w:t>
      </w:r>
      <w:r w:rsidRPr="007E7BCC">
        <w:rPr>
          <w:spacing w:val="4"/>
          <w:w w:val="103"/>
          <w:kern w:val="14"/>
        </w:rPr>
        <w:t>(1)</w:t>
      </w:r>
    </w:p>
    <w:p w14:paraId="6BF5C4F7" w14:textId="77777777" w:rsidR="00BD416B" w:rsidRPr="007E7BCC" w:rsidRDefault="00BD416B" w:rsidP="008572F4">
      <w:pPr>
        <w:pStyle w:val="Bullet1G"/>
        <w:rPr>
          <w:spacing w:val="4"/>
          <w:w w:val="103"/>
          <w:kern w:val="14"/>
        </w:rPr>
      </w:pPr>
      <w:r w:rsidRPr="007E7BCC">
        <w:rPr>
          <w:spacing w:val="4"/>
          <w:w w:val="103"/>
          <w:kern w:val="14"/>
        </w:rPr>
        <w:t>International Convention on the Protection of the Rights of All Migrant Workers and Members of their Families (1990), art. 10</w:t>
      </w:r>
    </w:p>
    <w:p w14:paraId="4E92366F" w14:textId="77777777" w:rsidR="00BD416B" w:rsidRPr="007E7BCC" w:rsidRDefault="00BD416B" w:rsidP="008572F4">
      <w:pPr>
        <w:pStyle w:val="Bullet1G"/>
        <w:rPr>
          <w:spacing w:val="4"/>
          <w:w w:val="103"/>
          <w:kern w:val="14"/>
        </w:rPr>
      </w:pPr>
      <w:r w:rsidRPr="007E7BCC">
        <w:rPr>
          <w:spacing w:val="4"/>
          <w:w w:val="103"/>
          <w:kern w:val="14"/>
        </w:rPr>
        <w:t xml:space="preserve">Optional Protocol to the Convention against Torture (2002) (in </w:t>
      </w:r>
      <w:r w:rsidRPr="007E7BCC">
        <w:rPr>
          <w:w w:val="103"/>
        </w:rPr>
        <w:t>its</w:t>
      </w:r>
      <w:r w:rsidRPr="007E7BCC">
        <w:rPr>
          <w:spacing w:val="4"/>
          <w:w w:val="103"/>
          <w:kern w:val="14"/>
        </w:rPr>
        <w:t xml:space="preserve"> entirety)</w:t>
      </w:r>
    </w:p>
    <w:p w14:paraId="5A3F2028" w14:textId="77777777" w:rsidR="00BD416B" w:rsidRPr="007E7BCC" w:rsidRDefault="00BD416B" w:rsidP="008572F4">
      <w:pPr>
        <w:pStyle w:val="Bullet1G"/>
        <w:rPr>
          <w:spacing w:val="4"/>
          <w:w w:val="103"/>
          <w:kern w:val="14"/>
        </w:rPr>
      </w:pPr>
      <w:r w:rsidRPr="007E7BCC">
        <w:rPr>
          <w:spacing w:val="4"/>
          <w:w w:val="103"/>
          <w:kern w:val="14"/>
        </w:rPr>
        <w:t>Convention on the Rights of Persons with Disabilities (</w:t>
      </w:r>
      <w:r w:rsidRPr="007E7BCC">
        <w:rPr>
          <w:w w:val="103"/>
        </w:rPr>
        <w:t>2006</w:t>
      </w:r>
      <w:r w:rsidRPr="007E7BCC">
        <w:rPr>
          <w:spacing w:val="4"/>
          <w:w w:val="103"/>
          <w:kern w:val="14"/>
        </w:rPr>
        <w:t>), art. 15, and art. 16</w:t>
      </w:r>
    </w:p>
    <w:p w14:paraId="42C18495" w14:textId="77777777" w:rsidR="00BD416B" w:rsidRPr="007E7BCC" w:rsidRDefault="00BD416B" w:rsidP="008572F4">
      <w:pPr>
        <w:pStyle w:val="Bullet1G"/>
        <w:rPr>
          <w:spacing w:val="4"/>
          <w:w w:val="103"/>
          <w:kern w:val="14"/>
        </w:rPr>
      </w:pPr>
      <w:r w:rsidRPr="007E7BCC">
        <w:rPr>
          <w:w w:val="103"/>
        </w:rPr>
        <w:t>Rome</w:t>
      </w:r>
      <w:r w:rsidRPr="007E7BCC">
        <w:rPr>
          <w:spacing w:val="4"/>
          <w:w w:val="103"/>
          <w:kern w:val="14"/>
        </w:rPr>
        <w:t xml:space="preserve"> Statute of the International Criminal Court (1998), various articles</w:t>
      </w:r>
      <w:r w:rsidRPr="007E7BCC">
        <w:rPr>
          <w:spacing w:val="4"/>
          <w:w w:val="103"/>
          <w:kern w:val="14"/>
          <w:vertAlign w:val="superscript"/>
        </w:rPr>
        <w:footnoteReference w:id="37"/>
      </w:r>
    </w:p>
    <w:p w14:paraId="1508311B" w14:textId="77777777" w:rsidR="00BD416B" w:rsidRPr="007E7BCC" w:rsidRDefault="00BD416B" w:rsidP="008572F4">
      <w:pPr>
        <w:pStyle w:val="Bullet1G"/>
        <w:rPr>
          <w:spacing w:val="4"/>
          <w:w w:val="103"/>
          <w:kern w:val="14"/>
        </w:rPr>
      </w:pPr>
      <w:r w:rsidRPr="007E7BCC">
        <w:rPr>
          <w:spacing w:val="4"/>
          <w:w w:val="103"/>
          <w:kern w:val="14"/>
        </w:rPr>
        <w:t xml:space="preserve">Convention on the Elimination of All Forms of </w:t>
      </w:r>
      <w:r w:rsidRPr="007E7BCC">
        <w:rPr>
          <w:w w:val="103"/>
        </w:rPr>
        <w:t>Discrimination</w:t>
      </w:r>
      <w:r w:rsidRPr="007E7BCC">
        <w:rPr>
          <w:spacing w:val="4"/>
          <w:w w:val="103"/>
          <w:kern w:val="14"/>
        </w:rPr>
        <w:t xml:space="preserve"> against Women, art 1 via interpretation</w:t>
      </w:r>
      <w:r w:rsidRPr="007E7BCC">
        <w:rPr>
          <w:spacing w:val="4"/>
          <w:w w:val="103"/>
          <w:kern w:val="14"/>
          <w:vertAlign w:val="superscript"/>
        </w:rPr>
        <w:footnoteReference w:id="38"/>
      </w:r>
      <w:r w:rsidRPr="007E7BCC">
        <w:rPr>
          <w:spacing w:val="4"/>
          <w:w w:val="103"/>
          <w:kern w:val="14"/>
        </w:rPr>
        <w:t> </w:t>
      </w:r>
    </w:p>
    <w:p w14:paraId="76509EA4" w14:textId="77777777" w:rsidR="00BD416B" w:rsidRPr="007E7BCC" w:rsidRDefault="00BD416B" w:rsidP="00D67C99">
      <w:pPr>
        <w:pStyle w:val="SingleTxt"/>
        <w:numPr>
          <w:ilvl w:val="0"/>
          <w:numId w:val="8"/>
        </w:numPr>
        <w:ind w:left="1134" w:right="1134" w:firstLine="0"/>
      </w:pPr>
      <w:r w:rsidRPr="007E7BCC">
        <w:t>In addition to the above listing, there are  a number of other widely accepted express obligations in respect of ensuring humane treatment in places where persons are deprived of their liberty (e.g. art. 10, ICCPR) and to respect the right to liberty and security of person (e.g. art 9 ICCPR). </w:t>
      </w:r>
    </w:p>
    <w:p w14:paraId="0DE2DE83" w14:textId="77777777" w:rsidR="00BD416B" w:rsidRPr="007E7BCC" w:rsidRDefault="00BD416B" w:rsidP="00D67C99">
      <w:pPr>
        <w:pStyle w:val="SingleTxt"/>
        <w:numPr>
          <w:ilvl w:val="0"/>
          <w:numId w:val="8"/>
        </w:numPr>
        <w:ind w:left="1134" w:right="1134" w:firstLine="0"/>
      </w:pPr>
      <w:r w:rsidRPr="007E7BCC">
        <w:t xml:space="preserve">Being at risk of torture further gives rise to international obligations to protect persons via the provision of asylum and the customary norm to protect such persons from </w:t>
      </w:r>
      <w:r w:rsidRPr="007E7BCC">
        <w:rPr>
          <w:i/>
          <w:iCs/>
        </w:rPr>
        <w:t>refoulement</w:t>
      </w:r>
      <w:r w:rsidRPr="007E7BCC">
        <w:t>: </w:t>
      </w:r>
    </w:p>
    <w:p w14:paraId="537EEE7A" w14:textId="77777777" w:rsidR="00BD416B" w:rsidRPr="007E7BCC" w:rsidRDefault="00BD416B" w:rsidP="008572F4">
      <w:pPr>
        <w:pStyle w:val="Bullet1G"/>
        <w:rPr>
          <w:spacing w:val="4"/>
          <w:w w:val="103"/>
          <w:kern w:val="14"/>
        </w:rPr>
      </w:pPr>
      <w:r w:rsidRPr="007E7BCC">
        <w:rPr>
          <w:w w:val="103"/>
        </w:rPr>
        <w:t>Convention</w:t>
      </w:r>
      <w:r w:rsidRPr="007E7BCC">
        <w:rPr>
          <w:spacing w:val="4"/>
          <w:w w:val="103"/>
          <w:kern w:val="14"/>
        </w:rPr>
        <w:t xml:space="preserve"> relating to the Status of Refugees (1951), art. 1  </w:t>
      </w:r>
    </w:p>
    <w:p w14:paraId="478FA293" w14:textId="77777777" w:rsidR="00BD416B" w:rsidRPr="007E7BCC" w:rsidRDefault="00BD416B" w:rsidP="008572F4">
      <w:pPr>
        <w:pStyle w:val="Bullet1G"/>
        <w:rPr>
          <w:spacing w:val="4"/>
          <w:w w:val="103"/>
          <w:kern w:val="14"/>
        </w:rPr>
      </w:pPr>
      <w:r w:rsidRPr="007E7BCC">
        <w:rPr>
          <w:spacing w:val="4"/>
          <w:w w:val="103"/>
          <w:kern w:val="14"/>
        </w:rPr>
        <w:t xml:space="preserve">Convention relating to the Status of Stateless Persons (1954), </w:t>
      </w:r>
      <w:r w:rsidRPr="007E7BCC">
        <w:rPr>
          <w:w w:val="103"/>
        </w:rPr>
        <w:t>art</w:t>
      </w:r>
      <w:r w:rsidRPr="007E7BCC">
        <w:rPr>
          <w:spacing w:val="4"/>
          <w:w w:val="103"/>
          <w:kern w:val="14"/>
        </w:rPr>
        <w:t>. 1</w:t>
      </w:r>
    </w:p>
    <w:p w14:paraId="6C5CBC96" w14:textId="2B9EC0D1" w:rsidR="00BD416B" w:rsidRPr="007E7BCC" w:rsidRDefault="00BD416B" w:rsidP="00D67C99">
      <w:pPr>
        <w:pStyle w:val="SingleTxt"/>
        <w:numPr>
          <w:ilvl w:val="0"/>
          <w:numId w:val="8"/>
        </w:numPr>
        <w:ind w:left="1134" w:right="1134" w:firstLine="0"/>
      </w:pPr>
      <w:r w:rsidRPr="007E7BCC">
        <w:t>These early and widely ratified conventions provide status, rights and standards of treatment for persons seeking sanctuary in states other than their country of nationality or former habitual residence, such that the denial of said standards has been held to run counter to the prohibition against inhuman or degrading treatment or punishment. They also crucially protect against </w:t>
      </w:r>
      <w:r w:rsidRPr="007E7BCC">
        <w:rPr>
          <w:i/>
          <w:iCs/>
        </w:rPr>
        <w:t>refoulement</w:t>
      </w:r>
      <w:r w:rsidRPr="007E7BCC">
        <w:t xml:space="preserve"> to risks of </w:t>
      </w:r>
      <w:r w:rsidR="000F1A68" w:rsidRPr="007E7BCC">
        <w:t>persecution, which</w:t>
      </w:r>
      <w:r w:rsidRPr="007E7BCC">
        <w:t xml:space="preserve"> is also a peremptory norm of international law</w:t>
      </w:r>
      <w:r w:rsidRPr="007E7BCC">
        <w:rPr>
          <w:vertAlign w:val="superscript"/>
        </w:rPr>
        <w:footnoteReference w:id="39"/>
      </w:r>
      <w:r w:rsidRPr="007E7BCC">
        <w:t>; as does the Convention against Torture and other human rights treaties explicitly prohibit removal in any manner to a threat of torture.</w:t>
      </w:r>
      <w:r w:rsidRPr="007E7BCC">
        <w:rPr>
          <w:vertAlign w:val="superscript"/>
        </w:rPr>
        <w:footnoteReference w:id="40"/>
      </w:r>
      <w:r w:rsidRPr="007E7BCC">
        <w:t xml:space="preserve"> An estimated 30 per cent of refugees in Europe are torture victims, and likely similar or higher rates elsewhere, making these conventions and the rights of refugees and asylum-seekers of relevance to the mandate. </w:t>
      </w:r>
    </w:p>
    <w:p w14:paraId="3CBBC8DE" w14:textId="77777777" w:rsidR="00BD416B" w:rsidRPr="007E7BCC" w:rsidRDefault="00BD416B" w:rsidP="00D67C99">
      <w:pPr>
        <w:pStyle w:val="SingleTxt"/>
        <w:numPr>
          <w:ilvl w:val="0"/>
          <w:numId w:val="8"/>
        </w:numPr>
        <w:ind w:left="1134" w:right="1134" w:firstLine="0"/>
      </w:pPr>
      <w:r w:rsidRPr="007E7BCC">
        <w:t>Regional treaties and declarations are equally unanimous in their condemnation of torture, and are instructive – along with related case law – on how to prevent and respond to it: </w:t>
      </w:r>
    </w:p>
    <w:p w14:paraId="0B15C897" w14:textId="77777777" w:rsidR="00BD416B" w:rsidRPr="007E7BCC" w:rsidRDefault="00BD416B" w:rsidP="008572F4">
      <w:pPr>
        <w:pStyle w:val="Bullet1G"/>
        <w:rPr>
          <w:spacing w:val="4"/>
          <w:w w:val="103"/>
          <w:kern w:val="14"/>
        </w:rPr>
      </w:pPr>
      <w:r w:rsidRPr="007E7BCC">
        <w:rPr>
          <w:w w:val="103"/>
        </w:rPr>
        <w:t>European</w:t>
      </w:r>
      <w:r w:rsidRPr="007E7BCC">
        <w:rPr>
          <w:spacing w:val="4"/>
          <w:w w:val="103"/>
          <w:kern w:val="14"/>
        </w:rPr>
        <w:t xml:space="preserve"> Convention on Human Rights and Fundamental Freedoms (1950), art. 3</w:t>
      </w:r>
    </w:p>
    <w:p w14:paraId="5DBCF776" w14:textId="77777777" w:rsidR="00BD416B" w:rsidRPr="007E7BCC" w:rsidRDefault="00BD416B" w:rsidP="008572F4">
      <w:pPr>
        <w:pStyle w:val="Bullet1G"/>
        <w:rPr>
          <w:spacing w:val="4"/>
          <w:w w:val="103"/>
          <w:kern w:val="14"/>
        </w:rPr>
      </w:pPr>
      <w:r w:rsidRPr="007E7BCC">
        <w:rPr>
          <w:w w:val="103"/>
        </w:rPr>
        <w:t>American</w:t>
      </w:r>
      <w:r w:rsidRPr="007E7BCC">
        <w:rPr>
          <w:spacing w:val="4"/>
          <w:w w:val="103"/>
          <w:kern w:val="14"/>
        </w:rPr>
        <w:t xml:space="preserve"> Convention on Human Rights (1969), art. 5(2)</w:t>
      </w:r>
    </w:p>
    <w:p w14:paraId="356E42F5" w14:textId="77777777" w:rsidR="00BD416B" w:rsidRPr="007E7BCC" w:rsidRDefault="00BD416B" w:rsidP="008572F4">
      <w:pPr>
        <w:pStyle w:val="Bullet1G"/>
        <w:rPr>
          <w:spacing w:val="4"/>
          <w:w w:val="103"/>
          <w:kern w:val="14"/>
        </w:rPr>
      </w:pPr>
      <w:r w:rsidRPr="007E7BCC">
        <w:rPr>
          <w:spacing w:val="4"/>
          <w:w w:val="103"/>
          <w:kern w:val="14"/>
        </w:rPr>
        <w:t>Inter-American Convention to Prevent and Punish Torture (1985) (in its entirety)</w:t>
      </w:r>
    </w:p>
    <w:p w14:paraId="620B89B8" w14:textId="77777777" w:rsidR="00BD416B" w:rsidRPr="007E7BCC" w:rsidRDefault="00BD416B" w:rsidP="008572F4">
      <w:pPr>
        <w:pStyle w:val="Bullet1G"/>
        <w:rPr>
          <w:spacing w:val="4"/>
          <w:w w:val="103"/>
          <w:kern w:val="14"/>
        </w:rPr>
      </w:pPr>
      <w:r w:rsidRPr="007E7BCC">
        <w:rPr>
          <w:w w:val="103"/>
        </w:rPr>
        <w:t>African</w:t>
      </w:r>
      <w:r w:rsidRPr="007E7BCC">
        <w:rPr>
          <w:spacing w:val="4"/>
          <w:w w:val="103"/>
          <w:kern w:val="14"/>
        </w:rPr>
        <w:t xml:space="preserve"> Charter on Human and Peoples’ Rights (1986), art. 5</w:t>
      </w:r>
    </w:p>
    <w:p w14:paraId="6FAF3414" w14:textId="77777777" w:rsidR="00BD416B" w:rsidRPr="007E7BCC" w:rsidRDefault="00BD416B" w:rsidP="008572F4">
      <w:pPr>
        <w:pStyle w:val="Bullet1G"/>
        <w:rPr>
          <w:spacing w:val="4"/>
          <w:w w:val="103"/>
          <w:kern w:val="14"/>
        </w:rPr>
      </w:pPr>
      <w:r w:rsidRPr="007E7BCC">
        <w:rPr>
          <w:spacing w:val="4"/>
          <w:w w:val="103"/>
          <w:kern w:val="14"/>
        </w:rPr>
        <w:t>African Charter on the Rights and Welfare of the Child (</w:t>
      </w:r>
      <w:r w:rsidRPr="007E7BCC">
        <w:rPr>
          <w:w w:val="103"/>
        </w:rPr>
        <w:t>1999</w:t>
      </w:r>
      <w:r w:rsidRPr="007E7BCC">
        <w:rPr>
          <w:spacing w:val="4"/>
          <w:w w:val="103"/>
          <w:kern w:val="14"/>
        </w:rPr>
        <w:t>), articles 16 &amp; 17</w:t>
      </w:r>
    </w:p>
    <w:p w14:paraId="2F6DD41C" w14:textId="77777777" w:rsidR="00BD416B" w:rsidRPr="007E7BCC" w:rsidRDefault="00BD416B" w:rsidP="008572F4">
      <w:pPr>
        <w:pStyle w:val="Bullet1G"/>
        <w:rPr>
          <w:spacing w:val="4"/>
          <w:w w:val="103"/>
          <w:kern w:val="14"/>
        </w:rPr>
      </w:pPr>
      <w:r w:rsidRPr="007E7BCC">
        <w:rPr>
          <w:spacing w:val="4"/>
          <w:w w:val="103"/>
          <w:kern w:val="14"/>
        </w:rPr>
        <w:t xml:space="preserve">European Convention for the Prevention of Torture and Inhuman or Degrading Treatment or Punishment (2002) (in </w:t>
      </w:r>
      <w:r w:rsidRPr="007E7BCC">
        <w:rPr>
          <w:w w:val="103"/>
        </w:rPr>
        <w:t>its</w:t>
      </w:r>
      <w:r w:rsidRPr="007E7BCC">
        <w:rPr>
          <w:spacing w:val="4"/>
          <w:w w:val="103"/>
          <w:kern w:val="14"/>
        </w:rPr>
        <w:t xml:space="preserve"> entirety)</w:t>
      </w:r>
    </w:p>
    <w:p w14:paraId="236EFEEE" w14:textId="77777777" w:rsidR="00BD416B" w:rsidRPr="007E7BCC" w:rsidRDefault="00BD416B" w:rsidP="008572F4">
      <w:pPr>
        <w:pStyle w:val="Bullet1G"/>
        <w:rPr>
          <w:spacing w:val="4"/>
          <w:w w:val="103"/>
          <w:kern w:val="14"/>
        </w:rPr>
      </w:pPr>
      <w:r w:rsidRPr="007E7BCC">
        <w:rPr>
          <w:w w:val="103"/>
        </w:rPr>
        <w:t>Arab</w:t>
      </w:r>
      <w:r w:rsidRPr="007E7BCC">
        <w:rPr>
          <w:spacing w:val="4"/>
          <w:w w:val="103"/>
          <w:kern w:val="14"/>
        </w:rPr>
        <w:t xml:space="preserve"> Charter on Human Rights (2004), art. 8</w:t>
      </w:r>
    </w:p>
    <w:p w14:paraId="7436B23F" w14:textId="77777777" w:rsidR="00BD416B" w:rsidRPr="007E7BCC" w:rsidRDefault="00BD416B" w:rsidP="008572F4">
      <w:pPr>
        <w:pStyle w:val="Bullet1G"/>
        <w:rPr>
          <w:spacing w:val="4"/>
          <w:w w:val="103"/>
          <w:kern w:val="14"/>
        </w:rPr>
      </w:pPr>
      <w:r w:rsidRPr="007E7BCC">
        <w:rPr>
          <w:w w:val="103"/>
        </w:rPr>
        <w:t>Protocol</w:t>
      </w:r>
      <w:r w:rsidRPr="007E7BCC">
        <w:rPr>
          <w:spacing w:val="4"/>
          <w:w w:val="103"/>
          <w:kern w:val="14"/>
        </w:rPr>
        <w:t xml:space="preserve"> to the African Charter on Human and Peoples’ Rights on the Rights of Women in Africa (2005), arts 3, 4 &amp; 5</w:t>
      </w:r>
    </w:p>
    <w:p w14:paraId="71610728" w14:textId="77777777" w:rsidR="00BD416B" w:rsidRPr="007E7BCC" w:rsidRDefault="00BD416B" w:rsidP="008572F4">
      <w:pPr>
        <w:pStyle w:val="Bullet1G"/>
        <w:rPr>
          <w:spacing w:val="4"/>
          <w:w w:val="103"/>
          <w:kern w:val="14"/>
        </w:rPr>
      </w:pPr>
      <w:r w:rsidRPr="007E7BCC">
        <w:rPr>
          <w:w w:val="103"/>
        </w:rPr>
        <w:t>African</w:t>
      </w:r>
      <w:r w:rsidRPr="007E7BCC">
        <w:rPr>
          <w:spacing w:val="4"/>
          <w:w w:val="103"/>
          <w:kern w:val="14"/>
        </w:rPr>
        <w:t xml:space="preserve"> Union Convention for the Protection and Assistance of Internally Displaced Persons in Africa (2009), art. 9(c)</w:t>
      </w:r>
    </w:p>
    <w:p w14:paraId="325C7581" w14:textId="77777777" w:rsidR="00BD416B" w:rsidRPr="007E7BCC" w:rsidRDefault="00BD416B" w:rsidP="008572F4">
      <w:pPr>
        <w:pStyle w:val="Bullet1G"/>
        <w:rPr>
          <w:spacing w:val="4"/>
          <w:w w:val="103"/>
          <w:kern w:val="14"/>
        </w:rPr>
      </w:pPr>
      <w:r w:rsidRPr="007E7BCC">
        <w:rPr>
          <w:w w:val="103"/>
        </w:rPr>
        <w:t>European</w:t>
      </w:r>
      <w:r w:rsidRPr="007E7BCC">
        <w:rPr>
          <w:spacing w:val="4"/>
          <w:w w:val="103"/>
          <w:kern w:val="14"/>
        </w:rPr>
        <w:t xml:space="preserve"> Convention on Preventing and Combating Violence against Women and Domestic Violence (2011), art. 61(2)</w:t>
      </w:r>
    </w:p>
    <w:p w14:paraId="2014A5F7" w14:textId="77777777" w:rsidR="00BD416B" w:rsidRPr="007E7BCC" w:rsidRDefault="00BD416B" w:rsidP="008572F4">
      <w:pPr>
        <w:pStyle w:val="Bullet1G"/>
        <w:rPr>
          <w:spacing w:val="4"/>
          <w:w w:val="103"/>
          <w:kern w:val="14"/>
        </w:rPr>
      </w:pPr>
      <w:r w:rsidRPr="007E7BCC">
        <w:rPr>
          <w:spacing w:val="4"/>
          <w:w w:val="103"/>
          <w:kern w:val="14"/>
        </w:rPr>
        <w:t>Charter of Fundamental Rights of the European Union (</w:t>
      </w:r>
      <w:r w:rsidRPr="007E7BCC">
        <w:rPr>
          <w:w w:val="103"/>
        </w:rPr>
        <w:t>2012</w:t>
      </w:r>
      <w:r w:rsidRPr="007E7BCC">
        <w:rPr>
          <w:spacing w:val="4"/>
          <w:w w:val="103"/>
          <w:kern w:val="14"/>
        </w:rPr>
        <w:t>), arts. 4 &amp; 19</w:t>
      </w:r>
    </w:p>
    <w:p w14:paraId="532FAEE0" w14:textId="77777777" w:rsidR="00BD416B" w:rsidRPr="007E7BCC" w:rsidRDefault="00BD416B" w:rsidP="008572F4">
      <w:pPr>
        <w:pStyle w:val="Bullet1G"/>
        <w:rPr>
          <w:spacing w:val="4"/>
          <w:w w:val="103"/>
          <w:kern w:val="14"/>
        </w:rPr>
      </w:pPr>
      <w:r w:rsidRPr="007E7BCC">
        <w:rPr>
          <w:w w:val="103"/>
        </w:rPr>
        <w:t>ASEAN</w:t>
      </w:r>
      <w:r w:rsidRPr="007E7BCC">
        <w:rPr>
          <w:spacing w:val="4"/>
          <w:w w:val="103"/>
          <w:kern w:val="14"/>
        </w:rPr>
        <w:t xml:space="preserve"> Human Rights Declaration (2012), art. 14</w:t>
      </w:r>
    </w:p>
    <w:p w14:paraId="67549F6A" w14:textId="77777777" w:rsidR="00BD416B" w:rsidRPr="007E7BCC" w:rsidRDefault="00BD416B" w:rsidP="008572F4">
      <w:pPr>
        <w:pStyle w:val="Bullet1G"/>
        <w:rPr>
          <w:spacing w:val="4"/>
          <w:w w:val="103"/>
          <w:kern w:val="14"/>
        </w:rPr>
      </w:pPr>
      <w:r w:rsidRPr="007E7BCC">
        <w:rPr>
          <w:w w:val="103"/>
        </w:rPr>
        <w:t>Cairo</w:t>
      </w:r>
      <w:r w:rsidRPr="007E7BCC">
        <w:rPr>
          <w:spacing w:val="4"/>
          <w:w w:val="103"/>
          <w:kern w:val="14"/>
        </w:rPr>
        <w:t xml:space="preserve"> Declaration of the Organization of Islamic Cooperation on Human Rights (2021), art. 4</w:t>
      </w:r>
    </w:p>
    <w:p w14:paraId="34748FC2" w14:textId="1E02CE8C" w:rsidR="00BD416B" w:rsidRPr="007E7BCC" w:rsidRDefault="000F1A68" w:rsidP="00D67C99">
      <w:pPr>
        <w:pStyle w:val="SingleTxt"/>
        <w:numPr>
          <w:ilvl w:val="0"/>
          <w:numId w:val="8"/>
        </w:numPr>
        <w:ind w:left="1134" w:right="1134" w:firstLine="0"/>
      </w:pPr>
      <w:r w:rsidRPr="007E7BCC">
        <w:t>Arguably,</w:t>
      </w:r>
      <w:r w:rsidR="00BD416B" w:rsidRPr="007E7BCC">
        <w:t xml:space="preserve"> the prohibition against torture is the most regulated fundamental right under international law, supported further by an impressive array of soft law standards</w:t>
      </w:r>
      <w:r w:rsidR="00BD416B" w:rsidRPr="007E7BCC">
        <w:rPr>
          <w:vertAlign w:val="superscript"/>
        </w:rPr>
        <w:footnoteReference w:id="41"/>
      </w:r>
      <w:r w:rsidR="00BD416B" w:rsidRPr="007E7BCC">
        <w:t xml:space="preserve">. </w:t>
      </w:r>
    </w:p>
    <w:p w14:paraId="76BBCEAE" w14:textId="77777777" w:rsidR="00BD416B" w:rsidRPr="007E7BCC" w:rsidRDefault="00BD416B" w:rsidP="00D67C99">
      <w:pPr>
        <w:pStyle w:val="SingleTxt"/>
        <w:numPr>
          <w:ilvl w:val="0"/>
          <w:numId w:val="8"/>
        </w:numPr>
        <w:ind w:left="1134" w:right="1134" w:firstLine="0"/>
      </w:pPr>
      <w:r w:rsidRPr="007E7BCC">
        <w:t xml:space="preserve">In summary, international obligations to prohibit, prevent, punish and remedy acts of torture and ill-treatment call on states to:  </w:t>
      </w:r>
    </w:p>
    <w:p w14:paraId="1DF4D4CF" w14:textId="77777777" w:rsidR="00BD416B" w:rsidRPr="007E7BCC" w:rsidRDefault="00BD416B" w:rsidP="008572F4">
      <w:pPr>
        <w:pStyle w:val="Bullet1G"/>
        <w:rPr>
          <w:spacing w:val="4"/>
          <w:w w:val="103"/>
          <w:kern w:val="14"/>
        </w:rPr>
      </w:pPr>
      <w:r w:rsidRPr="007E7BCC">
        <w:rPr>
          <w:spacing w:val="4"/>
          <w:w w:val="103"/>
          <w:kern w:val="14"/>
        </w:rPr>
        <w:t>Take effective legislative, administrative, judicial or other measures to prevent torture and other ill-treatment;</w:t>
      </w:r>
    </w:p>
    <w:p w14:paraId="5494DCBE" w14:textId="77777777" w:rsidR="00BD416B" w:rsidRPr="007E7BCC" w:rsidRDefault="00BD416B" w:rsidP="008572F4">
      <w:pPr>
        <w:pStyle w:val="Bullet1G"/>
        <w:rPr>
          <w:spacing w:val="4"/>
          <w:w w:val="103"/>
          <w:kern w:val="14"/>
        </w:rPr>
      </w:pPr>
      <w:r w:rsidRPr="007E7BCC">
        <w:rPr>
          <w:spacing w:val="4"/>
          <w:w w:val="103"/>
          <w:kern w:val="14"/>
        </w:rPr>
        <w:t xml:space="preserve">Protect persons against expulsion, </w:t>
      </w:r>
      <w:r w:rsidRPr="007E7BCC">
        <w:rPr>
          <w:i/>
          <w:iCs/>
          <w:spacing w:val="4"/>
          <w:w w:val="103"/>
          <w:kern w:val="14"/>
        </w:rPr>
        <w:t>refoulement</w:t>
      </w:r>
      <w:r w:rsidRPr="007E7BCC">
        <w:rPr>
          <w:spacing w:val="4"/>
          <w:w w:val="103"/>
          <w:kern w:val="14"/>
        </w:rPr>
        <w:t xml:space="preserve"> or extradition of any individual where there are substantial grounds for believing that the person would be subjected to torture or ill-treatment;</w:t>
      </w:r>
    </w:p>
    <w:p w14:paraId="6DE5532A" w14:textId="77777777" w:rsidR="00BD416B" w:rsidRPr="007E7BCC" w:rsidRDefault="00BD416B" w:rsidP="008572F4">
      <w:pPr>
        <w:pStyle w:val="Bullet1G"/>
        <w:rPr>
          <w:spacing w:val="4"/>
          <w:w w:val="103"/>
          <w:kern w:val="14"/>
        </w:rPr>
      </w:pPr>
      <w:r w:rsidRPr="007E7BCC">
        <w:rPr>
          <w:spacing w:val="4"/>
          <w:w w:val="103"/>
          <w:kern w:val="14"/>
        </w:rPr>
        <w:t xml:space="preserve">Create and prosecute offenses of torture under domestic law </w:t>
      </w:r>
      <w:r w:rsidRPr="007E7BCC">
        <w:rPr>
          <w:w w:val="103"/>
        </w:rPr>
        <w:t>including</w:t>
      </w:r>
      <w:r w:rsidRPr="007E7BCC">
        <w:rPr>
          <w:spacing w:val="4"/>
          <w:w w:val="103"/>
          <w:kern w:val="14"/>
        </w:rPr>
        <w:t xml:space="preserve"> legislating for universal jurisdiction and extraterritorial application of domestic laws to cover illegal actions of law enforcement, military and other service personnel operating abroad; </w:t>
      </w:r>
    </w:p>
    <w:p w14:paraId="11B472EA" w14:textId="1CCE1F7E" w:rsidR="00BD416B" w:rsidRPr="007E7BCC" w:rsidRDefault="00BD416B" w:rsidP="008572F4">
      <w:pPr>
        <w:pStyle w:val="Bullet1G"/>
        <w:rPr>
          <w:spacing w:val="4"/>
          <w:w w:val="103"/>
          <w:kern w:val="14"/>
        </w:rPr>
      </w:pPr>
      <w:r w:rsidRPr="007E7BCC">
        <w:rPr>
          <w:spacing w:val="4"/>
          <w:w w:val="103"/>
          <w:kern w:val="14"/>
        </w:rPr>
        <w:t xml:space="preserve">Establish complaints procedures for victims, and examine </w:t>
      </w:r>
      <w:r w:rsidRPr="007E7BCC">
        <w:rPr>
          <w:w w:val="103"/>
        </w:rPr>
        <w:t>promptly</w:t>
      </w:r>
      <w:r w:rsidRPr="007E7BCC">
        <w:rPr>
          <w:spacing w:val="4"/>
          <w:w w:val="103"/>
          <w:kern w:val="14"/>
        </w:rPr>
        <w:t xml:space="preserve"> and impartially such complaints by competent authorities, establish victim and witness protection, and </w:t>
      </w:r>
      <w:r w:rsidR="000F1A68" w:rsidRPr="007E7BCC">
        <w:rPr>
          <w:spacing w:val="4"/>
          <w:w w:val="103"/>
          <w:kern w:val="14"/>
        </w:rPr>
        <w:t>whistle-blower</w:t>
      </w:r>
      <w:r w:rsidRPr="007E7BCC">
        <w:rPr>
          <w:spacing w:val="4"/>
          <w:w w:val="103"/>
          <w:kern w:val="14"/>
        </w:rPr>
        <w:t xml:space="preserve"> protection;</w:t>
      </w:r>
    </w:p>
    <w:p w14:paraId="52A929D6" w14:textId="77777777" w:rsidR="00BD416B" w:rsidRPr="007E7BCC" w:rsidRDefault="00BD416B" w:rsidP="008572F4">
      <w:pPr>
        <w:pStyle w:val="Bullet1G"/>
        <w:rPr>
          <w:spacing w:val="4"/>
          <w:w w:val="103"/>
          <w:kern w:val="14"/>
        </w:rPr>
      </w:pPr>
      <w:r w:rsidRPr="007E7BCC">
        <w:rPr>
          <w:spacing w:val="4"/>
          <w:w w:val="103"/>
          <w:kern w:val="14"/>
        </w:rPr>
        <w:t>Investigate promptly and impartially allegations of torture and establish bodies independent of police and other law enforcement to carry out such investigations;</w:t>
      </w:r>
    </w:p>
    <w:p w14:paraId="3EB6E4BD" w14:textId="77777777" w:rsidR="00BD416B" w:rsidRPr="007E7BCC" w:rsidRDefault="00BD416B" w:rsidP="008572F4">
      <w:pPr>
        <w:pStyle w:val="Bullet1G"/>
        <w:rPr>
          <w:spacing w:val="4"/>
          <w:w w:val="103"/>
          <w:kern w:val="14"/>
        </w:rPr>
      </w:pPr>
      <w:r w:rsidRPr="007E7BCC">
        <w:rPr>
          <w:w w:val="103"/>
        </w:rPr>
        <w:t>Cooperate</w:t>
      </w:r>
      <w:r w:rsidRPr="007E7BCC">
        <w:rPr>
          <w:spacing w:val="4"/>
          <w:w w:val="103"/>
          <w:kern w:val="14"/>
        </w:rPr>
        <w:t xml:space="preserve"> on the extradition of persons indicted for the crime of torture and where extradition is not possible, prosecute alleged offenders; </w:t>
      </w:r>
    </w:p>
    <w:p w14:paraId="0971F304" w14:textId="77777777" w:rsidR="00BD416B" w:rsidRPr="007E7BCC" w:rsidRDefault="00BD416B" w:rsidP="008572F4">
      <w:pPr>
        <w:pStyle w:val="Bullet1G"/>
        <w:rPr>
          <w:spacing w:val="4"/>
          <w:w w:val="103"/>
          <w:kern w:val="14"/>
        </w:rPr>
      </w:pPr>
      <w:r w:rsidRPr="007E7BCC">
        <w:rPr>
          <w:spacing w:val="4"/>
          <w:w w:val="103"/>
          <w:kern w:val="14"/>
        </w:rPr>
        <w:t xml:space="preserve">Educate and train law-enforcement personnel, public officials, or other persons on the prohibition of torture who may be involved in the custody, interrogation, or treatment of any arrested, detained, or imprisoned individuals; </w:t>
      </w:r>
    </w:p>
    <w:p w14:paraId="73849773" w14:textId="77777777" w:rsidR="00BD416B" w:rsidRPr="007E7BCC" w:rsidRDefault="00BD416B" w:rsidP="008572F4">
      <w:pPr>
        <w:pStyle w:val="Bullet1G"/>
        <w:rPr>
          <w:spacing w:val="4"/>
          <w:w w:val="103"/>
          <w:kern w:val="14"/>
        </w:rPr>
      </w:pPr>
      <w:r w:rsidRPr="007E7BCC">
        <w:rPr>
          <w:spacing w:val="4"/>
          <w:w w:val="103"/>
          <w:kern w:val="14"/>
        </w:rPr>
        <w:t xml:space="preserve">Review systematically interrogation rules, instructions, </w:t>
      </w:r>
      <w:r w:rsidRPr="007E7BCC">
        <w:rPr>
          <w:w w:val="103"/>
        </w:rPr>
        <w:t>methods</w:t>
      </w:r>
      <w:r w:rsidRPr="007E7BCC">
        <w:rPr>
          <w:spacing w:val="4"/>
          <w:w w:val="103"/>
          <w:kern w:val="14"/>
        </w:rPr>
        <w:t>, and practices;</w:t>
      </w:r>
    </w:p>
    <w:p w14:paraId="40B2FD0E" w14:textId="77777777" w:rsidR="00BD416B" w:rsidRPr="007E7BCC" w:rsidRDefault="00BD416B" w:rsidP="008572F4">
      <w:pPr>
        <w:pStyle w:val="Bullet1G"/>
        <w:rPr>
          <w:spacing w:val="4"/>
          <w:w w:val="103"/>
          <w:kern w:val="14"/>
        </w:rPr>
      </w:pPr>
      <w:r w:rsidRPr="007E7BCC">
        <w:rPr>
          <w:spacing w:val="4"/>
          <w:w w:val="103"/>
          <w:kern w:val="14"/>
        </w:rPr>
        <w:t xml:space="preserve">Provide redress within the legal system and an enforceable </w:t>
      </w:r>
      <w:r w:rsidRPr="007E7BCC">
        <w:rPr>
          <w:w w:val="103"/>
        </w:rPr>
        <w:t>right</w:t>
      </w:r>
      <w:r w:rsidRPr="007E7BCC">
        <w:rPr>
          <w:spacing w:val="4"/>
          <w:w w:val="103"/>
          <w:kern w:val="14"/>
        </w:rPr>
        <w:t xml:space="preserve"> to fair and adequate compensation, including full rehabilitation for victims or, where death results from torture, the entitlement of dependents to compensation; </w:t>
      </w:r>
    </w:p>
    <w:p w14:paraId="2DA2D9AE" w14:textId="77777777" w:rsidR="00BD416B" w:rsidRPr="007E7BCC" w:rsidRDefault="00BD416B" w:rsidP="008572F4">
      <w:pPr>
        <w:pStyle w:val="Bullet1G"/>
        <w:rPr>
          <w:spacing w:val="4"/>
          <w:w w:val="103"/>
          <w:kern w:val="14"/>
        </w:rPr>
      </w:pPr>
      <w:r w:rsidRPr="007E7BCC">
        <w:rPr>
          <w:spacing w:val="4"/>
          <w:w w:val="103"/>
          <w:kern w:val="14"/>
        </w:rPr>
        <w:t xml:space="preserve">Establish safeguards against the admission of any statements </w:t>
      </w:r>
      <w:r w:rsidRPr="007E7BCC">
        <w:rPr>
          <w:w w:val="103"/>
        </w:rPr>
        <w:t>made</w:t>
      </w:r>
      <w:r w:rsidRPr="007E7BCC">
        <w:rPr>
          <w:spacing w:val="4"/>
          <w:w w:val="103"/>
          <w:kern w:val="14"/>
        </w:rPr>
        <w:t xml:space="preserve"> as a result of torture as evidence in any proceedings except against a person accused of torture as evidence that the statement was made.</w:t>
      </w:r>
    </w:p>
    <w:p w14:paraId="5B85A8A6" w14:textId="77777777" w:rsidR="00BD416B" w:rsidRPr="007E7BCC" w:rsidRDefault="00BD416B" w:rsidP="00D67C99">
      <w:pPr>
        <w:pStyle w:val="SingleTxt"/>
        <w:numPr>
          <w:ilvl w:val="0"/>
          <w:numId w:val="8"/>
        </w:numPr>
        <w:ind w:left="1134" w:right="1134" w:firstLine="0"/>
      </w:pPr>
      <w:r w:rsidRPr="007E7BCC">
        <w:t xml:space="preserve">These obligations are express in the Convention against Torture, and ancillary to the obligations expressed in other international treaties and under international human rights law. Their full implementation would lead to the sizable reduction in risks of torture and other ill-treatment. </w:t>
      </w:r>
    </w:p>
    <w:p w14:paraId="31A3CA3D" w14:textId="18B14344" w:rsidR="00BD416B" w:rsidRPr="007E7BCC" w:rsidRDefault="008572F4" w:rsidP="008572F4">
      <w:pPr>
        <w:pStyle w:val="H1G"/>
        <w:rPr>
          <w:w w:val="103"/>
        </w:rPr>
      </w:pPr>
      <w:r w:rsidRPr="007E7BCC">
        <w:rPr>
          <w:w w:val="103"/>
        </w:rPr>
        <w:tab/>
        <w:t>C.</w:t>
      </w:r>
      <w:r w:rsidRPr="007E7BCC">
        <w:rPr>
          <w:w w:val="103"/>
        </w:rPr>
        <w:tab/>
      </w:r>
      <w:r w:rsidR="00BD416B" w:rsidRPr="007E7BCC">
        <w:rPr>
          <w:w w:val="103"/>
        </w:rPr>
        <w:t>Gaps in the regulation of the prohibition of torture at international law</w:t>
      </w:r>
    </w:p>
    <w:p w14:paraId="73924925" w14:textId="6D72A36C" w:rsidR="00BD416B" w:rsidRPr="007E7BCC" w:rsidRDefault="00BD416B" w:rsidP="000F1A68">
      <w:pPr>
        <w:pStyle w:val="SingleTxt"/>
        <w:numPr>
          <w:ilvl w:val="0"/>
          <w:numId w:val="8"/>
        </w:numPr>
        <w:ind w:left="1134" w:right="1134" w:firstLine="0"/>
      </w:pPr>
      <w:r w:rsidRPr="007E7BCC">
        <w:t>Despite this comprehensive library of guidance, there are three areas worth highlighting which impinge on the prohibition o</w:t>
      </w:r>
      <w:r w:rsidR="000F1A68">
        <w:t>f</w:t>
      </w:r>
      <w:r w:rsidRPr="007E7BCC">
        <w:t xml:space="preserve"> torture and other ill-treatment and yet are largely unregulated at the level of international law, and as a flow-on consequence, there is a lack of settled guidance for governments and public authorities. The below-mentioned subject-areas will be on the agenda of the Special Rapporteur.</w:t>
      </w:r>
    </w:p>
    <w:p w14:paraId="4E0CF91E" w14:textId="77777777" w:rsidR="00BD416B" w:rsidRPr="007E7BCC" w:rsidRDefault="00BD416B" w:rsidP="00D67C99">
      <w:pPr>
        <w:pStyle w:val="SingleTxt"/>
        <w:numPr>
          <w:ilvl w:val="0"/>
          <w:numId w:val="8"/>
        </w:numPr>
        <w:ind w:left="1134" w:right="1134" w:firstLine="0"/>
      </w:pPr>
      <w:r w:rsidRPr="007E7BCC">
        <w:t>The first gap is in respect of the manufacture, export and use of weapons, equipment and devices used in law enforcement, some of which appear to be designed for no legitimate reason except to inflict unnecessary harm on arrested or detained persons. Where they meet this threshold such devices should be banned outright.</w:t>
      </w:r>
      <w:r w:rsidRPr="007E7BCC">
        <w:rPr>
          <w:vertAlign w:val="superscript"/>
        </w:rPr>
        <w:footnoteReference w:id="42"/>
      </w:r>
      <w:r w:rsidRPr="007E7BCC">
        <w:t xml:space="preserve"> </w:t>
      </w:r>
    </w:p>
    <w:p w14:paraId="62BDC44B" w14:textId="77777777" w:rsidR="00BD416B" w:rsidRPr="007E7BCC" w:rsidRDefault="00BD416B" w:rsidP="00D67C99">
      <w:pPr>
        <w:pStyle w:val="SingleTxt"/>
        <w:numPr>
          <w:ilvl w:val="0"/>
          <w:numId w:val="8"/>
        </w:numPr>
        <w:ind w:left="1134" w:right="1134" w:firstLine="0"/>
      </w:pPr>
      <w:r w:rsidRPr="007E7BCC">
        <w:t>The second subject-area that has not been fully addressed at the global level is in respect of the use of technology in various aspects of law enforcement, or in psychiatric, medical and correctional facilities. Such technology is wide-ranging</w:t>
      </w:r>
      <w:r w:rsidRPr="007E7BCC">
        <w:rPr>
          <w:vertAlign w:val="superscript"/>
        </w:rPr>
        <w:footnoteReference w:id="43"/>
      </w:r>
      <w:r w:rsidRPr="007E7BCC">
        <w:t xml:space="preserve"> and there is a growing reliance on it in many jurisdictions and sectors. Many such developments have brought efficiencies, advanced humane treatment and prevented torture. Some have brought about safer and more reliable justice outcomes, such as more secure evidence collection and preservation, greater protection of rights of arrested or detained persons as well as protection of the authorities from false allegations, when used correctly. Their management is however at times an afterthought. The regulation, management and deployment of technologies in the criminal justice, immigration and military sectors and their relationship with the prohibition of torture and other ill-treatment requires deeper study and analysis</w:t>
      </w:r>
      <w:r w:rsidRPr="007E7BCC">
        <w:rPr>
          <w:vertAlign w:val="superscript"/>
        </w:rPr>
        <w:footnoteReference w:id="44"/>
      </w:r>
      <w:r w:rsidRPr="007E7BCC">
        <w:t xml:space="preserve"> and will be integrated into the work of the mandate. </w:t>
      </w:r>
    </w:p>
    <w:p w14:paraId="25206DA1" w14:textId="77777777" w:rsidR="00BD416B" w:rsidRPr="007E7BCC" w:rsidRDefault="00BD416B" w:rsidP="00D67C99">
      <w:pPr>
        <w:pStyle w:val="SingleTxt"/>
        <w:numPr>
          <w:ilvl w:val="0"/>
          <w:numId w:val="8"/>
        </w:numPr>
        <w:ind w:left="1134" w:right="1134" w:firstLine="0"/>
      </w:pPr>
      <w:r w:rsidRPr="007E7BCC">
        <w:t>Third, a good body of research argues that the risks of torture and ill-treatment are greatest in the first hours when an individual is arrested and/or detained by police and other law enforcement (</w:t>
      </w:r>
      <w:hyperlink r:id="rId28" w:history="1">
        <w:r w:rsidRPr="007E7BCC">
          <w:rPr>
            <w:rStyle w:val="Hyperlink"/>
          </w:rPr>
          <w:t>A/71/298</w:t>
        </w:r>
      </w:hyperlink>
      <w:r w:rsidRPr="007E7BCC">
        <w:t>), especially where the regular legal and procedural safeguards are not applied. While there are a wide number of soft law standards in relation to safeguards, it has been recognized by a growing number of states that they should develop domestic guidelines and training on the conduct of interrogations with a view to preventing torture and ill-treatment (</w:t>
      </w:r>
      <w:hyperlink r:id="rId29" w:history="1">
        <w:r w:rsidRPr="007E7BCC">
          <w:rPr>
            <w:rStyle w:val="Hyperlink"/>
          </w:rPr>
          <w:t>A/RES/74/142</w:t>
        </w:r>
      </w:hyperlink>
      <w:r w:rsidRPr="007E7BCC">
        <w:t>, para. 13-17). The Special Rapporteur recommends to all states the expert- and practitioner-drafted Mendez Principles on Effective Interviewing for Investigations and Evidence Gathering</w:t>
      </w:r>
      <w:r w:rsidRPr="007E7BCC">
        <w:rPr>
          <w:vertAlign w:val="superscript"/>
        </w:rPr>
        <w:footnoteReference w:id="45"/>
      </w:r>
      <w:r w:rsidRPr="007E7BCC">
        <w:t xml:space="preserve">. </w:t>
      </w:r>
    </w:p>
    <w:p w14:paraId="681A810B" w14:textId="1AE07758" w:rsidR="00BD416B" w:rsidRPr="007E7BCC" w:rsidRDefault="00BD416B" w:rsidP="008572F4">
      <w:pPr>
        <w:pStyle w:val="HChG"/>
        <w:rPr>
          <w:w w:val="103"/>
        </w:rPr>
      </w:pPr>
      <w:r w:rsidRPr="007E7BCC">
        <w:rPr>
          <w:w w:val="103"/>
        </w:rPr>
        <w:tab/>
        <w:t>V.</w:t>
      </w:r>
      <w:r w:rsidRPr="007E7BCC">
        <w:rPr>
          <w:w w:val="103"/>
        </w:rPr>
        <w:tab/>
      </w:r>
      <w:r w:rsidR="008572F4" w:rsidRPr="007E7BCC">
        <w:rPr>
          <w:w w:val="103"/>
        </w:rPr>
        <w:t>C</w:t>
      </w:r>
      <w:r w:rsidRPr="007E7BCC">
        <w:rPr>
          <w:w w:val="103"/>
        </w:rPr>
        <w:t>onclusions and recommendations</w:t>
      </w:r>
    </w:p>
    <w:p w14:paraId="5BD56EBE" w14:textId="5B0D739B" w:rsidR="00BD416B" w:rsidRPr="007E7BCC" w:rsidRDefault="00BD416B" w:rsidP="000F1A68">
      <w:pPr>
        <w:pStyle w:val="SingleTxt"/>
        <w:numPr>
          <w:ilvl w:val="0"/>
          <w:numId w:val="8"/>
        </w:numPr>
        <w:ind w:left="1134" w:right="1134" w:firstLine="0"/>
        <w:rPr>
          <w:b/>
          <w:bCs/>
        </w:rPr>
      </w:pPr>
      <w:r w:rsidRPr="007E7BCC">
        <w:rPr>
          <w:b/>
          <w:bCs/>
        </w:rPr>
        <w:t xml:space="preserve">In this interim report, the Special Rapporteur </w:t>
      </w:r>
      <w:r w:rsidR="000F1A68">
        <w:rPr>
          <w:b/>
          <w:bCs/>
        </w:rPr>
        <w:t>shares</w:t>
      </w:r>
      <w:r w:rsidRPr="007E7BCC">
        <w:rPr>
          <w:b/>
          <w:bCs/>
        </w:rPr>
        <w:t xml:space="preserve"> her vision and approach to the mandate and her first thematic report priorities. Her programme of work will balance the reactive and proactive pressures of the position. The Special Rapporteur is energized to activate all aspects of the mandate bestowed on her by the Human Rights Council, and reiterates her appreciation for the trust placed in her appointment. </w:t>
      </w:r>
    </w:p>
    <w:p w14:paraId="26065082" w14:textId="6F279854" w:rsidR="00BD416B" w:rsidRPr="007E7BCC" w:rsidRDefault="00BD416B" w:rsidP="000F1A68">
      <w:pPr>
        <w:pStyle w:val="SingleTxt"/>
        <w:numPr>
          <w:ilvl w:val="0"/>
          <w:numId w:val="8"/>
        </w:numPr>
        <w:ind w:left="1134" w:right="1134" w:firstLine="0"/>
        <w:rPr>
          <w:b/>
          <w:bCs/>
        </w:rPr>
      </w:pPr>
      <w:r w:rsidRPr="007E7BCC">
        <w:rPr>
          <w:b/>
          <w:bCs/>
        </w:rPr>
        <w:t xml:space="preserve">Cognisant of the breadth and depth of responsibilities and the significance of the universal struggle against torture and other ill-treatment, the Special Rapporteur looks forward to engaging collaboratively and constructively with all stakeholders, noting the lead role that must be played by </w:t>
      </w:r>
      <w:r w:rsidR="000F1A68">
        <w:rPr>
          <w:b/>
          <w:bCs/>
        </w:rPr>
        <w:t>S</w:t>
      </w:r>
      <w:r w:rsidRPr="007E7BCC">
        <w:rPr>
          <w:b/>
          <w:bCs/>
        </w:rPr>
        <w:t xml:space="preserve">tates. </w:t>
      </w:r>
    </w:p>
    <w:p w14:paraId="5B4B4AC4" w14:textId="7BA52CDD" w:rsidR="00BD416B" w:rsidRPr="007E7BCC" w:rsidRDefault="00BD416B" w:rsidP="00D67C99">
      <w:pPr>
        <w:pStyle w:val="SingleTxt"/>
        <w:numPr>
          <w:ilvl w:val="0"/>
          <w:numId w:val="8"/>
        </w:numPr>
        <w:ind w:left="1134" w:right="1134" w:firstLine="0"/>
        <w:rPr>
          <w:b/>
          <w:bCs/>
        </w:rPr>
      </w:pPr>
      <w:r w:rsidRPr="007E7BCC">
        <w:rPr>
          <w:b/>
          <w:bCs/>
        </w:rPr>
        <w:t>With th</w:t>
      </w:r>
      <w:r w:rsidR="000F1A68">
        <w:rPr>
          <w:b/>
          <w:bCs/>
        </w:rPr>
        <w:t>is in mind, she appeals to all S</w:t>
      </w:r>
      <w:r w:rsidRPr="007E7BCC">
        <w:rPr>
          <w:b/>
          <w:bCs/>
        </w:rPr>
        <w:t xml:space="preserve">tates to undertake the following actions: </w:t>
      </w:r>
    </w:p>
    <w:p w14:paraId="72801C3D" w14:textId="77777777" w:rsidR="00BD416B" w:rsidRPr="007E7BCC" w:rsidRDefault="00BD416B" w:rsidP="008572F4">
      <w:pPr>
        <w:pStyle w:val="Bullet1G"/>
        <w:rPr>
          <w:b/>
          <w:bCs/>
          <w:w w:val="103"/>
        </w:rPr>
      </w:pPr>
      <w:r w:rsidRPr="007E7BCC">
        <w:rPr>
          <w:b/>
          <w:bCs/>
          <w:w w:val="103"/>
        </w:rPr>
        <w:t>For top leadership to speak out loudly against torture and other cruel, inhuman or degrading treatment or punishment and make it known – by taking action – that any form of torture is not acceptable in your societies in any form;</w:t>
      </w:r>
    </w:p>
    <w:p w14:paraId="37C84499" w14:textId="77777777" w:rsidR="00BD416B" w:rsidRPr="007E7BCC" w:rsidRDefault="00BD416B" w:rsidP="008572F4">
      <w:pPr>
        <w:pStyle w:val="Bullet1G"/>
        <w:rPr>
          <w:b/>
          <w:bCs/>
          <w:spacing w:val="4"/>
          <w:w w:val="103"/>
          <w:kern w:val="14"/>
        </w:rPr>
      </w:pPr>
      <w:r w:rsidRPr="007E7BCC">
        <w:rPr>
          <w:b/>
          <w:bCs/>
          <w:spacing w:val="4"/>
          <w:w w:val="103"/>
          <w:kern w:val="14"/>
        </w:rPr>
        <w:t xml:space="preserve">Follow up on recommendations made by international </w:t>
      </w:r>
      <w:r w:rsidRPr="007E7BCC">
        <w:rPr>
          <w:b/>
          <w:bCs/>
          <w:w w:val="103"/>
        </w:rPr>
        <w:t>bodies</w:t>
      </w:r>
      <w:r w:rsidRPr="007E7BCC">
        <w:rPr>
          <w:b/>
          <w:bCs/>
          <w:spacing w:val="4"/>
          <w:w w:val="103"/>
          <w:kern w:val="14"/>
        </w:rPr>
        <w:t xml:space="preserve"> relevant to the absolute prohibition against torture and other ill-treatment and integrate these into national strategies and plans; </w:t>
      </w:r>
    </w:p>
    <w:p w14:paraId="18FC85EA" w14:textId="77777777" w:rsidR="00BD416B" w:rsidRPr="007E7BCC" w:rsidRDefault="00BD416B" w:rsidP="008572F4">
      <w:pPr>
        <w:pStyle w:val="Bullet1G"/>
        <w:rPr>
          <w:b/>
          <w:bCs/>
          <w:spacing w:val="4"/>
          <w:w w:val="103"/>
          <w:kern w:val="14"/>
        </w:rPr>
      </w:pPr>
      <w:r w:rsidRPr="007E7BCC">
        <w:rPr>
          <w:b/>
          <w:bCs/>
          <w:spacing w:val="4"/>
          <w:w w:val="103"/>
          <w:kern w:val="14"/>
        </w:rPr>
        <w:t xml:space="preserve">Ratify or accede to the Convention against Torture </w:t>
      </w:r>
      <w:r w:rsidRPr="007E7BCC">
        <w:rPr>
          <w:b/>
          <w:bCs/>
          <w:w w:val="103"/>
        </w:rPr>
        <w:t>without</w:t>
      </w:r>
      <w:r w:rsidRPr="007E7BCC">
        <w:rPr>
          <w:b/>
          <w:bCs/>
          <w:spacing w:val="4"/>
          <w:w w:val="103"/>
          <w:kern w:val="14"/>
        </w:rPr>
        <w:t xml:space="preserve"> reservations; </w:t>
      </w:r>
    </w:p>
    <w:p w14:paraId="2AAA1DCD" w14:textId="77777777" w:rsidR="00BD416B" w:rsidRPr="007E7BCC" w:rsidRDefault="00BD416B" w:rsidP="008572F4">
      <w:pPr>
        <w:pStyle w:val="Bullet1G"/>
        <w:rPr>
          <w:b/>
          <w:bCs/>
          <w:spacing w:val="4"/>
          <w:w w:val="103"/>
          <w:kern w:val="14"/>
        </w:rPr>
      </w:pPr>
      <w:r w:rsidRPr="007E7BCC">
        <w:rPr>
          <w:b/>
          <w:bCs/>
          <w:spacing w:val="4"/>
          <w:w w:val="103"/>
          <w:kern w:val="14"/>
        </w:rPr>
        <w:t xml:space="preserve">Recognising that torture is non-reservable and non-derogable, review and remove any remaining </w:t>
      </w:r>
      <w:r w:rsidRPr="007E7BCC">
        <w:rPr>
          <w:b/>
          <w:bCs/>
          <w:w w:val="103"/>
        </w:rPr>
        <w:t>reservations</w:t>
      </w:r>
      <w:r w:rsidRPr="007E7BCC">
        <w:rPr>
          <w:b/>
          <w:bCs/>
          <w:spacing w:val="4"/>
          <w:w w:val="103"/>
          <w:kern w:val="14"/>
        </w:rPr>
        <w:t xml:space="preserve"> in any treaty that pertains to torture and other cruel, inhuman or degrading treatment or punishment;</w:t>
      </w:r>
    </w:p>
    <w:p w14:paraId="5B46195D" w14:textId="77777777" w:rsidR="00BD416B" w:rsidRPr="007E7BCC" w:rsidRDefault="00BD416B" w:rsidP="008572F4">
      <w:pPr>
        <w:pStyle w:val="Bullet1G"/>
        <w:rPr>
          <w:b/>
          <w:bCs/>
          <w:spacing w:val="4"/>
          <w:w w:val="103"/>
          <w:kern w:val="14"/>
        </w:rPr>
      </w:pPr>
      <w:r w:rsidRPr="007E7BCC">
        <w:rPr>
          <w:b/>
          <w:bCs/>
          <w:spacing w:val="4"/>
          <w:w w:val="103"/>
          <w:kern w:val="14"/>
        </w:rPr>
        <w:t xml:space="preserve">For OPCAT States parties, establish or designate national </w:t>
      </w:r>
      <w:r w:rsidRPr="007E7BCC">
        <w:rPr>
          <w:b/>
          <w:bCs/>
          <w:w w:val="103"/>
        </w:rPr>
        <w:t>preventive</w:t>
      </w:r>
      <w:r w:rsidRPr="007E7BCC">
        <w:rPr>
          <w:b/>
          <w:bCs/>
          <w:spacing w:val="4"/>
          <w:w w:val="103"/>
          <w:kern w:val="14"/>
        </w:rPr>
        <w:t xml:space="preserve"> mechanisms where these are lacking and ensure they are property funded and capacitated;</w:t>
      </w:r>
    </w:p>
    <w:p w14:paraId="2B47E119" w14:textId="77777777" w:rsidR="00BD416B" w:rsidRPr="007E7BCC" w:rsidRDefault="00BD416B" w:rsidP="008572F4">
      <w:pPr>
        <w:pStyle w:val="Bullet1G"/>
        <w:rPr>
          <w:b/>
          <w:bCs/>
          <w:spacing w:val="4"/>
          <w:w w:val="103"/>
          <w:kern w:val="14"/>
        </w:rPr>
      </w:pPr>
      <w:r w:rsidRPr="007E7BCC">
        <w:rPr>
          <w:b/>
          <w:bCs/>
          <w:w w:val="103"/>
        </w:rPr>
        <w:t>Express</w:t>
      </w:r>
      <w:r w:rsidRPr="007E7BCC">
        <w:rPr>
          <w:b/>
          <w:bCs/>
          <w:spacing w:val="4"/>
          <w:w w:val="103"/>
          <w:kern w:val="14"/>
        </w:rPr>
        <w:t xml:space="preserve"> an open invitation to the Special Rapporteur to conduct a visit;</w:t>
      </w:r>
    </w:p>
    <w:p w14:paraId="7F934D87" w14:textId="77777777" w:rsidR="00BD416B" w:rsidRPr="007E7BCC" w:rsidRDefault="00BD416B" w:rsidP="008572F4">
      <w:pPr>
        <w:pStyle w:val="Bullet1G"/>
        <w:rPr>
          <w:b/>
          <w:bCs/>
          <w:spacing w:val="4"/>
          <w:w w:val="103"/>
          <w:kern w:val="14"/>
        </w:rPr>
      </w:pPr>
      <w:r w:rsidRPr="007E7BCC">
        <w:rPr>
          <w:b/>
          <w:bCs/>
          <w:spacing w:val="4"/>
          <w:w w:val="103"/>
          <w:kern w:val="14"/>
        </w:rPr>
        <w:t xml:space="preserve">Follow up diligently regarding any queries concerning </w:t>
      </w:r>
      <w:r w:rsidRPr="007E7BCC">
        <w:rPr>
          <w:b/>
          <w:bCs/>
          <w:w w:val="103"/>
        </w:rPr>
        <w:t>urgent</w:t>
      </w:r>
      <w:r w:rsidRPr="007E7BCC">
        <w:rPr>
          <w:b/>
          <w:bCs/>
          <w:spacing w:val="4"/>
          <w:w w:val="103"/>
          <w:kern w:val="14"/>
        </w:rPr>
        <w:t xml:space="preserve"> actions or letters of allegations, and enter into a constructive dialogue with the Special Rapporteur; </w:t>
      </w:r>
    </w:p>
    <w:p w14:paraId="51121EE4" w14:textId="77777777" w:rsidR="00BD416B" w:rsidRPr="007E7BCC" w:rsidRDefault="00BD416B" w:rsidP="008572F4">
      <w:pPr>
        <w:pStyle w:val="Bullet1G"/>
        <w:rPr>
          <w:b/>
          <w:bCs/>
          <w:spacing w:val="4"/>
          <w:w w:val="103"/>
          <w:kern w:val="14"/>
        </w:rPr>
      </w:pPr>
      <w:r w:rsidRPr="007E7BCC">
        <w:rPr>
          <w:b/>
          <w:bCs/>
          <w:spacing w:val="4"/>
          <w:w w:val="103"/>
          <w:kern w:val="14"/>
        </w:rPr>
        <w:t>Share examples of laws, policies and practices as well as challenges in response to the Special Rapporteur’s calls for submissions to her reports, so that we may all learn from the collection and dissemination of good practices and solutions.</w:t>
      </w:r>
    </w:p>
    <w:p w14:paraId="3F37EB91" w14:textId="77777777" w:rsidR="00BD416B" w:rsidRPr="007E7BCC" w:rsidRDefault="00BD416B" w:rsidP="00D67C99">
      <w:pPr>
        <w:pStyle w:val="SingleTxt"/>
        <w:numPr>
          <w:ilvl w:val="0"/>
          <w:numId w:val="8"/>
        </w:numPr>
        <w:ind w:left="1134" w:right="1134" w:firstLine="0"/>
        <w:rPr>
          <w:b/>
          <w:bCs/>
        </w:rPr>
      </w:pPr>
      <w:r w:rsidRPr="007E7BCC">
        <w:rPr>
          <w:b/>
          <w:bCs/>
        </w:rPr>
        <w:t>The Special Rapporteur invites, amongst others, international organisations, non-governmental organisations and civil society, national human rights institutions, national preventive mechanisms, and academics and researchers to be in touch with the mandate and to share latest reports, research studies and articles.</w:t>
      </w:r>
    </w:p>
    <w:p w14:paraId="5F54F23D" w14:textId="77777777" w:rsidR="00BD416B" w:rsidRPr="007E7BCC" w:rsidRDefault="00BD416B" w:rsidP="00D67C99">
      <w:pPr>
        <w:pStyle w:val="SingleTxt"/>
        <w:numPr>
          <w:ilvl w:val="0"/>
          <w:numId w:val="8"/>
        </w:numPr>
        <w:ind w:left="1134" w:right="1134" w:firstLine="0"/>
        <w:rPr>
          <w:b/>
          <w:bCs/>
        </w:rPr>
      </w:pPr>
      <w:r w:rsidRPr="007E7BCC">
        <w:rPr>
          <w:b/>
          <w:bCs/>
        </w:rPr>
        <w:t>Torture and other cruel conduct are stains on the fabric of humanity. As long as the practice persists, we are far from our global aspiration of a United Nations built by and for peoples who are equal in rights and freedoms. Let this be the start of period of renewed action.</w:t>
      </w:r>
    </w:p>
    <w:p w14:paraId="369F9086" w14:textId="04C7B805" w:rsidR="009D0D5C" w:rsidRPr="007E7BCC" w:rsidRDefault="00A44309" w:rsidP="00A44309">
      <w:pPr>
        <w:pStyle w:val="SingleTxtG"/>
        <w:spacing w:before="240"/>
        <w:jc w:val="center"/>
        <w:rPr>
          <w:u w:val="single"/>
        </w:rPr>
      </w:pPr>
      <w:r w:rsidRPr="007E7BCC">
        <w:rPr>
          <w:u w:val="single"/>
        </w:rPr>
        <w:tab/>
      </w:r>
      <w:r w:rsidRPr="007E7BCC">
        <w:rPr>
          <w:u w:val="single"/>
        </w:rPr>
        <w:tab/>
      </w:r>
      <w:r w:rsidRPr="007E7BCC">
        <w:rPr>
          <w:u w:val="single"/>
        </w:rPr>
        <w:tab/>
      </w:r>
      <w:r w:rsidR="00547B76">
        <w:rPr>
          <w:u w:val="single"/>
        </w:rPr>
        <w:tab/>
      </w:r>
    </w:p>
    <w:sectPr w:rsidR="009D0D5C" w:rsidRPr="007E7BCC" w:rsidSect="00CA1B04">
      <w:headerReference w:type="even" r:id="rId30"/>
      <w:headerReference w:type="default" r:id="rId31"/>
      <w:footerReference w:type="even" r:id="rId32"/>
      <w:footerReference w:type="default" r:id="rId3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8548" w14:textId="77777777" w:rsidR="00F30ECA" w:rsidRPr="00C47B2E" w:rsidRDefault="00F30ECA" w:rsidP="00C47B2E">
      <w:pPr>
        <w:pStyle w:val="Footer"/>
      </w:pPr>
    </w:p>
  </w:endnote>
  <w:endnote w:type="continuationSeparator" w:id="0">
    <w:p w14:paraId="2D967046" w14:textId="77777777" w:rsidR="00F30ECA" w:rsidRPr="00C47B2E" w:rsidRDefault="00F30ECA" w:rsidP="00C47B2E">
      <w:pPr>
        <w:pStyle w:val="Footer"/>
      </w:pPr>
    </w:p>
  </w:endnote>
  <w:endnote w:type="continuationNotice" w:id="1">
    <w:p w14:paraId="52B4917B" w14:textId="77777777" w:rsidR="00F30ECA" w:rsidRPr="00C47B2E" w:rsidRDefault="00F30EC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9091" w14:textId="219325E8" w:rsidR="00483428" w:rsidRDefault="00483428" w:rsidP="00483428">
    <w:pPr>
      <w:pStyle w:val="Footer"/>
      <w:tabs>
        <w:tab w:val="right" w:pos="9638"/>
      </w:tabs>
    </w:pP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363FE3">
      <w:rPr>
        <w:b/>
        <w:bCs/>
        <w:noProof/>
        <w:sz w:val="18"/>
      </w:rPr>
      <w:t>2</w:t>
    </w:r>
    <w:r w:rsidRPr="0048342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9092" w14:textId="7EDAB05E" w:rsidR="00483428" w:rsidRDefault="00483428" w:rsidP="00483428">
    <w:pPr>
      <w:pStyle w:val="Footer"/>
      <w:tabs>
        <w:tab w:val="right" w:pos="9638"/>
      </w:tabs>
    </w:pPr>
    <w:r>
      <w:tab/>
    </w: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363FE3">
      <w:rPr>
        <w:b/>
        <w:bCs/>
        <w:noProof/>
        <w:sz w:val="18"/>
      </w:rPr>
      <w:t>15</w:t>
    </w:r>
    <w:r w:rsidRPr="00483428">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14619" w14:textId="77777777" w:rsidR="00F30ECA" w:rsidRPr="00C47B2E" w:rsidRDefault="00F30ECA" w:rsidP="00C47B2E">
      <w:pPr>
        <w:tabs>
          <w:tab w:val="right" w:pos="2155"/>
        </w:tabs>
        <w:spacing w:after="80" w:line="240" w:lineRule="auto"/>
        <w:ind w:left="680"/>
      </w:pPr>
      <w:r>
        <w:rPr>
          <w:u w:val="single"/>
        </w:rPr>
        <w:tab/>
      </w:r>
    </w:p>
  </w:footnote>
  <w:footnote w:type="continuationSeparator" w:id="0">
    <w:p w14:paraId="68251D17" w14:textId="77777777" w:rsidR="00F30ECA" w:rsidRPr="00C47B2E" w:rsidRDefault="00F30ECA" w:rsidP="005E716E">
      <w:pPr>
        <w:tabs>
          <w:tab w:val="right" w:pos="2155"/>
        </w:tabs>
        <w:spacing w:after="80" w:line="240" w:lineRule="auto"/>
        <w:ind w:left="680"/>
      </w:pPr>
      <w:r>
        <w:rPr>
          <w:u w:val="single"/>
        </w:rPr>
        <w:tab/>
      </w:r>
    </w:p>
  </w:footnote>
  <w:footnote w:type="continuationNotice" w:id="1">
    <w:p w14:paraId="2B97FC89" w14:textId="77777777" w:rsidR="00F30ECA" w:rsidRPr="00C47B2E" w:rsidRDefault="00F30ECA" w:rsidP="00C47B2E">
      <w:pPr>
        <w:pStyle w:val="Footer"/>
      </w:pPr>
    </w:p>
  </w:footnote>
  <w:footnote w:id="2">
    <w:p w14:paraId="19A6BB06" w14:textId="778C5042" w:rsidR="00547B76" w:rsidRPr="00547B76" w:rsidRDefault="00547B76">
      <w:pPr>
        <w:pStyle w:val="FootnoteText"/>
      </w:pPr>
      <w:r>
        <w:rPr>
          <w:rStyle w:val="FootnoteReference"/>
        </w:rPr>
        <w:tab/>
      </w:r>
      <w:r w:rsidRPr="00547B76">
        <w:rPr>
          <w:rStyle w:val="FootnoteReference"/>
          <w:sz w:val="20"/>
          <w:vertAlign w:val="baseline"/>
        </w:rPr>
        <w:t>*</w:t>
      </w:r>
      <w:r>
        <w:rPr>
          <w:rStyle w:val="FootnoteReference"/>
          <w:sz w:val="20"/>
          <w:vertAlign w:val="baseline"/>
        </w:rPr>
        <w:tab/>
      </w:r>
      <w:r>
        <w:rPr>
          <w:sz w:val="20"/>
        </w:rPr>
        <w:t>A/77/150.</w:t>
      </w:r>
    </w:p>
  </w:footnote>
  <w:footnote w:id="3">
    <w:p w14:paraId="18AB0F9B" w14:textId="171E5C40" w:rsidR="00547B76" w:rsidRPr="00547B76" w:rsidRDefault="00547B76">
      <w:pPr>
        <w:pStyle w:val="FootnoteText"/>
      </w:pPr>
      <w:r>
        <w:rPr>
          <w:rStyle w:val="FootnoteReference"/>
        </w:rPr>
        <w:tab/>
      </w:r>
      <w:r w:rsidRPr="00547B76">
        <w:rPr>
          <w:rStyle w:val="FootnoteReference"/>
          <w:sz w:val="20"/>
          <w:vertAlign w:val="baseline"/>
        </w:rPr>
        <w:t>**</w:t>
      </w:r>
      <w:r>
        <w:rPr>
          <w:rStyle w:val="FootnoteReference"/>
          <w:sz w:val="20"/>
          <w:vertAlign w:val="baseline"/>
        </w:rPr>
        <w:tab/>
      </w:r>
      <w:r w:rsidRPr="00547B76">
        <w:rPr>
          <w:color w:val="000000"/>
          <w:lang w:eastAsia="en-GB"/>
        </w:rPr>
        <w:t>The present report was submitted after the deadline in order to reflect recent developments.</w:t>
      </w:r>
    </w:p>
  </w:footnote>
  <w:footnote w:id="4">
    <w:p w14:paraId="58DE02D3" w14:textId="77777777" w:rsidR="00BD416B" w:rsidRPr="003C6348" w:rsidRDefault="00BD416B" w:rsidP="00455117">
      <w:pPr>
        <w:pStyle w:val="FootnoteText"/>
      </w:pPr>
      <w:r>
        <w:tab/>
      </w:r>
      <w:r>
        <w:rPr>
          <w:rStyle w:val="FootnoteReference"/>
          <w:szCs w:val="18"/>
        </w:rPr>
        <w:footnoteRef/>
      </w:r>
      <w:r>
        <w:tab/>
      </w:r>
      <w:r w:rsidRPr="00455117">
        <w:t>Nimisha</w:t>
      </w:r>
      <w:r w:rsidRPr="003C6348">
        <w:t xml:space="preserve"> Patel, ‘</w:t>
      </w:r>
      <w:r w:rsidRPr="00242BCE">
        <w:t>Good</w:t>
      </w:r>
      <w:r w:rsidRPr="003C6348">
        <w:t xml:space="preserve"> Practices and Current Challenges in the Rehabilitation of Torture Survivors’, a discussion </w:t>
      </w:r>
      <w:r w:rsidRPr="00242BCE">
        <w:t>paper</w:t>
      </w:r>
      <w:r w:rsidRPr="003C6348">
        <w:t xml:space="preserve"> for a regional meeting of </w:t>
      </w:r>
      <w:r w:rsidRPr="00242BCE">
        <w:t>OSCE</w:t>
      </w:r>
      <w:r w:rsidRPr="003C6348">
        <w:t xml:space="preserve"> States convened by the Convention against Torture Initiative, 23-24 June 2016, para. 13.</w:t>
      </w:r>
    </w:p>
  </w:footnote>
  <w:footnote w:id="5">
    <w:p w14:paraId="581F2B5F" w14:textId="77777777" w:rsidR="00BD416B" w:rsidRPr="003C6348" w:rsidRDefault="00BD416B" w:rsidP="00455117">
      <w:pPr>
        <w:pStyle w:val="FootnoteText"/>
      </w:pPr>
      <w:r>
        <w:tab/>
      </w:r>
      <w:r w:rsidRPr="003C6348">
        <w:rPr>
          <w:rStyle w:val="FootnoteReference"/>
          <w:szCs w:val="18"/>
        </w:rPr>
        <w:footnoteRef/>
      </w:r>
      <w:r>
        <w:tab/>
      </w:r>
      <w:r w:rsidRPr="00455117">
        <w:t>Pau</w:t>
      </w:r>
      <w:r w:rsidRPr="003C6348">
        <w:t xml:space="preserve"> Perez-</w:t>
      </w:r>
      <w:r w:rsidRPr="00242BCE">
        <w:rPr>
          <w:sz w:val="17"/>
        </w:rPr>
        <w:t>Sales</w:t>
      </w:r>
      <w:r w:rsidRPr="003C6348">
        <w:t xml:space="preserve">, ‘Psychological Torture’, in Malcolm D. Evans &amp; Jens Modvig (eds), </w:t>
      </w:r>
      <w:r w:rsidRPr="003C6348">
        <w:rPr>
          <w:i/>
          <w:iCs/>
        </w:rPr>
        <w:t xml:space="preserve">Research Handbook on Torture </w:t>
      </w:r>
      <w:r w:rsidRPr="003C6348">
        <w:t xml:space="preserve">(2020), 432. </w:t>
      </w:r>
    </w:p>
  </w:footnote>
  <w:footnote w:id="6">
    <w:p w14:paraId="3ECFC9BB" w14:textId="77777777" w:rsidR="00BD416B" w:rsidRPr="003C6348" w:rsidRDefault="00BD416B" w:rsidP="00455117">
      <w:pPr>
        <w:pStyle w:val="FootnoteText"/>
      </w:pPr>
      <w:r>
        <w:tab/>
      </w:r>
      <w:r w:rsidRPr="003C6348">
        <w:rPr>
          <w:rStyle w:val="FootnoteReference"/>
          <w:szCs w:val="18"/>
        </w:rPr>
        <w:footnoteRef/>
      </w:r>
      <w:r>
        <w:tab/>
      </w:r>
      <w:r w:rsidRPr="003C6348">
        <w:t xml:space="preserve">The term ‘law enforcement officials’ is widely interpreted as including all officers of the law who exercise police powers, especially powers of arrest and detention: </w:t>
      </w:r>
      <w:r w:rsidRPr="003C6348">
        <w:rPr>
          <w:i/>
        </w:rPr>
        <w:t xml:space="preserve">Code of Conduct for Law Enforcement Officials </w:t>
      </w:r>
      <w:r w:rsidRPr="003C6348">
        <w:t>(1979) GA resolution 34/169 of 17 December 1979. For the purposes of the Special Rapporteur’s work, she will be adopting a wider understanding of ‘law enforcement agencies’ to refer to ‘police, gendarmerie, customs, immigration and border services, as well as related oversight bodies, such as ministries of interior and/or justice.’. United Nations Peace Operations, ‘Community-Oriented Policing in United Nations Peace Operations’, (2018), p. 2.</w:t>
      </w:r>
    </w:p>
  </w:footnote>
  <w:footnote w:id="7">
    <w:p w14:paraId="447AEC31" w14:textId="77777777" w:rsidR="00BD416B" w:rsidRPr="003C6348" w:rsidRDefault="00BD416B" w:rsidP="00455117">
      <w:pPr>
        <w:pStyle w:val="FootnoteText"/>
        <w:rPr>
          <w:lang w:val="en-US"/>
        </w:rPr>
      </w:pPr>
      <w:r>
        <w:tab/>
      </w:r>
      <w:r w:rsidRPr="003C6348">
        <w:rPr>
          <w:rStyle w:val="FootnoteReference"/>
          <w:szCs w:val="18"/>
        </w:rPr>
        <w:footnoteRef/>
      </w:r>
      <w:r>
        <w:tab/>
      </w:r>
      <w:r w:rsidRPr="00400943">
        <w:t xml:space="preserve">Report of the Special Rapporteur on torture, </w:t>
      </w:r>
      <w:hyperlink r:id="rId1" w:history="1">
        <w:r w:rsidRPr="00400943">
          <w:t>A/55/290</w:t>
        </w:r>
      </w:hyperlink>
      <w:r w:rsidRPr="00400943">
        <w:t xml:space="preserve">, paras. 34-37; Committee against torture, general </w:t>
      </w:r>
      <w:r w:rsidRPr="00455117">
        <w:t>comment</w:t>
      </w:r>
      <w:r w:rsidRPr="00400943">
        <w:t xml:space="preserve"> no. 2 (2008), paras. 20-24. Lutz Oette, ‘The prohibition of torture and persons living in poverty: From the margins to the centre’ (2021) 70 International &amp; Comparative Law Quarterly 307-341.</w:t>
      </w:r>
      <w:r w:rsidRPr="003C6348">
        <w:t xml:space="preserve"> </w:t>
      </w:r>
    </w:p>
  </w:footnote>
  <w:footnote w:id="8">
    <w:p w14:paraId="3AC3E4CD" w14:textId="77777777" w:rsidR="00BD416B" w:rsidRPr="003C6348" w:rsidRDefault="00BD416B" w:rsidP="00455117">
      <w:pPr>
        <w:pStyle w:val="FootnoteText"/>
        <w:rPr>
          <w:szCs w:val="18"/>
          <w:lang w:val="en-US"/>
        </w:rPr>
      </w:pPr>
      <w:r>
        <w:rPr>
          <w:szCs w:val="18"/>
        </w:rPr>
        <w:tab/>
      </w:r>
      <w:r w:rsidRPr="003C6348">
        <w:rPr>
          <w:rStyle w:val="FootnoteReference"/>
          <w:szCs w:val="18"/>
        </w:rPr>
        <w:footnoteRef/>
      </w:r>
      <w:r>
        <w:rPr>
          <w:szCs w:val="18"/>
        </w:rPr>
        <w:tab/>
      </w:r>
      <w:r w:rsidRPr="003C6348">
        <w:rPr>
          <w:szCs w:val="18"/>
        </w:rPr>
        <w:t xml:space="preserve">See revised </w:t>
      </w:r>
      <w:r w:rsidRPr="00455117">
        <w:t>Istanbul</w:t>
      </w:r>
      <w:r w:rsidRPr="003C6348">
        <w:rPr>
          <w:szCs w:val="18"/>
        </w:rPr>
        <w:t xml:space="preserve"> Protocol: Manual on the Effective Investigation and Documentation of Torture and Other Cruel, Inhuman or Degrading Treatment or Punishment (2022).</w:t>
      </w:r>
    </w:p>
  </w:footnote>
  <w:footnote w:id="9">
    <w:p w14:paraId="082D4D84" w14:textId="77777777" w:rsidR="00BD416B" w:rsidRPr="003C6348" w:rsidRDefault="00BD416B" w:rsidP="00455117">
      <w:pPr>
        <w:pStyle w:val="FootnoteText"/>
        <w:rPr>
          <w:lang w:val="en-US"/>
        </w:rPr>
      </w:pPr>
      <w:r>
        <w:tab/>
      </w:r>
      <w:r w:rsidRPr="003C6348">
        <w:rPr>
          <w:rStyle w:val="FootnoteReference"/>
          <w:szCs w:val="18"/>
        </w:rPr>
        <w:footnoteRef/>
      </w:r>
      <w:r>
        <w:tab/>
      </w:r>
      <w:r w:rsidRPr="003C6348">
        <w:rPr>
          <w:lang w:val="en-US"/>
        </w:rPr>
        <w:t>Inter-</w:t>
      </w:r>
      <w:r w:rsidRPr="00455117">
        <w:t>Parliamentary</w:t>
      </w:r>
      <w:r w:rsidRPr="003C6348">
        <w:rPr>
          <w:lang w:val="en-US"/>
        </w:rPr>
        <w:t xml:space="preserve"> Union and OHCHR, </w:t>
      </w:r>
      <w:r w:rsidRPr="00AB11C9">
        <w:rPr>
          <w:i/>
          <w:iCs/>
          <w:lang w:val="en-US"/>
        </w:rPr>
        <w:t>Handbook on Human Rights</w:t>
      </w:r>
      <w:r w:rsidRPr="003C6348">
        <w:rPr>
          <w:lang w:val="en-US"/>
        </w:rPr>
        <w:t xml:space="preserve"> (2016), paras. 129-135.</w:t>
      </w:r>
    </w:p>
  </w:footnote>
  <w:footnote w:id="10">
    <w:p w14:paraId="4D03678A" w14:textId="77777777" w:rsidR="00BD416B" w:rsidRPr="003C6348" w:rsidRDefault="00BD416B" w:rsidP="00455117">
      <w:pPr>
        <w:pStyle w:val="FootnoteText"/>
        <w:rPr>
          <w:rFonts w:cstheme="minorHAnsi"/>
          <w:szCs w:val="18"/>
        </w:rPr>
      </w:pPr>
      <w:r>
        <w:rPr>
          <w:rFonts w:cstheme="minorHAnsi"/>
          <w:szCs w:val="18"/>
        </w:rPr>
        <w:tab/>
      </w:r>
      <w:r w:rsidRPr="003C6348">
        <w:rPr>
          <w:rStyle w:val="FootnoteReference"/>
          <w:rFonts w:cstheme="minorHAnsi"/>
          <w:szCs w:val="18"/>
        </w:rPr>
        <w:footnoteRef/>
      </w:r>
      <w:r>
        <w:rPr>
          <w:rFonts w:cstheme="minorHAnsi"/>
          <w:szCs w:val="18"/>
        </w:rPr>
        <w:tab/>
      </w:r>
      <w:r w:rsidRPr="003C6348">
        <w:rPr>
          <w:szCs w:val="18"/>
        </w:rPr>
        <w:t xml:space="preserve">See Report of the Special Rapporteur on Torture, </w:t>
      </w:r>
      <w:hyperlink r:id="rId2" w:history="1">
        <w:r w:rsidRPr="003C6348">
          <w:rPr>
            <w:rStyle w:val="Hyperlink"/>
            <w:rFonts w:cstheme="minorHAnsi"/>
            <w:color w:val="0000BF" w:themeColor="hyperlink" w:themeShade="BF"/>
            <w:szCs w:val="18"/>
          </w:rPr>
          <w:t>A/HRC/46/26</w:t>
        </w:r>
      </w:hyperlink>
      <w:r w:rsidRPr="003C6348">
        <w:rPr>
          <w:rFonts w:cstheme="minorHAnsi"/>
          <w:color w:val="E36C0A" w:themeColor="accent6" w:themeShade="BF"/>
          <w:szCs w:val="18"/>
        </w:rPr>
        <w:t>.</w:t>
      </w:r>
    </w:p>
  </w:footnote>
  <w:footnote w:id="11">
    <w:p w14:paraId="16A807E1"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To the 52</w:t>
      </w:r>
      <w:r w:rsidRPr="003C6348">
        <w:rPr>
          <w:szCs w:val="18"/>
          <w:vertAlign w:val="superscript"/>
        </w:rPr>
        <w:t>nd</w:t>
      </w:r>
      <w:r w:rsidRPr="003C6348">
        <w:rPr>
          <w:szCs w:val="18"/>
        </w:rPr>
        <w:t xml:space="preserve"> </w:t>
      </w:r>
      <w:r w:rsidRPr="00400943">
        <w:rPr>
          <w:szCs w:val="18"/>
        </w:rPr>
        <w:t>session</w:t>
      </w:r>
      <w:r w:rsidRPr="003C6348">
        <w:rPr>
          <w:szCs w:val="18"/>
        </w:rPr>
        <w:t xml:space="preserve"> of the Human Rights Council and the 78</w:t>
      </w:r>
      <w:r w:rsidRPr="003C6348">
        <w:rPr>
          <w:szCs w:val="18"/>
          <w:vertAlign w:val="superscript"/>
        </w:rPr>
        <w:t>th</w:t>
      </w:r>
      <w:r w:rsidRPr="003C6348">
        <w:rPr>
          <w:szCs w:val="18"/>
        </w:rPr>
        <w:t xml:space="preserve"> Session of the General Assembly, in March and October 2023 respectively. </w:t>
      </w:r>
    </w:p>
  </w:footnote>
  <w:footnote w:id="12">
    <w:p w14:paraId="4743080C" w14:textId="77777777" w:rsidR="00BD416B" w:rsidRPr="003C6348" w:rsidRDefault="00BD416B" w:rsidP="00455117">
      <w:pPr>
        <w:pStyle w:val="FootnoteText"/>
        <w:rPr>
          <w:rFonts w:cstheme="minorHAnsi"/>
          <w:szCs w:val="18"/>
        </w:rPr>
      </w:pPr>
      <w:r>
        <w:rPr>
          <w:szCs w:val="18"/>
        </w:rPr>
        <w:tab/>
      </w:r>
      <w:r w:rsidRPr="003C6348">
        <w:rPr>
          <w:rStyle w:val="FootnoteReference"/>
          <w:rFonts w:cstheme="minorHAnsi"/>
          <w:szCs w:val="18"/>
        </w:rPr>
        <w:footnoteRef/>
      </w:r>
      <w:r>
        <w:rPr>
          <w:szCs w:val="18"/>
        </w:rPr>
        <w:tab/>
      </w:r>
      <w:r w:rsidRPr="003C6348">
        <w:rPr>
          <w:szCs w:val="18"/>
        </w:rPr>
        <w:t xml:space="preserve">See </w:t>
      </w:r>
      <w:r w:rsidRPr="00455117">
        <w:t>International</w:t>
      </w:r>
      <w:r w:rsidRPr="003C6348">
        <w:rPr>
          <w:szCs w:val="18"/>
        </w:rPr>
        <w:t xml:space="preserve"> Committee of the Red Cross, ‘People on War: Perspectives from 16 Countries’ (Geneva, 2016); </w:t>
      </w:r>
      <w:r w:rsidRPr="00587825">
        <w:rPr>
          <w:sz w:val="17"/>
        </w:rPr>
        <w:t>Amnesty</w:t>
      </w:r>
      <w:r w:rsidRPr="003C6348">
        <w:rPr>
          <w:szCs w:val="18"/>
        </w:rPr>
        <w:t xml:space="preserve"> International, ‘Attitudes to Torture: Stop Torture Global Survey’ (2014).</w:t>
      </w:r>
    </w:p>
  </w:footnote>
  <w:footnote w:id="13">
    <w:p w14:paraId="71988EDF"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55117">
        <w:t>International</w:t>
      </w:r>
      <w:r w:rsidRPr="003C6348">
        <w:rPr>
          <w:szCs w:val="18"/>
          <w:lang w:eastAsia="en-GB"/>
        </w:rPr>
        <w:t xml:space="preserve"> Court of Justice, </w:t>
      </w:r>
      <w:r w:rsidRPr="003C6348">
        <w:rPr>
          <w:i/>
          <w:iCs/>
          <w:szCs w:val="18"/>
          <w:lang w:eastAsia="en-GB"/>
        </w:rPr>
        <w:t>Questions relating to the Obligation to Prosecute or Extradite (Belgium v. Senegal)</w:t>
      </w:r>
      <w:r w:rsidRPr="003C6348">
        <w:rPr>
          <w:szCs w:val="18"/>
          <w:lang w:eastAsia="en-GB"/>
        </w:rPr>
        <w:t xml:space="preserve"> (</w:t>
      </w:r>
      <w:r w:rsidRPr="00587825">
        <w:rPr>
          <w:sz w:val="17"/>
        </w:rPr>
        <w:t>2012</w:t>
      </w:r>
      <w:r w:rsidRPr="003C6348">
        <w:rPr>
          <w:szCs w:val="18"/>
          <w:lang w:eastAsia="en-GB"/>
        </w:rPr>
        <w:t xml:space="preserve">), para.99; </w:t>
      </w:r>
      <w:r w:rsidRPr="003C6348">
        <w:rPr>
          <w:szCs w:val="18"/>
        </w:rPr>
        <w:t>International Criminal Tribunal for the former Yugoslavia</w:t>
      </w:r>
      <w:r w:rsidRPr="003C6348">
        <w:rPr>
          <w:szCs w:val="18"/>
          <w:lang w:eastAsia="en-GB"/>
        </w:rPr>
        <w:t xml:space="preserve">, </w:t>
      </w:r>
      <w:r w:rsidRPr="003C6348">
        <w:rPr>
          <w:i/>
          <w:iCs/>
          <w:szCs w:val="18"/>
          <w:lang w:eastAsia="en-GB"/>
        </w:rPr>
        <w:t>Prosecutor v. Delalic and Others</w:t>
      </w:r>
      <w:r w:rsidRPr="003C6348">
        <w:rPr>
          <w:szCs w:val="18"/>
          <w:lang w:eastAsia="en-GB"/>
        </w:rPr>
        <w:t xml:space="preserve">, IT-96-21-T, Judgment of 16 November 1998, par 454; </w:t>
      </w:r>
      <w:r w:rsidRPr="003C6348">
        <w:rPr>
          <w:szCs w:val="18"/>
        </w:rPr>
        <w:t>International Criminal Tribunal for the former Yugoslavia</w:t>
      </w:r>
      <w:r w:rsidRPr="003C6348">
        <w:rPr>
          <w:i/>
          <w:iCs/>
          <w:szCs w:val="18"/>
        </w:rPr>
        <w:t>, Prosecutor v</w:t>
      </w:r>
      <w:r w:rsidRPr="003C6348">
        <w:rPr>
          <w:szCs w:val="18"/>
          <w:lang w:eastAsia="en-GB"/>
        </w:rPr>
        <w:t xml:space="preserve"> </w:t>
      </w:r>
      <w:r w:rsidRPr="003C6348">
        <w:rPr>
          <w:i/>
          <w:iCs/>
          <w:szCs w:val="18"/>
          <w:lang w:eastAsia="en-GB"/>
        </w:rPr>
        <w:t>Furundzija</w:t>
      </w:r>
      <w:r w:rsidRPr="003C6348">
        <w:rPr>
          <w:szCs w:val="18"/>
          <w:lang w:eastAsia="en-GB"/>
        </w:rPr>
        <w:t xml:space="preserve">, </w:t>
      </w:r>
      <w:r w:rsidRPr="003C6348">
        <w:rPr>
          <w:szCs w:val="18"/>
        </w:rPr>
        <w:t>IT-95-17/1-T, Judgment of 10 December 1998,</w:t>
      </w:r>
      <w:r w:rsidRPr="003C6348">
        <w:rPr>
          <w:szCs w:val="18"/>
          <w:lang w:eastAsia="en-GB"/>
        </w:rPr>
        <w:t xml:space="preserve"> para. 153 et seq.; </w:t>
      </w:r>
      <w:r w:rsidRPr="003C6348">
        <w:rPr>
          <w:szCs w:val="18"/>
        </w:rPr>
        <w:t>International Criminal Tribunal for the former Yugoslavia</w:t>
      </w:r>
      <w:r w:rsidRPr="003C6348">
        <w:rPr>
          <w:i/>
          <w:iCs/>
          <w:szCs w:val="18"/>
          <w:lang w:eastAsia="en-GB"/>
        </w:rPr>
        <w:t>, Prosecutor v. Kunarac</w:t>
      </w:r>
      <w:r w:rsidRPr="003C6348">
        <w:rPr>
          <w:szCs w:val="18"/>
          <w:lang w:eastAsia="en-GB"/>
        </w:rPr>
        <w:t xml:space="preserve">, </w:t>
      </w:r>
      <w:r w:rsidRPr="003C6348">
        <w:rPr>
          <w:i/>
          <w:szCs w:val="18"/>
        </w:rPr>
        <w:t>Kovać and Vuković,</w:t>
      </w:r>
      <w:r w:rsidRPr="003C6348">
        <w:rPr>
          <w:szCs w:val="18"/>
          <w:lang w:eastAsia="en-GB"/>
        </w:rPr>
        <w:t xml:space="preserve"> </w:t>
      </w:r>
      <w:r w:rsidRPr="003C6348">
        <w:rPr>
          <w:szCs w:val="18"/>
        </w:rPr>
        <w:t xml:space="preserve">IT-96-23-T&amp; IT-96-23/1-T, Judgment of 22 February 2001, para. 466; </w:t>
      </w:r>
      <w:r w:rsidRPr="003C6348">
        <w:rPr>
          <w:szCs w:val="18"/>
          <w:lang w:eastAsia="en-GB"/>
        </w:rPr>
        <w:t xml:space="preserve">Committee against Torture, general comment No. 2 (2008), para. 1; </w:t>
      </w:r>
      <w:r w:rsidRPr="003C6348">
        <w:rPr>
          <w:szCs w:val="18"/>
        </w:rPr>
        <w:t>Report</w:t>
      </w:r>
      <w:r w:rsidRPr="003C6348">
        <w:rPr>
          <w:szCs w:val="18"/>
          <w:lang w:eastAsia="en-GB"/>
        </w:rPr>
        <w:t xml:space="preserve"> of the International Law Commission on the </w:t>
      </w:r>
      <w:r w:rsidRPr="00587825">
        <w:rPr>
          <w:sz w:val="17"/>
        </w:rPr>
        <w:t>work</w:t>
      </w:r>
      <w:r w:rsidRPr="003C6348">
        <w:rPr>
          <w:szCs w:val="18"/>
          <w:lang w:eastAsia="en-GB"/>
        </w:rPr>
        <w:t xml:space="preserve"> of its seventy-first session, 29 April–7 June and 8 July–9 August 2019, A/74/10 (2019), pertaining to peremptory norms of international law (</w:t>
      </w:r>
      <w:r w:rsidRPr="003C6348">
        <w:rPr>
          <w:i/>
          <w:iCs/>
          <w:szCs w:val="18"/>
          <w:lang w:eastAsia="en-GB"/>
        </w:rPr>
        <w:t>jus cogens</w:t>
      </w:r>
      <w:r w:rsidRPr="003C6348">
        <w:rPr>
          <w:szCs w:val="18"/>
          <w:lang w:eastAsia="en-GB"/>
        </w:rPr>
        <w:t>).</w:t>
      </w:r>
    </w:p>
  </w:footnote>
  <w:footnote w:id="14">
    <w:p w14:paraId="04ADEB0A"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See </w:t>
      </w:r>
      <w:r w:rsidRPr="00455117">
        <w:t>General</w:t>
      </w:r>
      <w:r w:rsidRPr="003C6348">
        <w:rPr>
          <w:szCs w:val="18"/>
        </w:rPr>
        <w:t xml:space="preserve"> Assembly Resolution 74/174, </w:t>
      </w:r>
      <w:hyperlink r:id="rId3" w:history="1">
        <w:r w:rsidRPr="003C6348">
          <w:rPr>
            <w:rStyle w:val="Hyperlink"/>
            <w:szCs w:val="18"/>
            <w:lang w:eastAsia="en-GB"/>
          </w:rPr>
          <w:t>A/RES/74/143</w:t>
        </w:r>
      </w:hyperlink>
      <w:r w:rsidRPr="003C6348">
        <w:rPr>
          <w:rStyle w:val="Hyperlink"/>
          <w:szCs w:val="18"/>
          <w:lang w:eastAsia="en-GB"/>
        </w:rPr>
        <w:t>, PP.4</w:t>
      </w:r>
      <w:r w:rsidRPr="003C6348">
        <w:rPr>
          <w:szCs w:val="18"/>
          <w:lang w:eastAsia="en-GB"/>
        </w:rPr>
        <w:t>.</w:t>
      </w:r>
    </w:p>
  </w:footnote>
  <w:footnote w:id="15">
    <w:p w14:paraId="1F1E9303"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55117">
        <w:t>See</w:t>
      </w:r>
      <w:r w:rsidRPr="003C6348">
        <w:rPr>
          <w:szCs w:val="18"/>
        </w:rPr>
        <w:t xml:space="preserve">, e.g., </w:t>
      </w:r>
      <w:r w:rsidRPr="00400943">
        <w:rPr>
          <w:szCs w:val="18"/>
        </w:rPr>
        <w:t>International</w:t>
      </w:r>
      <w:r w:rsidRPr="003C6348">
        <w:rPr>
          <w:szCs w:val="18"/>
          <w:lang w:eastAsia="en-GB"/>
        </w:rPr>
        <w:t xml:space="preserve"> Court of Justice, </w:t>
      </w:r>
      <w:r w:rsidRPr="003C6348">
        <w:rPr>
          <w:i/>
          <w:iCs/>
          <w:szCs w:val="18"/>
          <w:lang w:eastAsia="en-GB"/>
        </w:rPr>
        <w:t>Questions relating to the Obligation to Prosecute or Extradite (</w:t>
      </w:r>
      <w:r w:rsidRPr="00455117">
        <w:t>Belgium</w:t>
      </w:r>
      <w:r w:rsidRPr="003C6348">
        <w:rPr>
          <w:i/>
          <w:iCs/>
          <w:szCs w:val="18"/>
          <w:lang w:eastAsia="en-GB"/>
        </w:rPr>
        <w:t xml:space="preserve"> v. Senegal)</w:t>
      </w:r>
      <w:r w:rsidRPr="003C6348">
        <w:rPr>
          <w:szCs w:val="18"/>
          <w:lang w:eastAsia="en-GB"/>
        </w:rPr>
        <w:t xml:space="preserve">, Application Instituting Proceedings (2009); </w:t>
      </w:r>
      <w:r w:rsidRPr="003C6348">
        <w:rPr>
          <w:i/>
          <w:iCs/>
          <w:szCs w:val="18"/>
          <w:lang w:eastAsia="en-GB"/>
        </w:rPr>
        <w:t>Cyprus v. Turkey</w:t>
      </w:r>
      <w:r w:rsidRPr="003C6348">
        <w:rPr>
          <w:szCs w:val="18"/>
          <w:lang w:eastAsia="en-GB"/>
        </w:rPr>
        <w:t xml:space="preserve">, European Court of Human Rights, Applic. No. 25781/94, Judgment (2001); </w:t>
      </w:r>
      <w:r w:rsidRPr="003C6348">
        <w:rPr>
          <w:i/>
          <w:iCs/>
          <w:szCs w:val="18"/>
          <w:lang w:eastAsia="en-GB"/>
        </w:rPr>
        <w:t>Ireland v. United Kingdom</w:t>
      </w:r>
      <w:r w:rsidRPr="003C6348">
        <w:rPr>
          <w:szCs w:val="18"/>
          <w:lang w:eastAsia="en-GB"/>
        </w:rPr>
        <w:t>, Applic. No. 5310/71 (1971 &amp; 2018). See also, OHCHR, Accountability in Syria under the Convention against Torture: The Joint Canada/Netherlands’ Initiative, press release (December 2021).</w:t>
      </w:r>
    </w:p>
  </w:footnote>
  <w:footnote w:id="16">
    <w:p w14:paraId="72FA8C4A"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55117">
        <w:t>International</w:t>
      </w:r>
      <w:r w:rsidRPr="003C6348">
        <w:rPr>
          <w:szCs w:val="18"/>
        </w:rPr>
        <w:t xml:space="preserve"> Criminal Tribunal for Rwanda, </w:t>
      </w:r>
      <w:r w:rsidRPr="003C6348">
        <w:rPr>
          <w:i/>
          <w:iCs/>
          <w:szCs w:val="18"/>
        </w:rPr>
        <w:t>Prosecutor v. Jean-Paul Akayesu</w:t>
      </w:r>
      <w:r w:rsidRPr="003C6348">
        <w:rPr>
          <w:szCs w:val="18"/>
        </w:rPr>
        <w:t>, Case No. ICTR-96-4-T, Judgement of 2 September 1998, para. 504.</w:t>
      </w:r>
    </w:p>
  </w:footnote>
  <w:footnote w:id="17">
    <w:p w14:paraId="10E4E78D" w14:textId="77777777" w:rsidR="00BD416B" w:rsidRPr="003C6348" w:rsidRDefault="00BD416B" w:rsidP="00455117">
      <w:pPr>
        <w:pStyle w:val="FootnoteText"/>
        <w:rPr>
          <w:i/>
          <w:iCs/>
          <w:szCs w:val="18"/>
        </w:rPr>
      </w:pPr>
      <w:r>
        <w:rPr>
          <w:szCs w:val="18"/>
        </w:rPr>
        <w:tab/>
      </w:r>
      <w:r w:rsidRPr="003C6348">
        <w:rPr>
          <w:rStyle w:val="FootnoteReference"/>
          <w:szCs w:val="18"/>
        </w:rPr>
        <w:footnoteRef/>
      </w:r>
      <w:r>
        <w:rPr>
          <w:szCs w:val="18"/>
        </w:rPr>
        <w:tab/>
      </w:r>
      <w:r w:rsidRPr="003C6348">
        <w:rPr>
          <w:szCs w:val="18"/>
        </w:rPr>
        <w:t xml:space="preserve">International Criminal Tribunal on Rwanda, </w:t>
      </w:r>
      <w:r w:rsidRPr="003C6348">
        <w:rPr>
          <w:i/>
          <w:iCs/>
          <w:szCs w:val="18"/>
        </w:rPr>
        <w:t xml:space="preserve">Prosecutor v. Jean-Paul Akayesu, </w:t>
      </w:r>
      <w:r w:rsidRPr="003C6348">
        <w:rPr>
          <w:szCs w:val="18"/>
        </w:rPr>
        <w:t xml:space="preserve">ICTR-96-4-T, Judgement 2 September 1998, </w:t>
      </w:r>
      <w:r w:rsidRPr="00587825">
        <w:rPr>
          <w:sz w:val="17"/>
        </w:rPr>
        <w:t>para</w:t>
      </w:r>
      <w:r w:rsidRPr="003C6348">
        <w:rPr>
          <w:szCs w:val="18"/>
        </w:rPr>
        <w:t xml:space="preserve">. 687; International Criminal Tribunal for the former Yugoslavia, </w:t>
      </w:r>
      <w:r w:rsidRPr="003C6348">
        <w:rPr>
          <w:i/>
          <w:iCs/>
          <w:szCs w:val="18"/>
        </w:rPr>
        <w:t xml:space="preserve">Prosecutor v Zejnil Delalić et al, </w:t>
      </w:r>
      <w:r w:rsidRPr="003C6348">
        <w:rPr>
          <w:szCs w:val="18"/>
        </w:rPr>
        <w:t>IT-96-21-T, Judgement of 16 November 1998,</w:t>
      </w:r>
      <w:r w:rsidRPr="003C6348">
        <w:rPr>
          <w:iCs/>
          <w:szCs w:val="18"/>
        </w:rPr>
        <w:t xml:space="preserve"> </w:t>
      </w:r>
      <w:r w:rsidRPr="003C6348">
        <w:rPr>
          <w:szCs w:val="18"/>
        </w:rPr>
        <w:t xml:space="preserve">para. 495. See also, Report of Special Rapporteur on Torture </w:t>
      </w:r>
      <w:hyperlink r:id="rId4" w:history="1">
        <w:r w:rsidRPr="003C6348">
          <w:rPr>
            <w:rStyle w:val="Hyperlink"/>
            <w:szCs w:val="18"/>
          </w:rPr>
          <w:t>A/74/148</w:t>
        </w:r>
      </w:hyperlink>
      <w:r w:rsidRPr="003C6348">
        <w:rPr>
          <w:szCs w:val="18"/>
        </w:rPr>
        <w:t xml:space="preserve">, paras. 29 et seq. See, further, Edwards, A. 2011. </w:t>
      </w:r>
      <w:r w:rsidRPr="003C6348">
        <w:rPr>
          <w:i/>
          <w:iCs/>
          <w:szCs w:val="18"/>
        </w:rPr>
        <w:t>Violence against Women under International Human Rights Law.</w:t>
      </w:r>
      <w:r w:rsidRPr="003C6348">
        <w:rPr>
          <w:szCs w:val="18"/>
        </w:rPr>
        <w:t xml:space="preserve"> Cambridge, UK: Cambridge University Press, 219-227.</w:t>
      </w:r>
    </w:p>
  </w:footnote>
  <w:footnote w:id="18">
    <w:p w14:paraId="3893B8A8"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ICCPR art. 7. See also Human Rights Committee, general comment no. 20, para. 7.  </w:t>
      </w:r>
    </w:p>
  </w:footnote>
  <w:footnote w:id="19">
    <w:p w14:paraId="161FD3DC"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Human Rights Committee, general comment no. 20, para. 5.  </w:t>
      </w:r>
    </w:p>
  </w:footnote>
  <w:footnote w:id="20">
    <w:p w14:paraId="5E0F55B1" w14:textId="77777777" w:rsidR="00BD416B" w:rsidRPr="003C6348" w:rsidRDefault="00BD416B" w:rsidP="00455117">
      <w:pPr>
        <w:pStyle w:val="FootnoteText"/>
        <w:rPr>
          <w:rStyle w:val="FootnoteReference"/>
          <w:szCs w:val="18"/>
        </w:rPr>
      </w:pPr>
      <w:r>
        <w:rPr>
          <w:szCs w:val="18"/>
        </w:rPr>
        <w:tab/>
      </w:r>
      <w:r w:rsidRPr="003C6348">
        <w:rPr>
          <w:rStyle w:val="FootnoteReference"/>
          <w:szCs w:val="18"/>
        </w:rPr>
        <w:footnoteRef/>
      </w:r>
      <w:r>
        <w:rPr>
          <w:szCs w:val="18"/>
        </w:rPr>
        <w:tab/>
      </w:r>
      <w:r w:rsidRPr="003C6348">
        <w:rPr>
          <w:szCs w:val="18"/>
          <w:lang w:val="en-US"/>
        </w:rPr>
        <w:t xml:space="preserve">See, International Criminal Tribunal for the former Yugoslavia, </w:t>
      </w:r>
      <w:r w:rsidRPr="003C6348">
        <w:rPr>
          <w:i/>
          <w:iCs/>
          <w:szCs w:val="18"/>
          <w:lang w:val="en-US"/>
        </w:rPr>
        <w:t>Prosecutor v. Kunarac, Kovać and Vuković</w:t>
      </w:r>
      <w:r w:rsidRPr="003C6348">
        <w:rPr>
          <w:szCs w:val="18"/>
          <w:lang w:val="en-US"/>
        </w:rPr>
        <w:t xml:space="preserve">, Case No. IT-96-23-T, </w:t>
      </w:r>
      <w:r w:rsidRPr="00587825">
        <w:rPr>
          <w:sz w:val="17"/>
        </w:rPr>
        <w:t>Judgement</w:t>
      </w:r>
      <w:r w:rsidRPr="003C6348">
        <w:rPr>
          <w:szCs w:val="18"/>
          <w:lang w:val="en-US"/>
        </w:rPr>
        <w:t xml:space="preserve"> of 22 February 2001, para. 470. See, also, International Criminal Court, Elements of Crime, relating to arts. 7(1)(f), 8(2)(a)(ii)-1, 8(2)(c)(i)-4.</w:t>
      </w:r>
    </w:p>
  </w:footnote>
  <w:footnote w:id="21">
    <w:p w14:paraId="0D575F0A" w14:textId="77777777" w:rsidR="00BD416B" w:rsidRPr="003C6348" w:rsidRDefault="00BD416B" w:rsidP="00455117">
      <w:pPr>
        <w:pStyle w:val="FootnoteText"/>
        <w:rPr>
          <w:rStyle w:val="FootnoteReference"/>
          <w:szCs w:val="18"/>
        </w:rPr>
      </w:pPr>
      <w:r>
        <w:rPr>
          <w:rStyle w:val="FootnoteReference"/>
          <w:szCs w:val="18"/>
        </w:rPr>
        <w:tab/>
      </w:r>
      <w:r w:rsidRPr="003C6348">
        <w:rPr>
          <w:rStyle w:val="FootnoteReference"/>
          <w:szCs w:val="18"/>
        </w:rPr>
        <w:footnoteRef/>
      </w:r>
      <w:r>
        <w:rPr>
          <w:rStyle w:val="FootnoteReference"/>
          <w:szCs w:val="18"/>
        </w:rPr>
        <w:tab/>
      </w:r>
      <w:r w:rsidRPr="003C6348">
        <w:rPr>
          <w:szCs w:val="18"/>
          <w:lang w:val="en-US"/>
        </w:rPr>
        <w:t xml:space="preserve">European </w:t>
      </w:r>
      <w:r w:rsidRPr="00400943">
        <w:rPr>
          <w:szCs w:val="18"/>
        </w:rPr>
        <w:t>Court</w:t>
      </w:r>
      <w:r w:rsidRPr="003C6348">
        <w:rPr>
          <w:szCs w:val="18"/>
          <w:lang w:val="en-US"/>
        </w:rPr>
        <w:t xml:space="preserve"> of Human Rights, </w:t>
      </w:r>
      <w:r w:rsidRPr="003C6348">
        <w:rPr>
          <w:i/>
          <w:iCs/>
          <w:szCs w:val="18"/>
          <w:lang w:val="en-US"/>
        </w:rPr>
        <w:t>Ireland v. United Kingdom</w:t>
      </w:r>
      <w:r w:rsidRPr="003C6348">
        <w:rPr>
          <w:szCs w:val="18"/>
          <w:lang w:val="en-US"/>
        </w:rPr>
        <w:t xml:space="preserve">, Case No. 5310/71 No. 25, Judgement of 18 January 1978, para. 167; European Court of Human Rights, </w:t>
      </w:r>
      <w:r w:rsidRPr="003C6348">
        <w:rPr>
          <w:i/>
          <w:iCs/>
          <w:szCs w:val="18"/>
          <w:lang w:val="en-US"/>
        </w:rPr>
        <w:t>Selmouni v. France</w:t>
      </w:r>
      <w:r w:rsidRPr="003C6348">
        <w:rPr>
          <w:szCs w:val="18"/>
          <w:lang w:val="en-US"/>
        </w:rPr>
        <w:t xml:space="preserve">, Application no. 25803/94, Judgment of 28 July 1999, para. 96. </w:t>
      </w:r>
    </w:p>
  </w:footnote>
  <w:footnote w:id="22">
    <w:p w14:paraId="6BE5C026" w14:textId="77777777" w:rsidR="00BD416B" w:rsidRPr="003C6348" w:rsidRDefault="00BD416B" w:rsidP="00455117">
      <w:pPr>
        <w:pStyle w:val="FootnoteText"/>
        <w:rPr>
          <w:szCs w:val="18"/>
          <w:lang w:val="en-US"/>
        </w:rPr>
      </w:pPr>
      <w:r>
        <w:rPr>
          <w:rStyle w:val="FootnoteReference"/>
          <w:szCs w:val="18"/>
        </w:rPr>
        <w:tab/>
      </w:r>
      <w:r w:rsidRPr="003C6348">
        <w:rPr>
          <w:rStyle w:val="FootnoteReference"/>
          <w:szCs w:val="18"/>
        </w:rPr>
        <w:footnoteRef/>
      </w:r>
      <w:r>
        <w:rPr>
          <w:rStyle w:val="FootnoteReference"/>
          <w:szCs w:val="18"/>
        </w:rPr>
        <w:tab/>
      </w:r>
      <w:r w:rsidRPr="003C6348">
        <w:rPr>
          <w:szCs w:val="18"/>
          <w:lang w:val="en-US"/>
        </w:rPr>
        <w:t xml:space="preserve">Human </w:t>
      </w:r>
      <w:r w:rsidRPr="00400943">
        <w:rPr>
          <w:szCs w:val="18"/>
        </w:rPr>
        <w:t>Rights</w:t>
      </w:r>
      <w:r w:rsidRPr="003C6348">
        <w:rPr>
          <w:szCs w:val="18"/>
          <w:lang w:val="en-US"/>
        </w:rPr>
        <w:t xml:space="preserve"> Committee, general comment no. 20 on article 7 (1992), para. 4; Committee against torture, general comment no. 2 (2008), para. 3.</w:t>
      </w:r>
    </w:p>
  </w:footnote>
  <w:footnote w:id="23">
    <w:p w14:paraId="68095083" w14:textId="77777777" w:rsidR="00BD416B" w:rsidRPr="003C6348" w:rsidRDefault="00BD416B" w:rsidP="00455117">
      <w:pPr>
        <w:pStyle w:val="FootnoteText"/>
        <w:rPr>
          <w:szCs w:val="18"/>
          <w:lang w:val="en-US"/>
        </w:rPr>
      </w:pPr>
      <w:r>
        <w:rPr>
          <w:szCs w:val="18"/>
        </w:rPr>
        <w:tab/>
      </w:r>
      <w:r w:rsidRPr="003C6348">
        <w:rPr>
          <w:rStyle w:val="FootnoteReference"/>
          <w:szCs w:val="18"/>
        </w:rPr>
        <w:footnoteRef/>
      </w:r>
      <w:r>
        <w:rPr>
          <w:szCs w:val="18"/>
        </w:rPr>
        <w:tab/>
      </w:r>
      <w:r w:rsidRPr="00400943">
        <w:rPr>
          <w:szCs w:val="18"/>
        </w:rPr>
        <w:t>International</w:t>
      </w:r>
      <w:r w:rsidRPr="003C6348">
        <w:rPr>
          <w:szCs w:val="18"/>
        </w:rPr>
        <w:t xml:space="preserve"> Criminal Tribunal for the former Yugoslavia, </w:t>
      </w:r>
      <w:r w:rsidRPr="003C6348">
        <w:rPr>
          <w:i/>
          <w:szCs w:val="18"/>
        </w:rPr>
        <w:t>Prosecutor v.</w:t>
      </w:r>
      <w:r w:rsidRPr="003C6348">
        <w:rPr>
          <w:szCs w:val="18"/>
        </w:rPr>
        <w:t xml:space="preserve"> </w:t>
      </w:r>
      <w:r w:rsidRPr="003C6348">
        <w:rPr>
          <w:i/>
          <w:szCs w:val="18"/>
        </w:rPr>
        <w:t xml:space="preserve">Kvocka et al. Case No. IT-98-30/1-T, </w:t>
      </w:r>
      <w:r w:rsidRPr="003C6348">
        <w:rPr>
          <w:szCs w:val="18"/>
        </w:rPr>
        <w:t>Judgement of 2 November 2001, para. 142, states: ‘the severity of pain or suffering is a distinguishing characteristic of torture that sets it apart from similar offences’; European Court of Human Rights</w:t>
      </w:r>
      <w:r w:rsidRPr="003C6348">
        <w:rPr>
          <w:szCs w:val="18"/>
          <w:lang w:val="en-US"/>
        </w:rPr>
        <w:t xml:space="preserve">, </w:t>
      </w:r>
      <w:r w:rsidRPr="003C6348">
        <w:rPr>
          <w:i/>
          <w:szCs w:val="18"/>
          <w:lang w:val="en-US"/>
        </w:rPr>
        <w:t xml:space="preserve">Cestaro v. Italy, </w:t>
      </w:r>
      <w:r w:rsidRPr="003C6348">
        <w:rPr>
          <w:szCs w:val="18"/>
          <w:lang w:val="en-US"/>
        </w:rPr>
        <w:t>Case no. 6884/11, judgement of 7 July 2015, para. 179.</w:t>
      </w:r>
    </w:p>
  </w:footnote>
  <w:footnote w:id="24">
    <w:p w14:paraId="4862A235"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See, most </w:t>
      </w:r>
      <w:r w:rsidRPr="00587825">
        <w:rPr>
          <w:sz w:val="17"/>
        </w:rPr>
        <w:t>recently</w:t>
      </w:r>
      <w:r w:rsidRPr="003C6348">
        <w:rPr>
          <w:szCs w:val="18"/>
        </w:rPr>
        <w:t xml:space="preserve">, General Assembly resolution </w:t>
      </w:r>
      <w:hyperlink r:id="rId5" w:history="1">
        <w:r w:rsidRPr="003C6348">
          <w:rPr>
            <w:rStyle w:val="Hyperlink"/>
            <w:szCs w:val="18"/>
          </w:rPr>
          <w:t>74/143</w:t>
        </w:r>
      </w:hyperlink>
      <w:r w:rsidRPr="003C6348">
        <w:rPr>
          <w:szCs w:val="18"/>
        </w:rPr>
        <w:t xml:space="preserve">. </w:t>
      </w:r>
    </w:p>
  </w:footnote>
  <w:footnote w:id="25">
    <w:p w14:paraId="0AF5A552"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See Report UN General Assembly, </w:t>
      </w:r>
      <w:r w:rsidRPr="003C6348">
        <w:rPr>
          <w:i/>
          <w:szCs w:val="18"/>
        </w:rPr>
        <w:t>Report of the International Law Commission</w:t>
      </w:r>
      <w:r w:rsidRPr="003C6348">
        <w:rPr>
          <w:szCs w:val="18"/>
        </w:rPr>
        <w:t xml:space="preserve">, ‘Peremptory norms of general international </w:t>
      </w:r>
      <w:r w:rsidRPr="00587825">
        <w:rPr>
          <w:sz w:val="17"/>
        </w:rPr>
        <w:t>law</w:t>
      </w:r>
      <w:r w:rsidRPr="003C6348">
        <w:rPr>
          <w:szCs w:val="18"/>
        </w:rPr>
        <w:t xml:space="preserve"> (</w:t>
      </w:r>
      <w:r w:rsidRPr="003C6348">
        <w:rPr>
          <w:i/>
          <w:iCs/>
          <w:szCs w:val="18"/>
        </w:rPr>
        <w:t>jus cogens</w:t>
      </w:r>
      <w:r w:rsidRPr="003C6348">
        <w:rPr>
          <w:szCs w:val="18"/>
        </w:rPr>
        <w:t xml:space="preserve">)’, 2022, </w:t>
      </w:r>
      <w:hyperlink r:id="rId6" w:history="1">
        <w:r w:rsidRPr="003C6348">
          <w:rPr>
            <w:rStyle w:val="Hyperlink"/>
            <w:szCs w:val="18"/>
          </w:rPr>
          <w:t>A/CN.4/L/967</w:t>
        </w:r>
      </w:hyperlink>
      <w:r w:rsidRPr="003C6348">
        <w:rPr>
          <w:szCs w:val="18"/>
        </w:rPr>
        <w:t>, lists ‘the prohibition of torture’ as a peremptory norm of general international law (Conclusion 23).  Conclusion 18 clarifies that: ‘No circumstance precluding wrongfulness under the rules on the responsibly of States for internationally wrongful acts may be invoked with regard to any act of a State that is not in conformity with an obligation arising under a peremptory norm of general international law (</w:t>
      </w:r>
      <w:r w:rsidRPr="003C6348">
        <w:rPr>
          <w:i/>
          <w:iCs/>
          <w:szCs w:val="18"/>
        </w:rPr>
        <w:t>jus cogens</w:t>
      </w:r>
      <w:r w:rsidRPr="003C6348">
        <w:rPr>
          <w:szCs w:val="18"/>
        </w:rPr>
        <w:t xml:space="preserve">).’ </w:t>
      </w:r>
    </w:p>
  </w:footnote>
  <w:footnote w:id="26">
    <w:p w14:paraId="0CD3FB02"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See, for instance, US Senate Select Committee on Intelligence, Committee Study of the Central Intelligence Agency’s Detention and Interrogation Program (2014). See also, O'Mara, S. 2015. </w:t>
      </w:r>
      <w:r w:rsidRPr="003C6348">
        <w:rPr>
          <w:i/>
          <w:iCs/>
          <w:szCs w:val="18"/>
        </w:rPr>
        <w:t>Why Torture Doesn't Work: The Neuroscience of Interrogation</w:t>
      </w:r>
      <w:r w:rsidRPr="003C6348">
        <w:rPr>
          <w:szCs w:val="18"/>
        </w:rPr>
        <w:t xml:space="preserve">. Cambridge, MA and London, England: Harvard University Press. </w:t>
      </w:r>
    </w:p>
  </w:footnote>
  <w:footnote w:id="27">
    <w:p w14:paraId="3B512264" w14:textId="77777777" w:rsidR="00BD416B" w:rsidRPr="003C6348" w:rsidRDefault="00BD416B" w:rsidP="00455117">
      <w:pPr>
        <w:pStyle w:val="FootnoteText"/>
        <w:rPr>
          <w:szCs w:val="18"/>
          <w:lang w:val="en-US"/>
        </w:rPr>
      </w:pPr>
      <w:r>
        <w:rPr>
          <w:szCs w:val="18"/>
        </w:rPr>
        <w:tab/>
      </w:r>
      <w:r w:rsidRPr="003C6348">
        <w:rPr>
          <w:rStyle w:val="FootnoteReference"/>
          <w:szCs w:val="18"/>
        </w:rPr>
        <w:footnoteRef/>
      </w:r>
      <w:r>
        <w:rPr>
          <w:szCs w:val="18"/>
        </w:rPr>
        <w:tab/>
      </w:r>
      <w:r w:rsidRPr="003C6348">
        <w:rPr>
          <w:szCs w:val="18"/>
        </w:rPr>
        <w:t xml:space="preserve">European Court of Human Rights, </w:t>
      </w:r>
      <w:r w:rsidRPr="003C6348">
        <w:rPr>
          <w:i/>
          <w:szCs w:val="18"/>
          <w:lang w:eastAsia="en-GB"/>
        </w:rPr>
        <w:t>Selmouni v. France</w:t>
      </w:r>
      <w:r w:rsidRPr="003C6348">
        <w:rPr>
          <w:szCs w:val="18"/>
          <w:lang w:eastAsia="en-GB"/>
        </w:rPr>
        <w:t xml:space="preserve">, Application no. 25803/94, </w:t>
      </w:r>
      <w:r w:rsidRPr="003C6348">
        <w:rPr>
          <w:szCs w:val="18"/>
        </w:rPr>
        <w:t xml:space="preserve">Judgment of 28 July 1999. The character of the applicant is equally immaterial in </w:t>
      </w:r>
      <w:r w:rsidRPr="003C6348">
        <w:rPr>
          <w:i/>
          <w:iCs/>
          <w:szCs w:val="18"/>
        </w:rPr>
        <w:t>non-refoulement</w:t>
      </w:r>
      <w:r w:rsidRPr="003C6348">
        <w:rPr>
          <w:szCs w:val="18"/>
        </w:rPr>
        <w:t xml:space="preserve"> cases</w:t>
      </w:r>
      <w:r w:rsidRPr="003C6348">
        <w:rPr>
          <w:szCs w:val="18"/>
          <w:lang w:eastAsia="en-GB"/>
        </w:rPr>
        <w:t xml:space="preserve">; </w:t>
      </w:r>
      <w:r w:rsidRPr="003C6348">
        <w:rPr>
          <w:szCs w:val="18"/>
        </w:rPr>
        <w:t xml:space="preserve">European Court of Human Rights, </w:t>
      </w:r>
      <w:r w:rsidRPr="003C6348">
        <w:rPr>
          <w:i/>
          <w:iCs/>
          <w:szCs w:val="18"/>
        </w:rPr>
        <w:t>Soering v. the United Kingdom</w:t>
      </w:r>
      <w:r w:rsidRPr="003C6348">
        <w:rPr>
          <w:szCs w:val="18"/>
        </w:rPr>
        <w:t xml:space="preserve">, Judgment of 7 July 1989, paras. 86, 90-91; European Court of Human Rights, </w:t>
      </w:r>
      <w:r w:rsidRPr="003C6348">
        <w:rPr>
          <w:i/>
          <w:iCs/>
          <w:szCs w:val="18"/>
        </w:rPr>
        <w:t>Chahal v</w:t>
      </w:r>
      <w:r>
        <w:rPr>
          <w:i/>
          <w:iCs/>
          <w:szCs w:val="18"/>
        </w:rPr>
        <w:t>.</w:t>
      </w:r>
      <w:r w:rsidRPr="003C6348">
        <w:rPr>
          <w:i/>
          <w:iCs/>
          <w:szCs w:val="18"/>
        </w:rPr>
        <w:t xml:space="preserve"> United Kingdom</w:t>
      </w:r>
      <w:r w:rsidRPr="003C6348">
        <w:rPr>
          <w:szCs w:val="18"/>
        </w:rPr>
        <w:t>, Grand Chamber, Application No. 22414/93</w:t>
      </w:r>
      <w:r w:rsidRPr="003C6348">
        <w:rPr>
          <w:i/>
          <w:iCs/>
          <w:szCs w:val="18"/>
        </w:rPr>
        <w:t xml:space="preserve">, </w:t>
      </w:r>
      <w:r w:rsidRPr="003C6348">
        <w:rPr>
          <w:szCs w:val="18"/>
        </w:rPr>
        <w:t xml:space="preserve">Judgment of 15 November 1996, para. 80.   </w:t>
      </w:r>
    </w:p>
  </w:footnote>
  <w:footnote w:id="28">
    <w:p w14:paraId="32A125AE"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587825">
        <w:rPr>
          <w:sz w:val="17"/>
        </w:rPr>
        <w:t>Convention</w:t>
      </w:r>
      <w:r w:rsidRPr="003C6348">
        <w:rPr>
          <w:szCs w:val="18"/>
        </w:rPr>
        <w:t xml:space="preserve"> against torture, art. 2(3); see also Human Rights Committee, general comment no. 20, art. 7, para 3.</w:t>
      </w:r>
    </w:p>
  </w:footnote>
  <w:footnote w:id="29">
    <w:p w14:paraId="6B2F4565" w14:textId="77777777" w:rsidR="00BD416B" w:rsidRPr="003C6348" w:rsidRDefault="00BD416B" w:rsidP="00455117">
      <w:pPr>
        <w:pStyle w:val="FootnoteText"/>
        <w:rPr>
          <w:rFonts w:cstheme="minorHAnsi"/>
          <w:szCs w:val="18"/>
          <w:lang w:eastAsia="en-GB"/>
        </w:rPr>
      </w:pPr>
      <w:r>
        <w:rPr>
          <w:szCs w:val="18"/>
        </w:rPr>
        <w:tab/>
      </w:r>
      <w:r w:rsidRPr="003C6348">
        <w:rPr>
          <w:rStyle w:val="FootnoteReference"/>
          <w:szCs w:val="18"/>
        </w:rPr>
        <w:footnoteRef/>
      </w:r>
      <w:r>
        <w:rPr>
          <w:szCs w:val="18"/>
        </w:rPr>
        <w:tab/>
      </w:r>
      <w:r w:rsidRPr="003C6348">
        <w:rPr>
          <w:szCs w:val="18"/>
        </w:rPr>
        <w:t xml:space="preserve">Communication No. 161/2000, </w:t>
      </w:r>
      <w:r w:rsidRPr="003C6348">
        <w:rPr>
          <w:rFonts w:cstheme="minorHAnsi"/>
          <w:i/>
          <w:szCs w:val="18"/>
          <w:lang w:eastAsia="en-GB"/>
        </w:rPr>
        <w:t>Hajrizi Dzemajl et al. v. Yugoslavia</w:t>
      </w:r>
      <w:r w:rsidRPr="003C6348">
        <w:rPr>
          <w:rFonts w:cstheme="minorHAnsi"/>
          <w:szCs w:val="18"/>
          <w:lang w:eastAsia="en-GB"/>
        </w:rPr>
        <w:t xml:space="preserve">, </w:t>
      </w:r>
      <w:r w:rsidRPr="003C6348">
        <w:rPr>
          <w:szCs w:val="18"/>
        </w:rPr>
        <w:t>Views adopted by the Committee against Torture on 2 December 2002</w:t>
      </w:r>
      <w:r w:rsidRPr="003C6348">
        <w:rPr>
          <w:rFonts w:cstheme="minorHAnsi"/>
          <w:szCs w:val="18"/>
          <w:lang w:eastAsia="en-GB"/>
        </w:rPr>
        <w:t xml:space="preserve">. </w:t>
      </w:r>
    </w:p>
  </w:footnote>
  <w:footnote w:id="30">
    <w:p w14:paraId="0F8634F2"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00943">
        <w:rPr>
          <w:szCs w:val="18"/>
        </w:rPr>
        <w:t>Committee</w:t>
      </w:r>
      <w:r w:rsidRPr="003C6348">
        <w:rPr>
          <w:szCs w:val="18"/>
        </w:rPr>
        <w:t xml:space="preserve"> against Torture, general comment No. 3, para. 40; European Court of Human Rights, </w:t>
      </w:r>
      <w:r w:rsidRPr="003C6348">
        <w:rPr>
          <w:i/>
          <w:iCs/>
          <w:szCs w:val="18"/>
        </w:rPr>
        <w:t>Abdülsamet Yaman v. Turkey</w:t>
      </w:r>
      <w:r w:rsidRPr="003C6348">
        <w:rPr>
          <w:szCs w:val="18"/>
        </w:rPr>
        <w:t>, Judgment of 2 November 2004, application no. 32446/96, para. 55.</w:t>
      </w:r>
    </w:p>
  </w:footnote>
  <w:footnote w:id="31">
    <w:p w14:paraId="2AA9E821"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00943">
        <w:rPr>
          <w:szCs w:val="18"/>
        </w:rPr>
        <w:t>Committee</w:t>
      </w:r>
      <w:r w:rsidRPr="003C6348">
        <w:rPr>
          <w:szCs w:val="18"/>
        </w:rPr>
        <w:t xml:space="preserve"> against Torture, general comment No. 2, para.5.</w:t>
      </w:r>
    </w:p>
  </w:footnote>
  <w:footnote w:id="32">
    <w:p w14:paraId="533B0704" w14:textId="77777777" w:rsidR="00BD416B" w:rsidRPr="003C6348" w:rsidRDefault="00BD416B" w:rsidP="00455117">
      <w:pPr>
        <w:pStyle w:val="FootnoteText"/>
        <w:rPr>
          <w:color w:val="E36C0A" w:themeColor="accent6" w:themeShade="BF"/>
          <w:szCs w:val="18"/>
        </w:rPr>
      </w:pPr>
      <w:r>
        <w:rPr>
          <w:szCs w:val="18"/>
        </w:rPr>
        <w:tab/>
      </w:r>
      <w:r w:rsidRPr="003C6348">
        <w:rPr>
          <w:rStyle w:val="FootnoteReference"/>
          <w:szCs w:val="18"/>
        </w:rPr>
        <w:footnoteRef/>
      </w:r>
      <w:r>
        <w:rPr>
          <w:szCs w:val="18"/>
        </w:rPr>
        <w:tab/>
      </w:r>
      <w:r w:rsidRPr="003C6348">
        <w:rPr>
          <w:szCs w:val="18"/>
        </w:rPr>
        <w:t xml:space="preserve">See </w:t>
      </w:r>
      <w:r w:rsidRPr="008E0820">
        <w:rPr>
          <w:szCs w:val="18"/>
        </w:rPr>
        <w:t>Report</w:t>
      </w:r>
      <w:r w:rsidRPr="003C6348">
        <w:rPr>
          <w:szCs w:val="18"/>
        </w:rPr>
        <w:t xml:space="preserve"> of the International Law Commission on the work of its seventy second session, Chapter VI, October 2021, A/76/10 (2021).</w:t>
      </w:r>
    </w:p>
  </w:footnote>
  <w:footnote w:id="33">
    <w:p w14:paraId="1A88F3CE"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00943">
        <w:rPr>
          <w:szCs w:val="18"/>
        </w:rPr>
        <w:t>Committee</w:t>
      </w:r>
      <w:r w:rsidRPr="003C6348">
        <w:rPr>
          <w:szCs w:val="18"/>
        </w:rPr>
        <w:t xml:space="preserve"> against Torture, general comment No. 2, para. 20. See Inter-American Court of Human Rights,</w:t>
      </w:r>
      <w:r w:rsidRPr="003C6348">
        <w:rPr>
          <w:i/>
          <w:szCs w:val="18"/>
        </w:rPr>
        <w:t xml:space="preserve"> Velasquez </w:t>
      </w:r>
      <w:r w:rsidRPr="00587825">
        <w:rPr>
          <w:sz w:val="17"/>
        </w:rPr>
        <w:t>Rodriguez</w:t>
      </w:r>
      <w:r w:rsidRPr="003C6348">
        <w:rPr>
          <w:i/>
          <w:szCs w:val="18"/>
        </w:rPr>
        <w:t xml:space="preserve"> v. Honduras</w:t>
      </w:r>
      <w:r w:rsidRPr="003C6348">
        <w:rPr>
          <w:szCs w:val="18"/>
        </w:rPr>
        <w:t xml:space="preserve">, Ser. C, No. 4, Judgement of 29 July 1988, para. 291; European Court of Human Rights, </w:t>
      </w:r>
      <w:r w:rsidRPr="003C6348">
        <w:rPr>
          <w:i/>
          <w:iCs/>
          <w:szCs w:val="18"/>
        </w:rPr>
        <w:t>M.C. v Bulgaria,</w:t>
      </w:r>
      <w:r w:rsidRPr="003C6348">
        <w:rPr>
          <w:szCs w:val="18"/>
        </w:rPr>
        <w:t xml:space="preserve"> Application No. 39272/98, Judgment of 4 December 2003, para. 166; European Court of Human Rights, </w:t>
      </w:r>
      <w:r w:rsidRPr="003C6348">
        <w:rPr>
          <w:i/>
          <w:szCs w:val="18"/>
        </w:rPr>
        <w:t>Opuz v. Turkey</w:t>
      </w:r>
      <w:r w:rsidRPr="003C6348">
        <w:rPr>
          <w:szCs w:val="18"/>
        </w:rPr>
        <w:t>, Application No. 33401/02</w:t>
      </w:r>
      <w:r w:rsidRPr="003C6348">
        <w:rPr>
          <w:i/>
          <w:szCs w:val="18"/>
        </w:rPr>
        <w:t xml:space="preserve">, </w:t>
      </w:r>
      <w:r w:rsidRPr="003C6348">
        <w:rPr>
          <w:szCs w:val="18"/>
        </w:rPr>
        <w:t>Judgement of 9 June 2009, para. 129; Inter-American Court of Human Rights,</w:t>
      </w:r>
      <w:r w:rsidRPr="003C6348">
        <w:rPr>
          <w:i/>
          <w:szCs w:val="18"/>
        </w:rPr>
        <w:t xml:space="preserve"> Gonzalez et al (‘Cotton Field’) v. Mexico</w:t>
      </w:r>
      <w:r w:rsidRPr="003C6348">
        <w:rPr>
          <w:szCs w:val="18"/>
        </w:rPr>
        <w:t xml:space="preserve">, Case No. 205, Judgement of 16 November 2009; Communication 2/2003, </w:t>
      </w:r>
      <w:r w:rsidRPr="003C6348">
        <w:rPr>
          <w:i/>
          <w:iCs/>
          <w:szCs w:val="18"/>
        </w:rPr>
        <w:t>A.T. v. Hungary</w:t>
      </w:r>
      <w:r w:rsidRPr="003C6348">
        <w:rPr>
          <w:szCs w:val="18"/>
        </w:rPr>
        <w:t>, Views adopted by the Committee on the Elimination of Discrimination against Women on 26 January 2005, para. 9.2.</w:t>
      </w:r>
    </w:p>
  </w:footnote>
  <w:footnote w:id="34">
    <w:p w14:paraId="12FDE707" w14:textId="77777777" w:rsidR="00BD416B" w:rsidRPr="003C6348" w:rsidRDefault="00BD416B" w:rsidP="00455117">
      <w:pPr>
        <w:pStyle w:val="FootnoteText"/>
        <w:rPr>
          <w:color w:val="E36C0A" w:themeColor="accent6" w:themeShade="BF"/>
          <w:szCs w:val="18"/>
        </w:rPr>
      </w:pPr>
      <w:r>
        <w:rPr>
          <w:szCs w:val="18"/>
        </w:rPr>
        <w:tab/>
      </w:r>
      <w:r w:rsidRPr="003C6348">
        <w:rPr>
          <w:rStyle w:val="FootnoteReference"/>
          <w:szCs w:val="18"/>
        </w:rPr>
        <w:footnoteRef/>
      </w:r>
      <w:r>
        <w:rPr>
          <w:szCs w:val="18"/>
        </w:rPr>
        <w:tab/>
      </w:r>
      <w:r w:rsidRPr="003C6348">
        <w:rPr>
          <w:szCs w:val="18"/>
        </w:rPr>
        <w:t xml:space="preserve">European Court of Human Rights, </w:t>
      </w:r>
      <w:r w:rsidRPr="003C6348">
        <w:rPr>
          <w:i/>
          <w:iCs/>
          <w:szCs w:val="18"/>
        </w:rPr>
        <w:t>M.C. v Bulgaria</w:t>
      </w:r>
      <w:r w:rsidRPr="003C6348">
        <w:rPr>
          <w:szCs w:val="18"/>
        </w:rPr>
        <w:t>, Application No. 39272/98,</w:t>
      </w:r>
      <w:r w:rsidRPr="003C6348">
        <w:rPr>
          <w:i/>
          <w:iCs/>
          <w:szCs w:val="18"/>
        </w:rPr>
        <w:t xml:space="preserve"> </w:t>
      </w:r>
      <w:r w:rsidRPr="003C6348">
        <w:rPr>
          <w:szCs w:val="18"/>
        </w:rPr>
        <w:t xml:space="preserve">Judgment of 4 December 2003, para. 166; See Report of </w:t>
      </w:r>
      <w:r w:rsidRPr="00587825">
        <w:rPr>
          <w:sz w:val="17"/>
        </w:rPr>
        <w:t>the</w:t>
      </w:r>
      <w:r w:rsidRPr="003C6348">
        <w:rPr>
          <w:szCs w:val="18"/>
        </w:rPr>
        <w:t xml:space="preserve"> Special Rapporteur on violence against women, its causes and consequences, </w:t>
      </w:r>
      <w:hyperlink r:id="rId7" w:history="1">
        <w:r w:rsidRPr="003C6348">
          <w:rPr>
            <w:rStyle w:val="Hyperlink"/>
            <w:color w:val="0000BF" w:themeColor="hyperlink" w:themeShade="BF"/>
            <w:szCs w:val="18"/>
          </w:rPr>
          <w:t>A/HRC/47/26</w:t>
        </w:r>
      </w:hyperlink>
      <w:r w:rsidRPr="003C6348">
        <w:rPr>
          <w:color w:val="E36C0A" w:themeColor="accent6" w:themeShade="BF"/>
          <w:szCs w:val="18"/>
        </w:rPr>
        <w:t xml:space="preserve">. </w:t>
      </w:r>
    </w:p>
  </w:footnote>
  <w:footnote w:id="35">
    <w:p w14:paraId="3194AC12"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GC I, art. </w:t>
      </w:r>
      <w:r w:rsidRPr="00587825">
        <w:rPr>
          <w:sz w:val="17"/>
        </w:rPr>
        <w:t>12</w:t>
      </w:r>
      <w:r w:rsidRPr="003C6348">
        <w:rPr>
          <w:szCs w:val="18"/>
        </w:rPr>
        <w:t>; GC II, art. 12; GC III, art. 13, 17 and 87; GC IV, arts. 27 and 32; GC I-IV common article 3 and arts. 50, 51, 130, 147 respectively.</w:t>
      </w:r>
    </w:p>
  </w:footnote>
  <w:footnote w:id="36">
    <w:p w14:paraId="2F99EEAE" w14:textId="77777777" w:rsidR="00BD416B" w:rsidRPr="003C6348" w:rsidRDefault="00BD416B" w:rsidP="00455117">
      <w:pPr>
        <w:pStyle w:val="FootnoteText"/>
        <w:rPr>
          <w:color w:val="00B050"/>
          <w:szCs w:val="18"/>
        </w:rPr>
      </w:pPr>
      <w:r>
        <w:rPr>
          <w:szCs w:val="18"/>
        </w:rPr>
        <w:tab/>
      </w:r>
      <w:r w:rsidRPr="003C6348">
        <w:rPr>
          <w:rStyle w:val="FootnoteReference"/>
          <w:szCs w:val="18"/>
        </w:rPr>
        <w:footnoteRef/>
      </w:r>
      <w:r>
        <w:rPr>
          <w:szCs w:val="18"/>
        </w:rPr>
        <w:tab/>
      </w:r>
      <w:r w:rsidRPr="00400943">
        <w:rPr>
          <w:szCs w:val="18"/>
        </w:rPr>
        <w:t>Additional</w:t>
      </w:r>
      <w:r w:rsidRPr="003C6348">
        <w:rPr>
          <w:szCs w:val="18"/>
        </w:rPr>
        <w:t xml:space="preserve"> Protocol I of 1977 (art. 75(2)(ii)); and Additional Protocol II of 1977 (art. 42(2)(a)).</w:t>
      </w:r>
    </w:p>
  </w:footnote>
  <w:footnote w:id="37">
    <w:p w14:paraId="3F664F45"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Rome Statute of the International Criminal Court arts. 8(2)(a)(ii) 8(2)(c)(i) and (ii), rights of persons during an </w:t>
      </w:r>
      <w:r w:rsidRPr="00587825">
        <w:rPr>
          <w:sz w:val="17"/>
        </w:rPr>
        <w:t>investigation</w:t>
      </w:r>
      <w:r w:rsidRPr="003C6348">
        <w:rPr>
          <w:szCs w:val="18"/>
        </w:rPr>
        <w:t xml:space="preserve"> art. 55(1)(b)) as well as crimes against humanity art. 7(1)(f) and (k)).    </w:t>
      </w:r>
    </w:p>
  </w:footnote>
  <w:footnote w:id="38">
    <w:p w14:paraId="52FBDD89" w14:textId="77777777" w:rsidR="00BD416B" w:rsidRPr="003C6348" w:rsidRDefault="00BD416B" w:rsidP="00455117">
      <w:pPr>
        <w:pStyle w:val="FootnoteText"/>
        <w:rPr>
          <w:szCs w:val="18"/>
          <w:shd w:val="clear" w:color="auto" w:fill="FFFF00"/>
        </w:rPr>
      </w:pPr>
      <w:r>
        <w:rPr>
          <w:szCs w:val="18"/>
        </w:rPr>
        <w:tab/>
      </w:r>
      <w:r w:rsidRPr="003C6348">
        <w:rPr>
          <w:rStyle w:val="FootnoteReference"/>
          <w:szCs w:val="18"/>
        </w:rPr>
        <w:footnoteRef/>
      </w:r>
      <w:r>
        <w:rPr>
          <w:szCs w:val="18"/>
        </w:rPr>
        <w:tab/>
      </w:r>
      <w:r w:rsidRPr="003C6348">
        <w:rPr>
          <w:szCs w:val="18"/>
        </w:rPr>
        <w:t xml:space="preserve">Committee on the Elimination of Discrimination against Women, General recommendation No. 35 (2017) on </w:t>
      </w:r>
      <w:r w:rsidRPr="00587825">
        <w:rPr>
          <w:sz w:val="17"/>
        </w:rPr>
        <w:t>gender</w:t>
      </w:r>
      <w:r w:rsidRPr="003C6348">
        <w:rPr>
          <w:szCs w:val="18"/>
        </w:rPr>
        <w:t>-based violence against women, updating general recommendation No. 19.</w:t>
      </w:r>
    </w:p>
  </w:footnote>
  <w:footnote w:id="39">
    <w:p w14:paraId="236EB7F3"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See Human </w:t>
      </w:r>
      <w:r w:rsidRPr="00587825">
        <w:rPr>
          <w:sz w:val="17"/>
        </w:rPr>
        <w:t>Rights</w:t>
      </w:r>
      <w:r w:rsidRPr="003C6348">
        <w:rPr>
          <w:szCs w:val="18"/>
        </w:rPr>
        <w:t xml:space="preserve"> Committee, general comment No. 29, para. 11, referring to the Executive Committee of the United Nations High Commissioner for Refugees Conclusion No. 25, para (b); see further Report of the Special Rapporteur on Torture, </w:t>
      </w:r>
      <w:hyperlink r:id="rId8" w:history="1">
        <w:r w:rsidRPr="003C6348">
          <w:rPr>
            <w:rStyle w:val="Hyperlink"/>
            <w:szCs w:val="18"/>
          </w:rPr>
          <w:t>A/52/12/Add.1</w:t>
        </w:r>
      </w:hyperlink>
      <w:r w:rsidRPr="003C6348">
        <w:rPr>
          <w:szCs w:val="18"/>
        </w:rPr>
        <w:t>.</w:t>
      </w:r>
    </w:p>
  </w:footnote>
  <w:footnote w:id="40">
    <w:p w14:paraId="69939D52"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400943">
        <w:rPr>
          <w:szCs w:val="18"/>
        </w:rPr>
        <w:t>Convention</w:t>
      </w:r>
      <w:r w:rsidRPr="003C6348">
        <w:rPr>
          <w:szCs w:val="18"/>
        </w:rPr>
        <w:t xml:space="preserve"> against Torture, art. 3.  </w:t>
      </w:r>
    </w:p>
  </w:footnote>
  <w:footnote w:id="41">
    <w:p w14:paraId="5F074DE5"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Global soft law standards include the Code of Conduct for Law Enforcement Officials (1979), the </w:t>
      </w:r>
      <w:r w:rsidRPr="00455117">
        <w:t>Principles of Medical Ethics relevant to the Role of Health Personnel, particularly Physicians, in the</w:t>
      </w:r>
      <w:r w:rsidRPr="003C6348">
        <w:rPr>
          <w:szCs w:val="18"/>
        </w:rPr>
        <w:t xml:space="preserve"> Protection of Prisoners and Detainees against Torture and Other Cruel, Inhuman or Degrading Treatment or Punishment (1982), the Body of </w:t>
      </w:r>
      <w:r w:rsidRPr="00587825">
        <w:rPr>
          <w:sz w:val="17"/>
        </w:rPr>
        <w:t>Principles</w:t>
      </w:r>
      <w:r w:rsidRPr="003C6348">
        <w:rPr>
          <w:szCs w:val="18"/>
        </w:rPr>
        <w:t xml:space="preserve"> for the Protection of All Persons under Any Form of Detention or Imprisonment (1988), the Basic Principles on the Use of Force and Firearms by Law Enforcement Officials (1990), Guidelines on the Role of Prosecutors (1990), the Principles on the Effective Investigation and Documentation of Torture and Other Cruel, Inhuman or Degrading Treatment or Punishment (Istanbul Protocol) (2000), the revised Standard Minimum Rules for the Treatment of Prisoners (Nelson Mandela Rules) (2015), and the revised Istanbul Protocol: Manual on the Effective Investigation and Documentation of Torture and Other Cruel, Inhuman or Degrading Treatment or Punishment (2022). </w:t>
      </w:r>
    </w:p>
  </w:footnote>
  <w:footnote w:id="42">
    <w:p w14:paraId="364434BE"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szCs w:val="18"/>
        </w:rPr>
        <w:t xml:space="preserve">See Report of the Group of Governmental experts, A/76/850, “Towards torture-free trade: examining the feasibility, scope and parameters for possible common international standards”, May 2022. </w:t>
      </w:r>
    </w:p>
  </w:footnote>
  <w:footnote w:id="43">
    <w:p w14:paraId="71A81BBC" w14:textId="77777777" w:rsidR="00BD416B" w:rsidRPr="003C6348" w:rsidRDefault="00BD416B" w:rsidP="00455117">
      <w:pPr>
        <w:pStyle w:val="FootnoteText"/>
        <w:rPr>
          <w:szCs w:val="18"/>
        </w:rPr>
      </w:pPr>
      <w:r>
        <w:rPr>
          <w:szCs w:val="18"/>
        </w:rPr>
        <w:tab/>
      </w:r>
      <w:r w:rsidRPr="003C6348">
        <w:rPr>
          <w:rStyle w:val="FootnoteReference"/>
          <w:szCs w:val="18"/>
        </w:rPr>
        <w:footnoteRef/>
      </w:r>
      <w:r>
        <w:rPr>
          <w:szCs w:val="18"/>
        </w:rPr>
        <w:tab/>
      </w:r>
      <w:r w:rsidRPr="003C6348">
        <w:rPr>
          <w:rFonts w:cstheme="minorBidi"/>
          <w:szCs w:val="18"/>
          <w:lang w:eastAsia="en-GB"/>
        </w:rPr>
        <w:t xml:space="preserve">Such </w:t>
      </w:r>
      <w:r w:rsidRPr="00400943">
        <w:rPr>
          <w:szCs w:val="18"/>
        </w:rPr>
        <w:t>technologies</w:t>
      </w:r>
      <w:r w:rsidRPr="003C6348">
        <w:rPr>
          <w:rFonts w:cstheme="minorBidi"/>
          <w:szCs w:val="18"/>
          <w:lang w:eastAsia="en-GB"/>
        </w:rPr>
        <w:t xml:space="preserve"> include (non-exhaustive list): information technology management systems such as electronic detention registers and medical records and other crime filing systems, fingerprinting and other forensic science, audio- and video-recording of interviews, remote connection to lawyers or interpreters or participation in court proceedings (including detention or </w:t>
      </w:r>
      <w:r w:rsidRPr="003C6348">
        <w:rPr>
          <w:rFonts w:cstheme="minorBidi"/>
          <w:i/>
          <w:iCs/>
          <w:szCs w:val="18"/>
          <w:lang w:eastAsia="en-GB"/>
        </w:rPr>
        <w:t xml:space="preserve">habeas corpus </w:t>
      </w:r>
      <w:r w:rsidRPr="003C6348">
        <w:rPr>
          <w:rFonts w:cstheme="minorBidi"/>
          <w:szCs w:val="18"/>
          <w:lang w:eastAsia="en-GB"/>
        </w:rPr>
        <w:t>hearings), polygraphs, CCTV (closed circuit television), vehicle or body-worn cameras, tasers, infrared and thermal immigration controls, ankle bracelets, GPS technology for house arrest or bail systems, facial recognition software.</w:t>
      </w:r>
    </w:p>
  </w:footnote>
  <w:footnote w:id="44">
    <w:p w14:paraId="593CFCC6" w14:textId="77777777" w:rsidR="00BD416B" w:rsidRPr="003C6348" w:rsidRDefault="00BD416B" w:rsidP="00455117">
      <w:pPr>
        <w:pStyle w:val="FootnoteText"/>
        <w:rPr>
          <w:rStyle w:val="FootnoteReference"/>
          <w:szCs w:val="18"/>
        </w:rPr>
      </w:pPr>
      <w:r>
        <w:rPr>
          <w:rStyle w:val="FootnoteReference"/>
          <w:szCs w:val="18"/>
        </w:rPr>
        <w:tab/>
      </w:r>
      <w:r w:rsidRPr="003C6348">
        <w:rPr>
          <w:rStyle w:val="FootnoteReference"/>
          <w:szCs w:val="18"/>
        </w:rPr>
        <w:footnoteRef/>
      </w:r>
      <w:r>
        <w:rPr>
          <w:rStyle w:val="FootnoteReference"/>
          <w:szCs w:val="18"/>
        </w:rPr>
        <w:tab/>
      </w:r>
      <w:r w:rsidRPr="003C6348">
        <w:rPr>
          <w:rFonts w:cstheme="minorBidi"/>
          <w:szCs w:val="18"/>
          <w:lang w:eastAsia="en-GB"/>
        </w:rPr>
        <w:t>See, Report of High Commissioner for Human Rights, A/HRC/51/17, 4 August 2022, making reference to the risk of hacking and mining personal data on human rights defenders and the associated risks of torture or inhuman treatment, para. 9.</w:t>
      </w:r>
    </w:p>
  </w:footnote>
  <w:footnote w:id="45">
    <w:p w14:paraId="13BA0CFA" w14:textId="77777777" w:rsidR="00BD416B" w:rsidRPr="003C6348" w:rsidRDefault="00BD416B" w:rsidP="00455117">
      <w:pPr>
        <w:pStyle w:val="FootnoteText"/>
        <w:rPr>
          <w:color w:val="E36C0A" w:themeColor="accent6" w:themeShade="BF"/>
          <w:szCs w:val="18"/>
        </w:rPr>
      </w:pPr>
      <w:r>
        <w:rPr>
          <w:szCs w:val="18"/>
        </w:rPr>
        <w:tab/>
      </w:r>
      <w:r w:rsidRPr="003C6348">
        <w:rPr>
          <w:rStyle w:val="FootnoteReference"/>
          <w:szCs w:val="18"/>
        </w:rPr>
        <w:footnoteRef/>
      </w:r>
      <w:r>
        <w:rPr>
          <w:szCs w:val="18"/>
        </w:rPr>
        <w:tab/>
      </w:r>
      <w:r w:rsidRPr="003C6348">
        <w:rPr>
          <w:szCs w:val="18"/>
        </w:rPr>
        <w:t xml:space="preserve">See also Convention against Torture Initiative, Training Tool No. 1/2017, Investigative Interviewing for Criminal </w:t>
      </w:r>
      <w:r w:rsidRPr="00587825">
        <w:rPr>
          <w:sz w:val="17"/>
        </w:rPr>
        <w:t>Cases</w:t>
      </w:r>
      <w:r w:rsidRPr="003C6348">
        <w:rPr>
          <w:szCs w:val="18"/>
        </w:rPr>
        <w:t xml:space="preserve"> (2017) and Revised Manual on the Effective Investigation and Documentation of Torture and Other Cruel, Inhuman or Degrading Treatment or Punishment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908F" w14:textId="25F9FC58" w:rsidR="00483428" w:rsidRDefault="00D07AF1" w:rsidP="00483428">
    <w:pPr>
      <w:pStyle w:val="Header"/>
    </w:pPr>
    <w:r>
      <w:t>A/7</w:t>
    </w:r>
    <w:r w:rsidR="008639AC">
      <w:t>7</w:t>
    </w:r>
    <w:r>
      <w:t>/</w:t>
    </w:r>
    <w:r w:rsidR="008639AC">
      <w:t>2972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9090" w14:textId="4439C076" w:rsidR="00483428" w:rsidRDefault="00D07AF1" w:rsidP="00483428">
    <w:pPr>
      <w:pStyle w:val="Header"/>
      <w:jc w:val="right"/>
    </w:pPr>
    <w:r>
      <w:t>A/7</w:t>
    </w:r>
    <w:r w:rsidR="008639AC">
      <w:t>7</w:t>
    </w:r>
    <w:r w:rsidR="00547B76">
      <w:t>/</w:t>
    </w:r>
    <w:r w:rsidR="008639AC">
      <w:t>2972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E9621AE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3" w15:restartNumberingAfterBreak="0">
    <w:nsid w:val="14EB3877"/>
    <w:multiLevelType w:val="hybridMultilevel"/>
    <w:tmpl w:val="4B429C42"/>
    <w:lvl w:ilvl="0" w:tplc="832CA7FC">
      <w:start w:val="1"/>
      <w:numFmt w:val="decimal"/>
      <w:lvlText w:val="%1."/>
      <w:lvlJc w:val="left"/>
      <w:pPr>
        <w:ind w:left="1778" w:hanging="360"/>
      </w:pPr>
      <w:rPr>
        <w:rFonts w:asciiTheme="majorBidi" w:hAnsiTheme="majorBidi" w:cstheme="majorBidi" w:hint="default"/>
        <w:b w:val="0"/>
        <w:bCs w:val="0"/>
        <w:sz w:val="20"/>
        <w:szCs w:val="20"/>
      </w:rPr>
    </w:lvl>
    <w:lvl w:ilvl="1" w:tplc="20CEED90">
      <w:start w:val="1"/>
      <w:numFmt w:val="upperRoman"/>
      <w:lvlText w:val="(%2)"/>
      <w:lvlJc w:val="left"/>
      <w:pPr>
        <w:ind w:left="3067" w:hanging="720"/>
      </w:pPr>
      <w:rPr>
        <w:rFonts w:hint="default"/>
      </w:rPr>
    </w:lvl>
    <w:lvl w:ilvl="2" w:tplc="0809001B" w:tentative="1">
      <w:start w:val="1"/>
      <w:numFmt w:val="lowerRoman"/>
      <w:lvlText w:val="%3."/>
      <w:lvlJc w:val="right"/>
      <w:pPr>
        <w:ind w:left="3427" w:hanging="180"/>
      </w:pPr>
    </w:lvl>
    <w:lvl w:ilvl="3" w:tplc="0809000F" w:tentative="1">
      <w:start w:val="1"/>
      <w:numFmt w:val="decimal"/>
      <w:lvlText w:val="%4."/>
      <w:lvlJc w:val="left"/>
      <w:pPr>
        <w:ind w:left="4147" w:hanging="360"/>
      </w:pPr>
    </w:lvl>
    <w:lvl w:ilvl="4" w:tplc="08090019" w:tentative="1">
      <w:start w:val="1"/>
      <w:numFmt w:val="lowerLetter"/>
      <w:lvlText w:val="%5."/>
      <w:lvlJc w:val="left"/>
      <w:pPr>
        <w:ind w:left="4867" w:hanging="360"/>
      </w:pPr>
    </w:lvl>
    <w:lvl w:ilvl="5" w:tplc="0809001B" w:tentative="1">
      <w:start w:val="1"/>
      <w:numFmt w:val="lowerRoman"/>
      <w:lvlText w:val="%6."/>
      <w:lvlJc w:val="right"/>
      <w:pPr>
        <w:ind w:left="5587" w:hanging="180"/>
      </w:pPr>
    </w:lvl>
    <w:lvl w:ilvl="6" w:tplc="0809000F" w:tentative="1">
      <w:start w:val="1"/>
      <w:numFmt w:val="decimal"/>
      <w:lvlText w:val="%7."/>
      <w:lvlJc w:val="left"/>
      <w:pPr>
        <w:ind w:left="6307" w:hanging="360"/>
      </w:pPr>
    </w:lvl>
    <w:lvl w:ilvl="7" w:tplc="08090019" w:tentative="1">
      <w:start w:val="1"/>
      <w:numFmt w:val="lowerLetter"/>
      <w:lvlText w:val="%8."/>
      <w:lvlJc w:val="left"/>
      <w:pPr>
        <w:ind w:left="7027" w:hanging="360"/>
      </w:pPr>
    </w:lvl>
    <w:lvl w:ilvl="8" w:tplc="0809001B" w:tentative="1">
      <w:start w:val="1"/>
      <w:numFmt w:val="lowerRoman"/>
      <w:lvlText w:val="%9."/>
      <w:lvlJc w:val="right"/>
      <w:pPr>
        <w:ind w:left="7747" w:hanging="180"/>
      </w:pPr>
    </w:lvl>
  </w:abstractNum>
  <w:abstractNum w:abstractNumId="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F6FCC"/>
    <w:multiLevelType w:val="hybridMultilevel"/>
    <w:tmpl w:val="F7DC7CC2"/>
    <w:lvl w:ilvl="0" w:tplc="368E537A">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8"/>
  </w:num>
  <w:num w:numId="4">
    <w:abstractNumId w:val="1"/>
  </w:num>
  <w:num w:numId="5">
    <w:abstractNumId w:val="6"/>
  </w:num>
  <w:num w:numId="6">
    <w:abstractNumId w:val="2"/>
  </w:num>
  <w:num w:numId="7">
    <w:abstractNumId w:val="4"/>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E8"/>
    <w:rsid w:val="00031290"/>
    <w:rsid w:val="00046E92"/>
    <w:rsid w:val="00063C90"/>
    <w:rsid w:val="00072607"/>
    <w:rsid w:val="00080103"/>
    <w:rsid w:val="00086437"/>
    <w:rsid w:val="000C77F3"/>
    <w:rsid w:val="000D074B"/>
    <w:rsid w:val="000F1A68"/>
    <w:rsid w:val="00101B98"/>
    <w:rsid w:val="001233E9"/>
    <w:rsid w:val="00184A21"/>
    <w:rsid w:val="001A4C4F"/>
    <w:rsid w:val="001B041B"/>
    <w:rsid w:val="001B69EC"/>
    <w:rsid w:val="001C5D04"/>
    <w:rsid w:val="001C7F9A"/>
    <w:rsid w:val="001D7E9D"/>
    <w:rsid w:val="001E378C"/>
    <w:rsid w:val="001E41FD"/>
    <w:rsid w:val="001F6906"/>
    <w:rsid w:val="00207EEE"/>
    <w:rsid w:val="00247E2C"/>
    <w:rsid w:val="002779AC"/>
    <w:rsid w:val="002A32CB"/>
    <w:rsid w:val="002D6C53"/>
    <w:rsid w:val="002E6B21"/>
    <w:rsid w:val="002F4C5F"/>
    <w:rsid w:val="002F5595"/>
    <w:rsid w:val="00334F6A"/>
    <w:rsid w:val="00342AC8"/>
    <w:rsid w:val="00345DCB"/>
    <w:rsid w:val="00363FE3"/>
    <w:rsid w:val="00364175"/>
    <w:rsid w:val="0037370B"/>
    <w:rsid w:val="00375D42"/>
    <w:rsid w:val="00387719"/>
    <w:rsid w:val="003A217F"/>
    <w:rsid w:val="003A33A0"/>
    <w:rsid w:val="003B4550"/>
    <w:rsid w:val="003C58C4"/>
    <w:rsid w:val="0040017C"/>
    <w:rsid w:val="00406324"/>
    <w:rsid w:val="00412585"/>
    <w:rsid w:val="004428B1"/>
    <w:rsid w:val="00455117"/>
    <w:rsid w:val="00461253"/>
    <w:rsid w:val="00461D5D"/>
    <w:rsid w:val="0047499D"/>
    <w:rsid w:val="00483428"/>
    <w:rsid w:val="004A2814"/>
    <w:rsid w:val="004C0622"/>
    <w:rsid w:val="004C12AF"/>
    <w:rsid w:val="004D10F9"/>
    <w:rsid w:val="005042C2"/>
    <w:rsid w:val="0053638E"/>
    <w:rsid w:val="00547B76"/>
    <w:rsid w:val="00583E48"/>
    <w:rsid w:val="005A370C"/>
    <w:rsid w:val="005B02D1"/>
    <w:rsid w:val="005C160B"/>
    <w:rsid w:val="005E4C99"/>
    <w:rsid w:val="005E716E"/>
    <w:rsid w:val="006213E8"/>
    <w:rsid w:val="00627BD3"/>
    <w:rsid w:val="006300FE"/>
    <w:rsid w:val="00640E83"/>
    <w:rsid w:val="00671529"/>
    <w:rsid w:val="006D4DC4"/>
    <w:rsid w:val="0070489D"/>
    <w:rsid w:val="007268F9"/>
    <w:rsid w:val="00727CE6"/>
    <w:rsid w:val="00781891"/>
    <w:rsid w:val="007A6527"/>
    <w:rsid w:val="007C52B0"/>
    <w:rsid w:val="007E1BAE"/>
    <w:rsid w:val="007E5052"/>
    <w:rsid w:val="007E7BCC"/>
    <w:rsid w:val="008572F4"/>
    <w:rsid w:val="00861B4E"/>
    <w:rsid w:val="00862289"/>
    <w:rsid w:val="008639AC"/>
    <w:rsid w:val="00881580"/>
    <w:rsid w:val="008D1E1C"/>
    <w:rsid w:val="008F6EAC"/>
    <w:rsid w:val="008F7BF4"/>
    <w:rsid w:val="009411B4"/>
    <w:rsid w:val="00955E24"/>
    <w:rsid w:val="00974150"/>
    <w:rsid w:val="009D0139"/>
    <w:rsid w:val="009D0D5C"/>
    <w:rsid w:val="009D717D"/>
    <w:rsid w:val="009F5CDC"/>
    <w:rsid w:val="00A44309"/>
    <w:rsid w:val="00A775CF"/>
    <w:rsid w:val="00A86080"/>
    <w:rsid w:val="00AD3BC3"/>
    <w:rsid w:val="00B06045"/>
    <w:rsid w:val="00B31641"/>
    <w:rsid w:val="00B52EF4"/>
    <w:rsid w:val="00B53256"/>
    <w:rsid w:val="00BA11F7"/>
    <w:rsid w:val="00BC767B"/>
    <w:rsid w:val="00BD416B"/>
    <w:rsid w:val="00C03015"/>
    <w:rsid w:val="00C0358D"/>
    <w:rsid w:val="00C25362"/>
    <w:rsid w:val="00C25DDE"/>
    <w:rsid w:val="00C35A27"/>
    <w:rsid w:val="00C37528"/>
    <w:rsid w:val="00C47B2E"/>
    <w:rsid w:val="00C84A74"/>
    <w:rsid w:val="00CA1B04"/>
    <w:rsid w:val="00CD0704"/>
    <w:rsid w:val="00D07AF1"/>
    <w:rsid w:val="00D30BCD"/>
    <w:rsid w:val="00D368A0"/>
    <w:rsid w:val="00D63866"/>
    <w:rsid w:val="00D67C99"/>
    <w:rsid w:val="00D71ADE"/>
    <w:rsid w:val="00E02C2B"/>
    <w:rsid w:val="00E12990"/>
    <w:rsid w:val="00E1691F"/>
    <w:rsid w:val="00E31B95"/>
    <w:rsid w:val="00E52109"/>
    <w:rsid w:val="00E6207F"/>
    <w:rsid w:val="00E75317"/>
    <w:rsid w:val="00ED6C48"/>
    <w:rsid w:val="00F30ECA"/>
    <w:rsid w:val="00F65F5D"/>
    <w:rsid w:val="00F86A3A"/>
    <w:rsid w:val="00FF068E"/>
    <w:rsid w:val="00FF5C9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F9008"/>
  <w15:docId w15:val="{E98AD35D-AB44-4F40-9A8A-74FFF091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37370B"/>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ParNoG">
    <w:name w:val="_ParNo_G"/>
    <w:basedOn w:val="SingleTxtG"/>
    <w:qFormat/>
    <w:rsid w:val="008D1E1C"/>
    <w:pPr>
      <w:numPr>
        <w:numId w:val="6"/>
      </w:numPr>
      <w:suppressAutoHyphens w:val="0"/>
      <w:kinsoku/>
      <w:overflowPunct/>
      <w:autoSpaceDE/>
      <w:autoSpaceDN/>
      <w:adjustRightInd/>
      <w:snapToGrid/>
    </w:pPr>
    <w:rPr>
      <w:rFonts w:eastAsia="Times New Roman"/>
    </w:rPr>
  </w:style>
  <w:style w:type="paragraph" w:styleId="ListParagraph">
    <w:name w:val="List Paragraph"/>
    <w:basedOn w:val="Normal"/>
    <w:uiPriority w:val="34"/>
    <w:qFormat/>
    <w:rsid w:val="008D1E1C"/>
    <w:pPr>
      <w:suppressAutoHyphens w:val="0"/>
      <w:kinsoku/>
      <w:overflowPunct/>
      <w:autoSpaceDE/>
      <w:autoSpaceDN/>
      <w:adjustRightInd/>
      <w:snapToGrid/>
      <w:spacing w:after="160" w:line="259" w:lineRule="auto"/>
      <w:ind w:left="720"/>
      <w:contextualSpacing/>
    </w:pPr>
    <w:rPr>
      <w:rFonts w:ascii="Book Antiqua" w:hAnsi="Book Antiqua" w:cstheme="majorBidi"/>
      <w:sz w:val="24"/>
      <w:szCs w:val="24"/>
    </w:rPr>
  </w:style>
  <w:style w:type="character" w:styleId="CommentReference">
    <w:name w:val="annotation reference"/>
    <w:basedOn w:val="DefaultParagraphFont"/>
    <w:uiPriority w:val="99"/>
    <w:semiHidden/>
    <w:unhideWhenUsed/>
    <w:rsid w:val="008D1E1C"/>
    <w:rPr>
      <w:sz w:val="16"/>
      <w:szCs w:val="16"/>
    </w:rPr>
  </w:style>
  <w:style w:type="paragraph" w:customStyle="1" w:styleId="CommentText1">
    <w:name w:val="Comment Text1"/>
    <w:basedOn w:val="Normal"/>
    <w:next w:val="CommentText"/>
    <w:link w:val="CommentTextChar"/>
    <w:uiPriority w:val="99"/>
    <w:semiHidden/>
    <w:unhideWhenUsed/>
    <w:rsid w:val="008D1E1C"/>
    <w:pPr>
      <w:suppressAutoHyphens w:val="0"/>
      <w:kinsoku/>
      <w:overflowPunct/>
      <w:autoSpaceDE/>
      <w:autoSpaceDN/>
      <w:adjustRightInd/>
      <w:snapToGrid/>
      <w:spacing w:line="240" w:lineRule="auto"/>
      <w:jc w:val="both"/>
    </w:pPr>
    <w:rPr>
      <w:rFonts w:ascii="Book Antiqua" w:hAnsi="Book Antiqua" w:cstheme="majorBidi"/>
      <w:sz w:val="24"/>
      <w:szCs w:val="24"/>
    </w:rPr>
  </w:style>
  <w:style w:type="character" w:customStyle="1" w:styleId="CommentTextChar">
    <w:name w:val="Comment Text Char"/>
    <w:basedOn w:val="DefaultParagraphFont"/>
    <w:link w:val="CommentText1"/>
    <w:uiPriority w:val="99"/>
    <w:semiHidden/>
    <w:rsid w:val="008D1E1C"/>
    <w:rPr>
      <w:rFonts w:ascii="Book Antiqua" w:eastAsiaTheme="minorHAnsi" w:hAnsi="Book Antiqua" w:cstheme="majorBidi"/>
      <w:sz w:val="24"/>
      <w:szCs w:val="24"/>
      <w:lang w:eastAsia="en-US"/>
    </w:rPr>
  </w:style>
  <w:style w:type="paragraph" w:styleId="CommentText">
    <w:name w:val="annotation text"/>
    <w:basedOn w:val="Normal"/>
    <w:link w:val="CommentTextChar1"/>
    <w:uiPriority w:val="99"/>
    <w:unhideWhenUsed/>
    <w:rsid w:val="008D1E1C"/>
    <w:pPr>
      <w:suppressAutoHyphens w:val="0"/>
      <w:kinsoku/>
      <w:overflowPunct/>
      <w:autoSpaceDE/>
      <w:autoSpaceDN/>
      <w:adjustRightInd/>
      <w:snapToGrid/>
      <w:spacing w:after="160" w:line="240" w:lineRule="auto"/>
    </w:pPr>
    <w:rPr>
      <w:rFonts w:ascii="Book Antiqua" w:hAnsi="Book Antiqua" w:cstheme="majorBidi"/>
    </w:rPr>
  </w:style>
  <w:style w:type="character" w:customStyle="1" w:styleId="CommentTextChar1">
    <w:name w:val="Comment Text Char1"/>
    <w:basedOn w:val="DefaultParagraphFont"/>
    <w:link w:val="CommentText"/>
    <w:uiPriority w:val="99"/>
    <w:rsid w:val="008D1E1C"/>
    <w:rPr>
      <w:rFonts w:ascii="Book Antiqua" w:eastAsiaTheme="minorHAnsi" w:hAnsi="Book Antiqua" w:cstheme="majorBidi"/>
      <w:sz w:val="20"/>
      <w:szCs w:val="20"/>
      <w:lang w:eastAsia="en-US"/>
    </w:rPr>
  </w:style>
  <w:style w:type="paragraph" w:styleId="CommentSubject">
    <w:name w:val="annotation subject"/>
    <w:basedOn w:val="CommentText"/>
    <w:next w:val="CommentText"/>
    <w:link w:val="CommentSubjectChar"/>
    <w:uiPriority w:val="99"/>
    <w:semiHidden/>
    <w:unhideWhenUsed/>
    <w:rsid w:val="008D1E1C"/>
    <w:rPr>
      <w:b/>
      <w:bCs/>
    </w:rPr>
  </w:style>
  <w:style w:type="character" w:customStyle="1" w:styleId="CommentSubjectChar">
    <w:name w:val="Comment Subject Char"/>
    <w:basedOn w:val="CommentTextChar1"/>
    <w:link w:val="CommentSubject"/>
    <w:uiPriority w:val="99"/>
    <w:semiHidden/>
    <w:rsid w:val="008D1E1C"/>
    <w:rPr>
      <w:rFonts w:ascii="Book Antiqua" w:eastAsiaTheme="minorHAnsi" w:hAnsi="Book Antiqua" w:cstheme="majorBidi"/>
      <w:b/>
      <w:bCs/>
      <w:sz w:val="20"/>
      <w:szCs w:val="20"/>
      <w:lang w:eastAsia="en-US"/>
    </w:rPr>
  </w:style>
  <w:style w:type="character" w:customStyle="1" w:styleId="UnresolvedMention1">
    <w:name w:val="Unresolved Mention1"/>
    <w:basedOn w:val="DefaultParagraphFont"/>
    <w:uiPriority w:val="99"/>
    <w:semiHidden/>
    <w:unhideWhenUsed/>
    <w:rsid w:val="008D1E1C"/>
    <w:rPr>
      <w:color w:val="808080"/>
      <w:shd w:val="clear" w:color="auto" w:fill="E6E6E6"/>
    </w:rPr>
  </w:style>
  <w:style w:type="character" w:customStyle="1" w:styleId="UnresolvedMention2">
    <w:name w:val="Unresolved Mention2"/>
    <w:basedOn w:val="DefaultParagraphFont"/>
    <w:uiPriority w:val="99"/>
    <w:semiHidden/>
    <w:unhideWhenUsed/>
    <w:rsid w:val="008D1E1C"/>
    <w:rPr>
      <w:color w:val="808080"/>
      <w:shd w:val="clear" w:color="auto" w:fill="E6E6E6"/>
    </w:rPr>
  </w:style>
  <w:style w:type="paragraph" w:styleId="Revision">
    <w:name w:val="Revision"/>
    <w:hidden/>
    <w:uiPriority w:val="99"/>
    <w:semiHidden/>
    <w:rsid w:val="008D1E1C"/>
    <w:pPr>
      <w:spacing w:after="0" w:line="240" w:lineRule="auto"/>
    </w:pPr>
    <w:rPr>
      <w:rFonts w:ascii="Book Antiqua" w:eastAsiaTheme="minorHAnsi" w:hAnsi="Book Antiqua" w:cstheme="majorBidi"/>
      <w:sz w:val="24"/>
      <w:szCs w:val="24"/>
      <w:lang w:eastAsia="en-US"/>
    </w:rPr>
  </w:style>
  <w:style w:type="character" w:customStyle="1" w:styleId="UnresolvedMention3">
    <w:name w:val="Unresolved Mention3"/>
    <w:basedOn w:val="DefaultParagraphFont"/>
    <w:uiPriority w:val="99"/>
    <w:semiHidden/>
    <w:unhideWhenUsed/>
    <w:rsid w:val="008D1E1C"/>
    <w:rPr>
      <w:color w:val="605E5C"/>
      <w:shd w:val="clear" w:color="auto" w:fill="E1DFDD"/>
    </w:rPr>
  </w:style>
  <w:style w:type="character" w:customStyle="1" w:styleId="UnresolvedMention4">
    <w:name w:val="Unresolved Mention4"/>
    <w:basedOn w:val="DefaultParagraphFont"/>
    <w:uiPriority w:val="99"/>
    <w:semiHidden/>
    <w:unhideWhenUsed/>
    <w:rsid w:val="008D1E1C"/>
    <w:rPr>
      <w:color w:val="605E5C"/>
      <w:shd w:val="clear" w:color="auto" w:fill="E1DFDD"/>
    </w:rPr>
  </w:style>
  <w:style w:type="character" w:customStyle="1" w:styleId="UnresolvedMention5">
    <w:name w:val="Unresolved Mention5"/>
    <w:basedOn w:val="DefaultParagraphFont"/>
    <w:uiPriority w:val="99"/>
    <w:semiHidden/>
    <w:unhideWhenUsed/>
    <w:rsid w:val="008D1E1C"/>
    <w:rPr>
      <w:color w:val="605E5C"/>
      <w:shd w:val="clear" w:color="auto" w:fill="E1DFDD"/>
    </w:rPr>
  </w:style>
  <w:style w:type="paragraph" w:styleId="TOC1">
    <w:name w:val="toc 1"/>
    <w:basedOn w:val="Normal"/>
    <w:next w:val="Normal"/>
    <w:autoRedefine/>
    <w:uiPriority w:val="39"/>
    <w:unhideWhenUsed/>
    <w:rsid w:val="008D1E1C"/>
    <w:pPr>
      <w:tabs>
        <w:tab w:val="right" w:leader="dot" w:pos="9016"/>
      </w:tabs>
      <w:suppressAutoHyphens w:val="0"/>
      <w:kinsoku/>
      <w:overflowPunct/>
      <w:autoSpaceDE/>
      <w:autoSpaceDN/>
      <w:adjustRightInd/>
      <w:snapToGrid/>
      <w:spacing w:before="120" w:after="120" w:line="259" w:lineRule="auto"/>
    </w:pPr>
    <w:rPr>
      <w:rFonts w:asciiTheme="minorHAnsi" w:hAnsiTheme="minorHAnsi" w:cstheme="minorHAnsi"/>
      <w:b/>
      <w:bCs/>
      <w:caps/>
    </w:rPr>
  </w:style>
  <w:style w:type="paragraph" w:styleId="TOC2">
    <w:name w:val="toc 2"/>
    <w:basedOn w:val="Normal"/>
    <w:next w:val="Normal"/>
    <w:autoRedefine/>
    <w:uiPriority w:val="39"/>
    <w:unhideWhenUsed/>
    <w:rsid w:val="008D1E1C"/>
    <w:pPr>
      <w:suppressAutoHyphens w:val="0"/>
      <w:kinsoku/>
      <w:overflowPunct/>
      <w:autoSpaceDE/>
      <w:autoSpaceDN/>
      <w:adjustRightInd/>
      <w:snapToGrid/>
      <w:spacing w:line="259" w:lineRule="auto"/>
      <w:ind w:left="240"/>
    </w:pPr>
    <w:rPr>
      <w:rFonts w:asciiTheme="minorHAnsi" w:hAnsiTheme="minorHAnsi" w:cstheme="minorHAnsi"/>
      <w:smallCaps/>
    </w:rPr>
  </w:style>
  <w:style w:type="paragraph" w:styleId="TOC3">
    <w:name w:val="toc 3"/>
    <w:basedOn w:val="Normal"/>
    <w:next w:val="Normal"/>
    <w:autoRedefine/>
    <w:uiPriority w:val="39"/>
    <w:unhideWhenUsed/>
    <w:rsid w:val="008D1E1C"/>
    <w:pPr>
      <w:suppressAutoHyphens w:val="0"/>
      <w:kinsoku/>
      <w:overflowPunct/>
      <w:autoSpaceDE/>
      <w:autoSpaceDN/>
      <w:adjustRightInd/>
      <w:snapToGrid/>
      <w:spacing w:line="259" w:lineRule="auto"/>
      <w:ind w:left="480"/>
    </w:pPr>
    <w:rPr>
      <w:rFonts w:asciiTheme="minorHAnsi" w:hAnsiTheme="minorHAnsi" w:cstheme="minorHAnsi"/>
      <w:i/>
      <w:iCs/>
    </w:rPr>
  </w:style>
  <w:style w:type="paragraph" w:styleId="TOC4">
    <w:name w:val="toc 4"/>
    <w:basedOn w:val="Normal"/>
    <w:next w:val="Normal"/>
    <w:autoRedefine/>
    <w:uiPriority w:val="39"/>
    <w:unhideWhenUsed/>
    <w:rsid w:val="008D1E1C"/>
    <w:pPr>
      <w:suppressAutoHyphens w:val="0"/>
      <w:kinsoku/>
      <w:overflowPunct/>
      <w:autoSpaceDE/>
      <w:autoSpaceDN/>
      <w:adjustRightInd/>
      <w:snapToGrid/>
      <w:spacing w:line="259" w:lineRule="auto"/>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8D1E1C"/>
    <w:pPr>
      <w:suppressAutoHyphens w:val="0"/>
      <w:kinsoku/>
      <w:overflowPunct/>
      <w:autoSpaceDE/>
      <w:autoSpaceDN/>
      <w:adjustRightInd/>
      <w:snapToGrid/>
      <w:spacing w:line="259" w:lineRule="auto"/>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8D1E1C"/>
    <w:pPr>
      <w:suppressAutoHyphens w:val="0"/>
      <w:kinsoku/>
      <w:overflowPunct/>
      <w:autoSpaceDE/>
      <w:autoSpaceDN/>
      <w:adjustRightInd/>
      <w:snapToGrid/>
      <w:spacing w:line="259" w:lineRule="auto"/>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8D1E1C"/>
    <w:pPr>
      <w:suppressAutoHyphens w:val="0"/>
      <w:kinsoku/>
      <w:overflowPunct/>
      <w:autoSpaceDE/>
      <w:autoSpaceDN/>
      <w:adjustRightInd/>
      <w:snapToGrid/>
      <w:spacing w:line="259" w:lineRule="auto"/>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8D1E1C"/>
    <w:pPr>
      <w:suppressAutoHyphens w:val="0"/>
      <w:kinsoku/>
      <w:overflowPunct/>
      <w:autoSpaceDE/>
      <w:autoSpaceDN/>
      <w:adjustRightInd/>
      <w:snapToGrid/>
      <w:spacing w:line="259" w:lineRule="auto"/>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8D1E1C"/>
    <w:pPr>
      <w:suppressAutoHyphens w:val="0"/>
      <w:kinsoku/>
      <w:overflowPunct/>
      <w:autoSpaceDE/>
      <w:autoSpaceDN/>
      <w:adjustRightInd/>
      <w:snapToGrid/>
      <w:spacing w:line="259" w:lineRule="auto"/>
      <w:ind w:left="1920"/>
    </w:pPr>
    <w:rPr>
      <w:rFonts w:asciiTheme="minorHAnsi" w:hAnsiTheme="minorHAnsi" w:cstheme="minorHAnsi"/>
      <w:sz w:val="18"/>
      <w:szCs w:val="18"/>
    </w:rPr>
  </w:style>
  <w:style w:type="paragraph" w:styleId="TOCHeading">
    <w:name w:val="TOC Heading"/>
    <w:basedOn w:val="Heading1"/>
    <w:next w:val="Normal"/>
    <w:uiPriority w:val="39"/>
    <w:unhideWhenUsed/>
    <w:qFormat/>
    <w:rsid w:val="008D1E1C"/>
    <w:pPr>
      <w:keepNext/>
      <w:keepLines/>
      <w:suppressAutoHyphens w:val="0"/>
      <w:kinsoku/>
      <w:overflowPunct/>
      <w:autoSpaceDE/>
      <w:autoSpaceDN/>
      <w:adjustRightInd/>
      <w:snapToGrid/>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customStyle="1" w:styleId="HCh">
    <w:name w:val="_ H _Ch"/>
    <w:basedOn w:val="Normal"/>
    <w:next w:val="SingleTxt"/>
    <w:rsid w:val="008D1E1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300" w:lineRule="exact"/>
      <w:outlineLvl w:val="0"/>
    </w:pPr>
    <w:rPr>
      <w:b/>
      <w:spacing w:val="-2"/>
      <w:w w:val="103"/>
      <w:kern w:val="14"/>
      <w:sz w:val="28"/>
    </w:rPr>
  </w:style>
  <w:style w:type="paragraph" w:customStyle="1" w:styleId="SingleTxt">
    <w:name w:val="__Single Txt"/>
    <w:basedOn w:val="Normal"/>
    <w:rsid w:val="008D1E1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ind w:left="1267" w:right="1267"/>
      <w:jc w:val="both"/>
    </w:pPr>
    <w:rPr>
      <w:spacing w:val="4"/>
      <w:w w:val="103"/>
      <w:kern w:val="14"/>
    </w:rPr>
  </w:style>
  <w:style w:type="paragraph" w:customStyle="1" w:styleId="NormalBullet">
    <w:name w:val="Normal Bullet"/>
    <w:basedOn w:val="Normal"/>
    <w:next w:val="Normal"/>
    <w:qFormat/>
    <w:rsid w:val="00BD416B"/>
    <w:pPr>
      <w:keepLines/>
      <w:numPr>
        <w:numId w:val="7"/>
      </w:numPr>
      <w:tabs>
        <w:tab w:val="left" w:pos="2218"/>
      </w:tabs>
      <w:kinsoku/>
      <w:overflowPunct/>
      <w:autoSpaceDE/>
      <w:autoSpaceDN/>
      <w:adjustRightInd/>
      <w:snapToGrid/>
      <w:spacing w:before="40" w:after="80" w:line="240" w:lineRule="exact"/>
      <w:ind w:right="302"/>
    </w:pPr>
    <w:rPr>
      <w:spacing w:val="4"/>
      <w:w w:val="103"/>
      <w:kern w:val="14"/>
    </w:rPr>
  </w:style>
  <w:style w:type="character" w:customStyle="1" w:styleId="UnresolvedMention6">
    <w:name w:val="Unresolved Mention6"/>
    <w:basedOn w:val="DefaultParagraphFont"/>
    <w:uiPriority w:val="99"/>
    <w:semiHidden/>
    <w:unhideWhenUsed/>
    <w:rsid w:val="00BD416B"/>
    <w:rPr>
      <w:color w:val="605E5C"/>
      <w:shd w:val="clear" w:color="auto" w:fill="E1DFDD"/>
    </w:rPr>
  </w:style>
  <w:style w:type="paragraph" w:customStyle="1" w:styleId="AgendaItemNormal">
    <w:name w:val="Agenda_Item_Normal"/>
    <w:next w:val="Normal"/>
    <w:qFormat/>
    <w:rsid w:val="00E6207F"/>
    <w:pPr>
      <w:spacing w:after="0" w:line="240" w:lineRule="exact"/>
    </w:pPr>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dds-ny.un.org/doc/UNDOC/GEN/G13/105/77/PDF/G1310577.pdf?OpenElement" TargetMode="External"/><Relationship Id="rId18" Type="http://schemas.openxmlformats.org/officeDocument/2006/relationships/hyperlink" Target="https://www.unodc.org/documents/justice-and-prison-reform/SPECIAL_RAPPORTEUR_EN.pdf" TargetMode="External"/><Relationship Id="rId26" Type="http://schemas.openxmlformats.org/officeDocument/2006/relationships/hyperlink" Target="https://undocs.org/Home/Mobile?FinalSymbol=A%2FRES%2F74%2F148&amp;Language=E&amp;DeviceType=Desktop&amp;LangRequested=False" TargetMode="External"/><Relationship Id="rId3" Type="http://schemas.openxmlformats.org/officeDocument/2006/relationships/customXml" Target="../customXml/item3.xml"/><Relationship Id="rId21" Type="http://schemas.openxmlformats.org/officeDocument/2006/relationships/hyperlink" Target="https://undocs.org/Home/Mobile?FinalSymbol=A%2F76%2F168&amp;Language=E&amp;DeviceType=Desktop&amp;LangRequested=Fals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Home/Mobile?FinalSymbol=A%2FHRC%2F47%2F53&amp;Language=E&amp;DeviceType=Desktop&amp;LangRequested=False" TargetMode="External"/><Relationship Id="rId17" Type="http://schemas.openxmlformats.org/officeDocument/2006/relationships/hyperlink" Target="https://undocs.org/Home/Mobile?FinalSymbol=A%2F71%2F298&amp;Language=E&amp;DeviceType=Desktop&amp;LangRequested=False" TargetMode="External"/><Relationship Id="rId25" Type="http://schemas.openxmlformats.org/officeDocument/2006/relationships/hyperlink" Target="https://undocs.org/Home/Mobile?FinalSymbol=E%2FCN.4%2F2003%2F68&amp;Language=E&amp;DeviceType=Desktop&amp;LangRequested=Fals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docs.org/Home/Mobile?FinalSymbol=A%2F76%2F168&amp;Language=E&amp;DeviceType=Desktop&amp;LangRequested=False" TargetMode="External"/><Relationship Id="rId20" Type="http://schemas.openxmlformats.org/officeDocument/2006/relationships/hyperlink" Target="https://undocs.org/Home/Mobile?FinalSymbol=A%2F61%2F259&amp;Language=E&amp;DeviceType=Desktop&amp;LangRequested=False" TargetMode="External"/><Relationship Id="rId29" Type="http://schemas.openxmlformats.org/officeDocument/2006/relationships/hyperlink" Target="https://documents-dds-ny.un.org/doc/UNDOC/GEN/N19/426/83/PDF/N1942683.pdf?OpenE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A/RES/72/163" TargetMode="External"/><Relationship Id="rId24" Type="http://schemas.openxmlformats.org/officeDocument/2006/relationships/hyperlink" Target="https://undocs.org/Home/Mobile?FinalSymbol=A%2F56%2F156&amp;Language=E&amp;DeviceType=Desktop&amp;LangRequested=Fal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ndocs.org/Home/Mobile?FinalSymbol=A%2F65%2F273&amp;Language=E&amp;DeviceType=Desktop&amp;LangRequested=False" TargetMode="External"/><Relationship Id="rId23" Type="http://schemas.openxmlformats.org/officeDocument/2006/relationships/hyperlink" Target="https://www.ohchr.org/sites/default/files/Documents/Issues/SRTorture/recommendations.pdf" TargetMode="External"/><Relationship Id="rId28" Type="http://schemas.openxmlformats.org/officeDocument/2006/relationships/hyperlink" Target="https://documents-dds-ny.un.org/doc/UNDOC/GEN/N16/250/31/PDF/N1625031.pdf?OpenElement" TargetMode="External"/><Relationship Id="rId10" Type="http://schemas.openxmlformats.org/officeDocument/2006/relationships/endnotes" Target="endnotes.xml"/><Relationship Id="rId19" Type="http://schemas.openxmlformats.org/officeDocument/2006/relationships/hyperlink" Target="https://undocs.org/Home/Mobile?FinalSymbol=A%2FHRC%2F46%2FL.27&amp;Language=E&amp;DeviceType=Desktop&amp;LangRequested=Fals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Home/Mobile?FinalSymbol=A%2FHRC%2F37%2F50&amp;Language=E&amp;DeviceType=Desktop&amp;LangRequested=False" TargetMode="External"/><Relationship Id="rId22" Type="http://schemas.openxmlformats.org/officeDocument/2006/relationships/hyperlink" Target="https://undocs.org/Home/Mobile?FinalSymbol=A%2F61%2F259&amp;Language=E&amp;DeviceType=Desktop&amp;LangRequested=False" TargetMode="External"/><Relationship Id="rId27" Type="http://schemas.openxmlformats.org/officeDocument/2006/relationships/hyperlink" Target="https://documents-dds-ny.un.org/doc/UNDOC/GEN/G16/000/97/PDF/G1600097.pdf?OpenElement"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Home/Mobile?FinalSymbol=A%2F52%2F12%2FAdd.1&amp;Language=E&amp;DeviceType=Desktop&amp;LangRequested=False" TargetMode="External"/><Relationship Id="rId3" Type="http://schemas.openxmlformats.org/officeDocument/2006/relationships/hyperlink" Target="https://documents-dds-ny.un.org/doc/UNDOC/GEN/N19/426/90/PDF/N1942690.pdf?OpenElement" TargetMode="External"/><Relationship Id="rId7" Type="http://schemas.openxmlformats.org/officeDocument/2006/relationships/hyperlink" Target="https://undocs.org/Home/Mobile?FinalSymbol=A%2FHRC%2F47%2F26&amp;Language=E&amp;DeviceType=Desktop&amp;LangRequested=False" TargetMode="External"/><Relationship Id="rId2" Type="http://schemas.openxmlformats.org/officeDocument/2006/relationships/hyperlink" Target="https://undocs.org/Home/Mobile?FinalSymbol=A%2FHRC%2F46%2F26&amp;Language=E&amp;DeviceType=Desktop&amp;LangRequested=False" TargetMode="External"/><Relationship Id="rId1" Type="http://schemas.openxmlformats.org/officeDocument/2006/relationships/hyperlink" Target="https://undocs.org/Home/Mobile?FinalSymbol=A%2F55%2F290&amp;Language=E&amp;DeviceType=Desktop&amp;LangRequested=False" TargetMode="External"/><Relationship Id="rId6" Type="http://schemas.openxmlformats.org/officeDocument/2006/relationships/hyperlink" Target="https://undocs.org/Home/Mobile?FinalSymbol=A%2FCN.4%2FL.967&amp;Language=E&amp;DeviceType=Desktop&amp;LangRequested=False" TargetMode="External"/><Relationship Id="rId5" Type="http://schemas.openxmlformats.org/officeDocument/2006/relationships/hyperlink" Target="https://documents-dds-ny.un.org/doc/UNDOC/GEN/N19/426/90/PDF/N1942690.pdf?OpenElement" TargetMode="External"/><Relationship Id="rId4" Type="http://schemas.openxmlformats.org/officeDocument/2006/relationships/hyperlink" Target="https://undocs.org/Home/Mobile?FinalSymbol=A%2F74%2F148&amp;Language=E&amp;DeviceType=Desktop&amp;LangRequeste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7" ma:contentTypeDescription="Create a new document." ma:contentTypeScope="" ma:versionID="bbe41630a23e172d54f42c61f58790fd">
  <xsd:schema xmlns:xsd="http://www.w3.org/2001/XMLSchema" xmlns:xs="http://www.w3.org/2001/XMLSchema" xmlns:p="http://schemas.microsoft.com/office/2006/metadata/properties" xmlns:ns2="f62cadcd-e163-4118-ac05-a32b5a627a72" xmlns:ns3="c6dba373-5722-4c9c-915a-b35ecc6dedf9" targetNamespace="http://schemas.microsoft.com/office/2006/metadata/properties" ma:root="true" ma:fieldsID="2e39bbb0373ade4d883f179a0dfe7a87" ns2:_="" ns3:_="">
    <xsd:import namespace="f62cadcd-e163-4118-ac05-a32b5a627a72"/>
    <xsd:import namespace="c6dba373-5722-4c9c-915a-b35ecc6dedf9"/>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6dba373-5722-4c9c-915a-b35ecc6ded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583C-F52C-4845-B4A1-6D961DB11D4A}">
  <ds:schemaRefs>
    <ds:schemaRef ds:uri="http://schemas.microsoft.com/sharepoint/v3/contenttype/forms"/>
  </ds:schemaRefs>
</ds:datastoreItem>
</file>

<file path=customXml/itemProps2.xml><?xml version="1.0" encoding="utf-8"?>
<ds:datastoreItem xmlns:ds="http://schemas.openxmlformats.org/officeDocument/2006/customXml" ds:itemID="{1EB78AAC-BF63-4C1E-8C5D-1A005349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c6dba373-5722-4c9c-915a-b35ecc6d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14A7B-7535-47CE-9B24-5AAF8730374E}">
  <ds:schemaRefs>
    <ds:schemaRef ds:uri="http://schemas.microsoft.com/office/2006/documentManagement/types"/>
    <ds:schemaRef ds:uri="http://schemas.microsoft.com/office/infopath/2007/PartnerControls"/>
    <ds:schemaRef ds:uri="http://purl.org/dc/elements/1.1/"/>
    <ds:schemaRef ds:uri="http://www.w3.org/XML/1998/namespace"/>
    <ds:schemaRef ds:uri="f62cadcd-e163-4118-ac05-a32b5a627a72"/>
    <ds:schemaRef ds:uri="c6dba373-5722-4c9c-915a-b35ecc6dedf9"/>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D619094-D7CD-4AB9-B21D-F6E1CD5F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6905</Words>
  <Characters>39361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A/HRC/SS/#</vt:lpstr>
    </vt:vector>
  </TitlesOfParts>
  <Company>DCM</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dc:title>
  <dc:subject>1820105</dc:subject>
  <dc:creator>AVT</dc:creator>
  <cp:keywords/>
  <dc:description/>
  <cp:lastModifiedBy>Veronique Lanz</cp:lastModifiedBy>
  <cp:revision>2</cp:revision>
  <cp:lastPrinted>2018-11-26T09:32:00Z</cp:lastPrinted>
  <dcterms:created xsi:type="dcterms:W3CDTF">2022-10-06T12:07:00Z</dcterms:created>
  <dcterms:modified xsi:type="dcterms:W3CDTF">2022-10-06T12:07:00Z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